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C9B04" w14:textId="77777777" w:rsidR="00180815" w:rsidRPr="00F86D93" w:rsidRDefault="00180815" w:rsidP="00180815">
      <w:pPr>
        <w:spacing w:after="160"/>
        <w:jc w:val="both"/>
        <w:rPr>
          <w:b/>
          <w:color w:val="222222"/>
          <w:lang w:val="en-GB"/>
        </w:rPr>
      </w:pPr>
      <w:r w:rsidRPr="00F86D93">
        <w:rPr>
          <w:b/>
          <w:color w:val="222222"/>
          <w:lang w:val="en-GB"/>
        </w:rPr>
        <w:t>Tormentic Acid Alters the Gut Microbiota of the Silkworm (</w:t>
      </w:r>
      <w:r w:rsidRPr="00F86D93">
        <w:rPr>
          <w:b/>
          <w:i/>
          <w:iCs/>
          <w:color w:val="222222"/>
          <w:lang w:val="en-GB"/>
        </w:rPr>
        <w:t>Bombyx mori</w:t>
      </w:r>
      <w:r w:rsidRPr="00F86D93">
        <w:rPr>
          <w:b/>
          <w:color w:val="222222"/>
          <w:lang w:val="en-GB"/>
        </w:rPr>
        <w:t>)</w:t>
      </w:r>
    </w:p>
    <w:p w14:paraId="19E3DC5A" w14:textId="77777777" w:rsidR="00180815" w:rsidRPr="00F86D93" w:rsidRDefault="00180815" w:rsidP="00180815">
      <w:pPr>
        <w:spacing w:after="160"/>
        <w:jc w:val="both"/>
        <w:rPr>
          <w:b/>
          <w:color w:val="222222"/>
          <w:vertAlign w:val="superscript"/>
          <w:lang w:val="en-GB"/>
        </w:rPr>
      </w:pPr>
      <w:r w:rsidRPr="00F86D93">
        <w:rPr>
          <w:b/>
          <w:color w:val="222222"/>
          <w:lang w:val="en-GB"/>
        </w:rPr>
        <w:t>Veysel Bay</w:t>
      </w:r>
      <w:r w:rsidRPr="00F86D93">
        <w:rPr>
          <w:b/>
          <w:color w:val="222222"/>
          <w:vertAlign w:val="superscript"/>
          <w:lang w:val="en-GB"/>
        </w:rPr>
        <w:t>1*</w:t>
      </w:r>
      <w:r w:rsidRPr="00F86D93">
        <w:rPr>
          <w:b/>
          <w:color w:val="222222"/>
          <w:lang w:val="en-GB"/>
        </w:rPr>
        <w:t>, Seray Gür</w:t>
      </w:r>
      <w:r w:rsidRPr="00F86D93">
        <w:rPr>
          <w:b/>
          <w:color w:val="222222"/>
          <w:vertAlign w:val="superscript"/>
          <w:lang w:val="en-GB"/>
        </w:rPr>
        <w:t>2</w:t>
      </w:r>
      <w:r w:rsidRPr="00F86D93">
        <w:rPr>
          <w:b/>
          <w:color w:val="222222"/>
          <w:lang w:val="en-GB"/>
        </w:rPr>
        <w:t>, Oğuz Bayraktar</w:t>
      </w:r>
      <w:r w:rsidRPr="00F86D93">
        <w:rPr>
          <w:b/>
          <w:color w:val="222222"/>
          <w:vertAlign w:val="superscript"/>
          <w:lang w:val="en-GB"/>
        </w:rPr>
        <w:t>2</w:t>
      </w:r>
    </w:p>
    <w:p w14:paraId="558923F6" w14:textId="77777777" w:rsidR="00180815" w:rsidRPr="00F86D93" w:rsidRDefault="00180815" w:rsidP="00180815">
      <w:pPr>
        <w:spacing w:after="160"/>
        <w:jc w:val="both"/>
        <w:rPr>
          <w:color w:val="000000"/>
          <w:shd w:val="clear" w:color="auto" w:fill="FFFFFF"/>
        </w:rPr>
      </w:pPr>
      <w:r w:rsidRPr="00F86D93">
        <w:rPr>
          <w:b/>
          <w:color w:val="222222"/>
          <w:vertAlign w:val="superscript"/>
          <w:lang w:val="en-GB"/>
        </w:rPr>
        <w:t>1</w:t>
      </w:r>
      <w:r w:rsidRPr="00F86D93">
        <w:rPr>
          <w:color w:val="000000"/>
          <w:shd w:val="clear" w:color="auto" w:fill="FFFFFF"/>
        </w:rPr>
        <w:t xml:space="preserve"> Department of Animal Science, Faculty of Agriculture, Ege University, 35100 Bornova, Izmir, Turkey</w:t>
      </w:r>
    </w:p>
    <w:p w14:paraId="09358836" w14:textId="77777777" w:rsidR="00180815" w:rsidRPr="00F86D93" w:rsidRDefault="00180815" w:rsidP="00180815">
      <w:pPr>
        <w:spacing w:after="160"/>
        <w:jc w:val="both"/>
        <w:rPr>
          <w:color w:val="000000"/>
          <w:shd w:val="clear" w:color="auto" w:fill="FFFFFF"/>
        </w:rPr>
      </w:pPr>
      <w:r w:rsidRPr="00F86D93">
        <w:rPr>
          <w:color w:val="000000"/>
          <w:shd w:val="clear" w:color="auto" w:fill="FFFFFF"/>
          <w:vertAlign w:val="superscript"/>
        </w:rPr>
        <w:t>2</w:t>
      </w:r>
      <w:r w:rsidRPr="00F86D93">
        <w:rPr>
          <w:color w:val="000000"/>
          <w:shd w:val="clear" w:color="auto" w:fill="FFFFFF"/>
        </w:rPr>
        <w:t xml:space="preserve"> Department of Bioengineering, Faculty of Engineering, Ege University, 35100 Bornova, Izmir, Turkey</w:t>
      </w:r>
    </w:p>
    <w:p w14:paraId="65B72C0C" w14:textId="77777777" w:rsidR="00180815" w:rsidRPr="00F86D93" w:rsidRDefault="00180815" w:rsidP="00180815">
      <w:pPr>
        <w:spacing w:after="160"/>
        <w:ind w:left="360"/>
        <w:jc w:val="both"/>
        <w:rPr>
          <w:color w:val="000000"/>
          <w:shd w:val="clear" w:color="auto" w:fill="FFFFFF"/>
        </w:rPr>
      </w:pPr>
      <w:r w:rsidRPr="00F86D93">
        <w:rPr>
          <w:color w:val="000000"/>
          <w:shd w:val="clear" w:color="auto" w:fill="FFFFFF"/>
        </w:rPr>
        <w:t>*Corresponding author</w:t>
      </w:r>
    </w:p>
    <w:p w14:paraId="0C718100" w14:textId="77777777" w:rsidR="00180815" w:rsidRDefault="00180815" w:rsidP="00CD5513">
      <w:pPr>
        <w:spacing w:after="160"/>
        <w:jc w:val="both"/>
        <w:rPr>
          <w:b/>
          <w:bCs/>
          <w:lang w:val="en-GB"/>
        </w:rPr>
      </w:pPr>
    </w:p>
    <w:p w14:paraId="7AAFF589" w14:textId="0060B9A8" w:rsidR="00CD5513" w:rsidRPr="00241CE0" w:rsidRDefault="00CD5513" w:rsidP="00CD5513">
      <w:pPr>
        <w:spacing w:after="160"/>
        <w:jc w:val="both"/>
        <w:rPr>
          <w:b/>
          <w:bCs/>
          <w:lang w:val="en-GB"/>
        </w:rPr>
      </w:pPr>
      <w:r w:rsidRPr="00241CE0">
        <w:rPr>
          <w:b/>
          <w:bCs/>
          <w:lang w:val="en-GB"/>
        </w:rPr>
        <w:t>Supplementary Figures</w:t>
      </w:r>
    </w:p>
    <w:p w14:paraId="4B6B8261" w14:textId="77777777" w:rsidR="00CD5513" w:rsidRPr="00241CE0" w:rsidRDefault="00CD5513" w:rsidP="00CD5513">
      <w:pPr>
        <w:spacing w:after="160"/>
        <w:jc w:val="both"/>
        <w:rPr>
          <w:lang w:val="en-GB"/>
        </w:rPr>
      </w:pPr>
    </w:p>
    <w:p w14:paraId="76759595" w14:textId="77777777" w:rsidR="00CD5513" w:rsidRPr="00241CE0" w:rsidRDefault="00CD5513" w:rsidP="00CD5513">
      <w:pPr>
        <w:keepNext/>
        <w:spacing w:after="160"/>
        <w:jc w:val="center"/>
      </w:pPr>
      <w:r w:rsidRPr="00241CE0">
        <w:rPr>
          <w:noProof/>
        </w:rPr>
        <w:drawing>
          <wp:inline distT="0" distB="0" distL="0" distR="0" wp14:anchorId="7AC54AE8" wp14:editId="7DD78E47">
            <wp:extent cx="5120302" cy="3657600"/>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5120302" cy="3657600"/>
                    </a:xfrm>
                    <a:prstGeom prst="rect">
                      <a:avLst/>
                    </a:prstGeom>
                  </pic:spPr>
                </pic:pic>
              </a:graphicData>
            </a:graphic>
          </wp:inline>
        </w:drawing>
      </w:r>
    </w:p>
    <w:p w14:paraId="17F866DF" w14:textId="77777777" w:rsidR="00CD5513" w:rsidRPr="00241CE0" w:rsidRDefault="00CD5513" w:rsidP="00CD5513">
      <w:pPr>
        <w:pStyle w:val="Caption"/>
        <w:jc w:val="both"/>
        <w:rPr>
          <w:lang w:val="en-GB"/>
        </w:rPr>
      </w:pPr>
      <w:r w:rsidRPr="00241CE0">
        <w:t xml:space="preserve"> </w:t>
      </w:r>
      <w:r w:rsidRPr="00CD5513">
        <w:rPr>
          <w:sz w:val="24"/>
          <w:szCs w:val="24"/>
        </w:rPr>
        <w:t xml:space="preserve">Supplementary Figure 1. </w:t>
      </w:r>
      <w:r w:rsidRPr="00CD5513">
        <w:rPr>
          <w:b w:val="0"/>
          <w:bCs w:val="0"/>
          <w:sz w:val="24"/>
          <w:szCs w:val="24"/>
        </w:rPr>
        <w:t>The rarefaction curves of all samples</w:t>
      </w:r>
    </w:p>
    <w:p w14:paraId="2F8F48A9" w14:textId="77777777" w:rsidR="00CD5513" w:rsidRPr="00241CE0" w:rsidRDefault="00CD5513" w:rsidP="00CD5513">
      <w:pPr>
        <w:keepNext/>
        <w:spacing w:after="160"/>
        <w:jc w:val="center"/>
        <w:rPr>
          <w:lang w:val="en-GB"/>
        </w:rPr>
      </w:pPr>
      <w:r w:rsidRPr="00241CE0">
        <w:rPr>
          <w:noProof/>
        </w:rPr>
        <w:lastRenderedPageBreak/>
        <w:drawing>
          <wp:inline distT="0" distB="0" distL="0" distR="0" wp14:anchorId="517A3E7E" wp14:editId="59BC359F">
            <wp:extent cx="4838935" cy="3651428"/>
            <wp:effectExtent l="0" t="0" r="0" b="6350"/>
            <wp:docPr id="15" name="Picture 15"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bubble 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838935" cy="3651428"/>
                    </a:xfrm>
                    <a:prstGeom prst="rect">
                      <a:avLst/>
                    </a:prstGeom>
                  </pic:spPr>
                </pic:pic>
              </a:graphicData>
            </a:graphic>
          </wp:inline>
        </w:drawing>
      </w:r>
    </w:p>
    <w:p w14:paraId="26E35875" w14:textId="77777777" w:rsidR="00CD5513" w:rsidRPr="00CD5513" w:rsidRDefault="00CD5513" w:rsidP="00CD5513">
      <w:pPr>
        <w:pStyle w:val="Caption"/>
        <w:jc w:val="both"/>
        <w:rPr>
          <w:color w:val="000000"/>
          <w:sz w:val="24"/>
          <w:szCs w:val="24"/>
          <w:lang w:val="en-GB"/>
        </w:rPr>
      </w:pPr>
      <w:r w:rsidRPr="00CD5513">
        <w:rPr>
          <w:sz w:val="24"/>
          <w:szCs w:val="24"/>
          <w:lang w:val="en-GB"/>
        </w:rPr>
        <w:t xml:space="preserve">Supplementary Figure 2. </w:t>
      </w:r>
      <w:r w:rsidRPr="00CD5513">
        <w:rPr>
          <w:rFonts w:eastAsiaTheme="minorHAnsi"/>
          <w:b w:val="0"/>
          <w:bCs w:val="0"/>
          <w:sz w:val="24"/>
          <w:szCs w:val="24"/>
          <w:lang w:val="en-US" w:eastAsia="en-US"/>
        </w:rPr>
        <w:t>Comparison of the microbiota profiles of</w:t>
      </w:r>
      <w:r w:rsidRPr="00CD5513">
        <w:rPr>
          <w:b w:val="0"/>
          <w:bCs w:val="0"/>
          <w:color w:val="000000"/>
          <w:sz w:val="24"/>
          <w:szCs w:val="24"/>
          <w:lang w:val="en-GB"/>
        </w:rPr>
        <w:t xml:space="preserve"> TA_poor vs Control feeding groups (line at 1.3 (- - -) = </w:t>
      </w:r>
      <w:r w:rsidRPr="00CD5513">
        <w:rPr>
          <w:b w:val="0"/>
          <w:bCs w:val="0"/>
          <w:i/>
          <w:iCs/>
          <w:color w:val="000000"/>
          <w:sz w:val="24"/>
          <w:szCs w:val="24"/>
          <w:lang w:val="en-GB"/>
        </w:rPr>
        <w:t>p</w:t>
      </w:r>
      <w:r w:rsidRPr="00CD5513">
        <w:rPr>
          <w:b w:val="0"/>
          <w:bCs w:val="0"/>
          <w:color w:val="000000"/>
          <w:sz w:val="24"/>
          <w:szCs w:val="24"/>
          <w:lang w:val="en-GB"/>
        </w:rPr>
        <w:t xml:space="preserve">-value 0.05, line at 2 (----) = </w:t>
      </w:r>
      <w:r w:rsidRPr="00CD5513">
        <w:rPr>
          <w:b w:val="0"/>
          <w:bCs w:val="0"/>
          <w:i/>
          <w:iCs/>
          <w:color w:val="000000"/>
          <w:sz w:val="24"/>
          <w:szCs w:val="24"/>
          <w:lang w:val="en-GB"/>
        </w:rPr>
        <w:t>p</w:t>
      </w:r>
      <w:r w:rsidRPr="00CD5513">
        <w:rPr>
          <w:b w:val="0"/>
          <w:bCs w:val="0"/>
          <w:color w:val="000000"/>
          <w:sz w:val="24"/>
          <w:szCs w:val="24"/>
          <w:lang w:val="en-GB"/>
        </w:rPr>
        <w:t>-value 0.01 adjusted for FDR) The log fold change in genera relative abundances in samples from TA_poor group comparing to Control group samples is plotted versus the corrected robust false discovery rate (FDR) LogWorth (i.e., log10P). Size of the circles represents the mean relative abundance of each genus, and colour represents the effect size.</w:t>
      </w:r>
    </w:p>
    <w:p w14:paraId="39DC156A" w14:textId="77777777" w:rsidR="002C7EB5" w:rsidRDefault="002C7EB5"/>
    <w:sectPr w:rsidR="002C7E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513"/>
    <w:rsid w:val="00180815"/>
    <w:rsid w:val="002C7EB5"/>
    <w:rsid w:val="00CD5513"/>
    <w:rsid w:val="00F86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A41D1"/>
  <w15:chartTrackingRefBased/>
  <w15:docId w15:val="{5262C15B-0A5B-4678-BAEC-FC0A851FE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513"/>
    <w:pPr>
      <w:spacing w:after="0" w:line="240" w:lineRule="auto"/>
    </w:pPr>
    <w:rPr>
      <w:rFonts w:ascii="Times New Roman" w:eastAsia="Times New Roman" w:hAnsi="Times New Roman" w:cs="Times New Roman"/>
      <w:sz w:val="24"/>
      <w:szCs w:val="24"/>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CD55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Veysel Bay</dc:creator>
  <cp:keywords/>
  <dc:description/>
  <cp:lastModifiedBy>Veysel Bay</cp:lastModifiedBy>
  <cp:revision>3</cp:revision>
  <dcterms:created xsi:type="dcterms:W3CDTF">2022-04-18T11:40:00Z</dcterms:created>
  <dcterms:modified xsi:type="dcterms:W3CDTF">2022-04-20T10:20:00Z</dcterms:modified>
</cp:coreProperties>
</file>