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803C2" w14:textId="22A5D858" w:rsidR="00F35A67" w:rsidRPr="00F35A67" w:rsidRDefault="00F35A67" w:rsidP="00F35A67">
      <w:pPr>
        <w:spacing w:line="240" w:lineRule="auto"/>
        <w:rPr>
          <w:rFonts w:ascii="Calibri" w:hAnsi="Calibri"/>
          <w:b/>
          <w:sz w:val="20"/>
          <w:lang w:val="en-US"/>
        </w:rPr>
      </w:pPr>
      <w:r w:rsidRPr="0008240C">
        <w:rPr>
          <w:noProof/>
          <w:sz w:val="20"/>
          <w:szCs w:val="20"/>
          <w:lang w:val="en-US"/>
        </w:rPr>
        <w:drawing>
          <wp:inline distT="0" distB="0" distL="0" distR="0" wp14:anchorId="4F697059" wp14:editId="1B07F202">
            <wp:extent cx="5727700" cy="7472045"/>
            <wp:effectExtent l="0" t="0" r="635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47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33ADD" w14:textId="2C34EC8A" w:rsidR="003E3EE8" w:rsidRDefault="00F35A67" w:rsidP="00F35A67">
      <w:r w:rsidRPr="0008240C">
        <w:rPr>
          <w:b/>
          <w:bCs/>
          <w:sz w:val="20"/>
          <w:szCs w:val="20"/>
          <w:lang w:val="en-US"/>
        </w:rPr>
        <w:t xml:space="preserve">Table </w:t>
      </w:r>
      <w:r w:rsidRPr="0008240C">
        <w:rPr>
          <w:b/>
          <w:bCs/>
          <w:sz w:val="20"/>
          <w:szCs w:val="20"/>
          <w:lang w:val="en-US"/>
        </w:rPr>
        <w:fldChar w:fldCharType="begin"/>
      </w:r>
      <w:r w:rsidRPr="0008240C">
        <w:rPr>
          <w:b/>
          <w:bCs/>
          <w:sz w:val="20"/>
          <w:szCs w:val="20"/>
          <w:lang w:val="en-US"/>
        </w:rPr>
        <w:instrText xml:space="preserve"> SEQ Table \* ARABIC </w:instrText>
      </w:r>
      <w:r w:rsidRPr="0008240C">
        <w:rPr>
          <w:b/>
          <w:bCs/>
          <w:sz w:val="20"/>
          <w:szCs w:val="20"/>
          <w:lang w:val="en-US"/>
        </w:rPr>
        <w:fldChar w:fldCharType="separate"/>
      </w:r>
      <w:r w:rsidRPr="0008240C">
        <w:rPr>
          <w:b/>
          <w:bCs/>
          <w:noProof/>
          <w:sz w:val="20"/>
          <w:szCs w:val="20"/>
          <w:lang w:val="en-US"/>
        </w:rPr>
        <w:t>1</w:t>
      </w:r>
      <w:r w:rsidRPr="0008240C">
        <w:rPr>
          <w:b/>
          <w:bCs/>
          <w:sz w:val="20"/>
          <w:szCs w:val="20"/>
          <w:lang w:val="en-US"/>
        </w:rPr>
        <w:fldChar w:fldCharType="end"/>
      </w:r>
      <w:r w:rsidRPr="0008240C">
        <w:rPr>
          <w:b/>
          <w:bCs/>
          <w:sz w:val="20"/>
          <w:szCs w:val="20"/>
          <w:lang w:val="en-US"/>
        </w:rPr>
        <w:t>. VE in relevant real-world studies.</w:t>
      </w:r>
      <w:r w:rsidRPr="0008240C">
        <w:rPr>
          <w:sz w:val="20"/>
          <w:szCs w:val="20"/>
          <w:lang w:val="en-US"/>
        </w:rPr>
        <w:t xml:space="preserve"> Data were not directly </w:t>
      </w:r>
      <w:proofErr w:type="gramStart"/>
      <w:r w:rsidRPr="0008240C">
        <w:rPr>
          <w:sz w:val="20"/>
          <w:szCs w:val="20"/>
          <w:lang w:val="en-US"/>
        </w:rPr>
        <w:t>compared</w:t>
      </w:r>
      <w:proofErr w:type="gramEnd"/>
      <w:r w:rsidRPr="0008240C">
        <w:rPr>
          <w:sz w:val="20"/>
          <w:szCs w:val="20"/>
          <w:lang w:val="en-US"/>
        </w:rPr>
        <w:t xml:space="preserve"> and</w:t>
      </w:r>
      <w:r w:rsidRPr="0008240C" w:rsidDel="00010799">
        <w:rPr>
          <w:sz w:val="20"/>
          <w:szCs w:val="20"/>
          <w:lang w:val="en-US"/>
        </w:rPr>
        <w:t xml:space="preserve"> </w:t>
      </w:r>
      <w:r w:rsidRPr="0008240C">
        <w:rPr>
          <w:sz w:val="20"/>
          <w:szCs w:val="20"/>
          <w:lang w:val="en-US"/>
        </w:rPr>
        <w:t xml:space="preserve">this summary is non-exhaustive because of differences between studies. For example, some studies did not assess VE against infections, while others assessed province-level rather than nationwide data, and not all studies listed exact vaccine schedules or </w:t>
      </w:r>
      <w:r w:rsidRPr="0008240C">
        <w:rPr>
          <w:sz w:val="20"/>
          <w:szCs w:val="20"/>
          <w:lang w:val="en-US"/>
        </w:rPr>
        <w:lastRenderedPageBreak/>
        <w:t>vaccinee demographics. Follow-up durations may also vary. Abbreviations: VE, vaccine effectiveness; ICU, intensive care unit.</w:t>
      </w:r>
    </w:p>
    <w:sectPr w:rsidR="003E3E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A67"/>
    <w:rsid w:val="003E3EE8"/>
    <w:rsid w:val="00F35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02180"/>
  <w15:chartTrackingRefBased/>
  <w15:docId w15:val="{6EB39FA3-DD61-454C-8A2D-F7924DCD5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A67"/>
    <w:pPr>
      <w:spacing w:after="0" w:line="360" w:lineRule="auto"/>
    </w:pPr>
    <w:rPr>
      <w:rFonts w:eastAsia="PMingLiU"/>
      <w:sz w:val="24"/>
      <w:szCs w:val="24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2022-06-21T01:44:00Z</dcterms:created>
  <dcterms:modified xsi:type="dcterms:W3CDTF">2022-06-21T01:44:00Z</dcterms:modified>
</cp:coreProperties>
</file>