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4785" cy="5178425"/>
            <wp:effectExtent l="0" t="0" r="18415" b="317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Supplementary Figure 1</w:t>
      </w:r>
      <w:r>
        <w:rPr>
          <w:rFonts w:hint="default"/>
        </w:rPr>
        <w:t xml:space="preserve">: </w:t>
      </w:r>
      <w:r>
        <w:rPr>
          <w:rFonts w:hint="eastAsia"/>
        </w:rPr>
        <w:t>K</w:t>
      </w:r>
      <w:r>
        <w:rPr>
          <w:rFonts w:hint="default"/>
        </w:rPr>
        <w:t>-</w:t>
      </w:r>
      <w:r>
        <w:rPr>
          <w:rFonts w:hint="eastAsia"/>
        </w:rPr>
        <w:t>M analysis of the 14 genes</w:t>
      </w:r>
      <w:r>
        <w:rPr>
          <w:rFonts w:hint="default"/>
        </w:rPr>
        <w:t xml:space="preserve"> finally identified for construction of the risk scoring system.</w:t>
      </w:r>
      <w:r>
        <w:rPr>
          <w:rFonts w:hint="default"/>
        </w:rPr>
        <w:t xml:space="preserve"> 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(A)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CYP2W1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(B)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PPEF</w:t>
      </w:r>
      <w:r>
        <w:rPr>
          <w:rFonts w:hint="eastAsia" w:ascii="Arial" w:hAnsi="Arial" w:cs="Arial"/>
          <w:kern w:val="0"/>
          <w:sz w:val="20"/>
          <w:szCs w:val="20"/>
          <w:lang w:bidi="en-US"/>
        </w:rPr>
        <w:t>1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(C) </w:t>
      </w:r>
      <w:r>
        <w:rPr>
          <w:rFonts w:ascii="Arial" w:hAnsi="Arial" w:cs="Arial"/>
          <w:kern w:val="0"/>
          <w:sz w:val="20"/>
          <w:szCs w:val="20"/>
          <w:lang w:bidi="en-US"/>
        </w:rPr>
        <w:t>HEPH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(D)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FA2H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(E) </w:t>
      </w:r>
      <w:r>
        <w:rPr>
          <w:rFonts w:hint="eastAsia" w:ascii="Arial" w:hAnsi="Arial" w:cs="Arial"/>
          <w:kern w:val="0"/>
          <w:sz w:val="20"/>
          <w:szCs w:val="20"/>
          <w:lang w:bidi="en-US"/>
        </w:rPr>
        <w:t>CYP2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7B1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(F)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ATP6V1B1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(G) </w:t>
      </w:r>
      <w:r>
        <w:rPr>
          <w:rFonts w:ascii="Arial" w:hAnsi="Arial" w:cs="Arial"/>
          <w:kern w:val="0"/>
          <w:sz w:val="20"/>
          <w:szCs w:val="20"/>
          <w:lang w:bidi="en-US"/>
        </w:rPr>
        <w:t>PTGIS;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 (H) </w:t>
      </w:r>
      <w:r>
        <w:rPr>
          <w:rFonts w:ascii="Arial" w:hAnsi="Arial" w:cs="Arial"/>
          <w:kern w:val="0"/>
          <w:sz w:val="20"/>
          <w:szCs w:val="20"/>
          <w:lang w:bidi="en-US"/>
        </w:rPr>
        <w:t>CCNB1</w:t>
      </w:r>
      <w:r>
        <w:rPr>
          <w:rFonts w:ascii="Arial" w:hAnsi="Arial" w:cs="Arial"/>
          <w:kern w:val="0"/>
          <w:sz w:val="20"/>
          <w:szCs w:val="20"/>
          <w:lang w:bidi="en-US"/>
        </w:rPr>
        <w:t xml:space="preserve">; (I)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 xml:space="preserve">MYC; (J) CYP1B1; (K) CYP2C9; (L) 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CYP2C</w:t>
      </w:r>
      <w:r>
        <w:rPr>
          <w:rFonts w:hint="default" w:ascii="Arial" w:hAnsi="Arial" w:cs="Arial"/>
          <w:kern w:val="0"/>
          <w:sz w:val="20"/>
          <w:szCs w:val="20"/>
          <w:lang w:bidi="en-US"/>
        </w:rPr>
        <w:t>8; (M) AIFM3; (N) ASIC3</w:t>
      </w:r>
      <w:r>
        <w:rPr>
          <w:rFonts w:ascii="Arial" w:hAnsi="Arial" w:cs="Arial"/>
          <w:kern w:val="0"/>
          <w:sz w:val="20"/>
          <w:szCs w:val="20"/>
          <w:lang w:bidi="en-US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CAEBE"/>
    <w:rsid w:val="79BCAEBE"/>
    <w:rsid w:val="FE3CF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2022-07-17T06:39:00Z</dcterms:created>
  <dc:creator>luhezhen</dc:creator>
  <cp:lastModifiedBy>luhezhen</cp:lastModifiedBy>
  <dcterms:modified xsi:type="dcterms:W3CDTF">2022-07-16T22:58:02Z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