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541" w:firstLineChars="700"/>
        <w:rPr>
          <w:rFonts w:hint="default" w:ascii="Arial" w:hAnsi="Arial" w:cs="Arial"/>
          <w:b/>
          <w:bCs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</w:rPr>
        <w:t>Table S</w:t>
      </w:r>
      <w:r>
        <w:rPr>
          <w:rFonts w:hint="eastAsia" w:ascii="Arial" w:hAnsi="Arial" w:eastAsia="宋体" w:cs="Arial"/>
          <w:b/>
          <w:bCs/>
          <w:sz w:val="22"/>
          <w:szCs w:val="22"/>
          <w:lang w:val="en-US" w:eastAsia="zh-CN"/>
        </w:rPr>
        <w:t>4.</w:t>
      </w:r>
      <w:r>
        <w:rPr>
          <w:rFonts w:hint="default" w:ascii="Arial" w:hAnsi="Arial" w:cs="Arial"/>
          <w:sz w:val="22"/>
          <w:szCs w:val="22"/>
        </w:rPr>
        <w:t xml:space="preserve"> </w:t>
      </w:r>
      <w:r>
        <w:rPr>
          <w:rFonts w:hint="default" w:ascii="Arial" w:hAnsi="Arial" w:cs="Arial"/>
          <w:b/>
          <w:bCs/>
          <w:sz w:val="22"/>
          <w:szCs w:val="22"/>
        </w:rPr>
        <w:t>25 iron metabolism-related genes related to OS.</w:t>
      </w:r>
    </w:p>
    <w:tbl>
      <w:tblPr>
        <w:tblStyle w:val="8"/>
        <w:tblW w:w="56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061"/>
        <w:gridCol w:w="2151"/>
        <w:gridCol w:w="10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tblHeader/>
          <w:jc w:val="center"/>
        </w:trPr>
        <w:tc>
          <w:tcPr>
            <w:vMerge w:val="restar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sz w:val="24"/>
                <w:szCs w:val="24"/>
              </w:rPr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vMerge w:val="restar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sz w:val="24"/>
                <w:szCs w:val="24"/>
              </w:rPr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Total(N)</w:t>
            </w:r>
          </w:p>
        </w:tc>
        <w:tc>
          <w:tcPr>
            <w:gridSpan w:val="2"/>
            <w:tcBorders>
              <w:top w:val="single" w:color="000000" w:sz="6" w:space="0"/>
              <w:bottom w:val="single" w:color="666666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sz w:val="24"/>
                <w:szCs w:val="24"/>
              </w:rPr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Univariate analysis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tblHeader/>
          <w:jc w:val="center"/>
        </w:trPr>
        <w:tc>
          <w:tcPr>
            <w:vMerge w:val="continue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sz w:val="24"/>
                <w:szCs w:val="24"/>
              </w:rPr>
            </w:pPr>
          </w:p>
        </w:tc>
        <w:tc>
          <w:tcPr>
            <w:vMerge w:val="continue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sz w:val="24"/>
                <w:szCs w:val="24"/>
              </w:rPr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sz w:val="24"/>
                <w:szCs w:val="24"/>
              </w:rPr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P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CYP3A43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0.709 (0.528-0.950)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CYBRD1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1.379 (1.027-1.851)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CYP2W1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1.599 (1.189-2.149)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PPEF1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1.487 (1.104-2.002)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HEPH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1.396 (1.036-1.879)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FA2H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0.636 (0.473-0.854)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SLC39A14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1.541 (1.145-2.075)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CYP27B1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0.709 (0.529-0.950)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ATP6V1B1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1.459 (1.086-1.959)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PTGIS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1.693 (1.254-2.286)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CCNB1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1.411 (1.053-1.892)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MYC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1.610 (1.197-2.165)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CYP1B1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1.549 (1.153-2.082)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CYP2C9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0.725 (0.541-0.972)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CYP2C8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0.683 (0.509-0.917)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AOX1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1.424 (1.060-1.912)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SNCA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1.367 (1.020-1.831)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CYP3A7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0.714 (0.533-0.958)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MELTF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1.343 (1.002-1.801)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BOLA2B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0.734 (0.548-0.984)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TH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0.718 (0.535-0.965)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AIFM3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0.579 (0.430-0.780)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CYP4F8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0.677 (0.505-0.908)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TMPRSS6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0.600 (0.447-0.806)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ASIC3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color w:val="000000"/>
                <w:sz w:val="16"/>
                <w:szCs w:val="16"/>
              </w:rPr>
              <w:t>0.731 (0.545-0.981)</w:t>
            </w:r>
          </w:p>
        </w:tc>
        <w:tc>
          <w:tcPr>
            <w:tcW w:w="0" w:type="auto"/>
            <w:vAlign w:val="center"/>
          </w:tcPr>
          <w:p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cs="Arial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b/>
                <w:color w:val="000000"/>
                <w:sz w:val="16"/>
                <w:szCs w:val="16"/>
              </w:rPr>
              <w:t>0.037</w:t>
            </w:r>
          </w:p>
        </w:tc>
      </w:tr>
    </w:tbl>
    <w:p/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06FB063C"/>
    <w:rsid w:val="24DC0679"/>
    <w:rsid w:val="7177641B"/>
    <w:rsid w:val="77B8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unhideWhenUsed/>
    <w:uiPriority w:val="39"/>
    <w:pPr>
      <w:spacing w:after="100"/>
    </w:pPr>
  </w:style>
  <w:style w:type="paragraph" w:styleId="7">
    <w:name w:val="toc 2"/>
    <w:basedOn w:val="1"/>
    <w:next w:val="1"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代坤甫</dc:creator>
  <cp:lastModifiedBy>代坤甫</cp:lastModifiedBy>
  <dcterms:modified xsi:type="dcterms:W3CDTF">2022-07-16T14:45:10Z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