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6FB8" w:rsidRPr="001A33E0" w:rsidRDefault="00386FB8" w:rsidP="00386FB8">
      <w:pPr>
        <w:widowControl/>
        <w:jc w:val="left"/>
        <w:rPr>
          <w:rFonts w:ascii="Times New Roman" w:hAnsi="Times New Roman" w:cs="Times New Roman"/>
          <w:b/>
          <w:bCs/>
          <w:sz w:val="24"/>
        </w:rPr>
      </w:pPr>
      <w:r w:rsidRPr="001A33E0">
        <w:rPr>
          <w:rFonts w:ascii="Times New Roman" w:hAnsi="Times New Roman" w:cs="Times New Roman"/>
          <w:b/>
          <w:bCs/>
          <w:sz w:val="24"/>
        </w:rPr>
        <w:t>Supplementary materials</w:t>
      </w:r>
    </w:p>
    <w:p w:rsidR="00386FB8" w:rsidRPr="00E51E8D" w:rsidRDefault="00386FB8" w:rsidP="00386FB8">
      <w:pPr>
        <w:contextualSpacing/>
        <w:mirrorIndents/>
        <w:jc w:val="left"/>
        <w:rPr>
          <w:rFonts w:ascii="Times New Roman" w:hAnsi="Times New Roman" w:cs="Times New Roman"/>
          <w:b/>
          <w:kern w:val="0"/>
          <w:szCs w:val="21"/>
        </w:rPr>
      </w:pPr>
    </w:p>
    <w:p w:rsidR="00386FB8" w:rsidRPr="00E51E8D" w:rsidRDefault="00386FB8" w:rsidP="00386FB8">
      <w:pPr>
        <w:contextualSpacing/>
        <w:mirrorIndents/>
        <w:jc w:val="left"/>
        <w:rPr>
          <w:rFonts w:ascii="Times New Roman" w:hAnsi="Times New Roman" w:cs="Times New Roman"/>
          <w:b/>
          <w:szCs w:val="21"/>
        </w:rPr>
      </w:pPr>
      <w:r w:rsidRPr="00E51E8D">
        <w:rPr>
          <w:rFonts w:ascii="Times New Roman" w:hAnsi="Times New Roman" w:cs="Times New Roman"/>
          <w:b/>
          <w:szCs w:val="21"/>
        </w:rPr>
        <w:t xml:space="preserve">Part </w:t>
      </w:r>
      <w:r w:rsidRPr="00E51E8D">
        <w:rPr>
          <w:rFonts w:ascii="Times New Roman" w:hAnsi="Times New Roman" w:cs="Times New Roman" w:hint="eastAsia"/>
          <w:b/>
          <w:szCs w:val="21"/>
        </w:rPr>
        <w:t>A</w:t>
      </w:r>
      <w:r w:rsidRPr="00E51E8D">
        <w:rPr>
          <w:rFonts w:ascii="Times New Roman" w:hAnsi="Times New Roman" w:cs="Times New Roman"/>
          <w:b/>
          <w:szCs w:val="21"/>
        </w:rPr>
        <w:t>: Untargeted Metabolomics Profiling</w:t>
      </w:r>
    </w:p>
    <w:p w:rsidR="00386FB8" w:rsidRPr="00E51E8D" w:rsidRDefault="00386FB8" w:rsidP="00386FB8">
      <w:pPr>
        <w:contextualSpacing/>
        <w:mirrorIndents/>
        <w:jc w:val="left"/>
        <w:rPr>
          <w:rFonts w:ascii="Times New Roman" w:hAnsi="Times New Roman" w:cs="Times New Roman"/>
          <w:szCs w:val="21"/>
        </w:rPr>
      </w:pPr>
    </w:p>
    <w:p w:rsidR="00386FB8" w:rsidRPr="00E51E8D" w:rsidRDefault="00386FB8" w:rsidP="00386FB8">
      <w:pPr>
        <w:contextualSpacing/>
        <w:mirrorIndents/>
        <w:jc w:val="left"/>
        <w:rPr>
          <w:rFonts w:ascii="Times New Roman" w:hAnsi="Times New Roman" w:cs="Times New Roman"/>
          <w:b/>
          <w:bCs/>
          <w:kern w:val="0"/>
          <w:szCs w:val="21"/>
        </w:rPr>
      </w:pPr>
      <w:r w:rsidRPr="00E51E8D">
        <w:rPr>
          <w:rFonts w:ascii="Times New Roman" w:hAnsi="Times New Roman" w:cs="Times New Roman"/>
          <w:b/>
          <w:bCs/>
          <w:kern w:val="0"/>
          <w:szCs w:val="21"/>
        </w:rPr>
        <w:t>LC-MS Metabolites Extraction</w:t>
      </w:r>
    </w:p>
    <w:p w:rsidR="00386FB8" w:rsidRPr="00E51E8D" w:rsidRDefault="00386FB8" w:rsidP="00386FB8">
      <w:pPr>
        <w:ind w:firstLine="420"/>
        <w:contextualSpacing/>
        <w:mirrorIndents/>
        <w:jc w:val="left"/>
        <w:rPr>
          <w:rFonts w:ascii="Times New Roman" w:hAnsi="Times New Roman" w:cs="Times New Roman"/>
          <w:color w:val="000000"/>
          <w:kern w:val="0"/>
          <w:szCs w:val="21"/>
        </w:rPr>
      </w:pPr>
      <w:r w:rsidRPr="00E51E8D">
        <w:rPr>
          <w:rFonts w:ascii="Times New Roman" w:hAnsi="Times New Roman" w:cs="Times New Roman"/>
          <w:kern w:val="0"/>
          <w:szCs w:val="21"/>
        </w:rPr>
        <w:t>100 μL of sample was transferred to an EP tube</w:t>
      </w:r>
      <w:r w:rsidRPr="00E51E8D">
        <w:rPr>
          <w:rFonts w:ascii="Times New Roman" w:hAnsi="Times New Roman" w:cs="Times New Roman" w:hint="eastAsia"/>
          <w:kern w:val="0"/>
          <w:szCs w:val="21"/>
        </w:rPr>
        <w:t>.</w:t>
      </w:r>
      <w:r w:rsidRPr="00E51E8D">
        <w:rPr>
          <w:rFonts w:ascii="Times New Roman" w:hAnsi="Times New Roman" w:cs="Times New Roman"/>
          <w:kern w:val="0"/>
          <w:szCs w:val="21"/>
        </w:rPr>
        <w:t xml:space="preserve"> 600 μL extract solution (acetonitrile: methanol = 1:1</w:t>
      </w:r>
      <w:r>
        <w:rPr>
          <w:rFonts w:ascii="Times New Roman" w:hAnsi="Times New Roman" w:cs="Times New Roman"/>
          <w:kern w:val="0"/>
          <w:szCs w:val="21"/>
        </w:rPr>
        <w:t>,</w:t>
      </w:r>
      <w:r w:rsidRPr="00E51E8D">
        <w:rPr>
          <w:rFonts w:ascii="Times New Roman" w:hAnsi="Times New Roman" w:cs="Times New Roman"/>
          <w:kern w:val="0"/>
          <w:szCs w:val="21"/>
        </w:rPr>
        <w:t xml:space="preserve"> containing isotopically-labelled internal standard) was added into the EP tube.</w:t>
      </w:r>
      <w:r w:rsidRPr="00E51E8D">
        <w:rPr>
          <w:rFonts w:ascii="Times New Roman" w:hAnsi="Times New Roman" w:cs="Times New Roman" w:hint="eastAsia"/>
          <w:kern w:val="0"/>
          <w:szCs w:val="21"/>
        </w:rPr>
        <w:t xml:space="preserve"> The</w:t>
      </w:r>
      <w:r w:rsidRPr="00E51E8D">
        <w:rPr>
          <w:rFonts w:ascii="Times New Roman" w:hAnsi="Times New Roman" w:cs="Times New Roman"/>
          <w:kern w:val="0"/>
          <w:szCs w:val="21"/>
        </w:rPr>
        <w:t xml:space="preserve"> mixed samples were vortexed for 30 s, sonicated in the ice-water bath for 10 min, incubated </w:t>
      </w:r>
      <w:r w:rsidRPr="00E51E8D">
        <w:rPr>
          <w:rFonts w:ascii="Times New Roman" w:hAnsi="Times New Roman" w:cs="Times New Roman"/>
          <w:color w:val="000000"/>
          <w:kern w:val="0"/>
          <w:szCs w:val="21"/>
        </w:rPr>
        <w:t xml:space="preserve">-40℃ for 1 h to precipitate proteins, and centrifuged at 120, 000 rpm at 4℃ for 15 min. The supernatant was transferred to a fresh glass vial for LC/MS analysis. Quality control (QC) samples were prepared by using an equal aliquot of the supernatant from all samples. </w:t>
      </w:r>
    </w:p>
    <w:p w:rsidR="00386FB8" w:rsidRPr="00E51E8D" w:rsidRDefault="00386FB8" w:rsidP="00386FB8">
      <w:pPr>
        <w:contextualSpacing/>
        <w:mirrorIndents/>
        <w:jc w:val="left"/>
        <w:rPr>
          <w:rFonts w:ascii="Times New Roman" w:hAnsi="Times New Roman" w:cs="Times New Roman"/>
          <w:color w:val="000000"/>
          <w:kern w:val="0"/>
          <w:szCs w:val="21"/>
        </w:rPr>
      </w:pPr>
    </w:p>
    <w:p w:rsidR="00386FB8" w:rsidRPr="00E51E8D" w:rsidRDefault="00386FB8" w:rsidP="00386FB8">
      <w:pPr>
        <w:contextualSpacing/>
        <w:mirrorIndents/>
        <w:jc w:val="left"/>
        <w:rPr>
          <w:rFonts w:ascii="Times New Roman" w:hAnsi="Times New Roman" w:cs="Times New Roman"/>
          <w:b/>
          <w:bCs/>
          <w:color w:val="000000"/>
          <w:kern w:val="0"/>
          <w:szCs w:val="21"/>
        </w:rPr>
      </w:pPr>
      <w:r w:rsidRPr="00E51E8D">
        <w:rPr>
          <w:rFonts w:ascii="Times New Roman" w:hAnsi="Times New Roman" w:cs="Times New Roman" w:hint="eastAsia"/>
          <w:b/>
          <w:bCs/>
          <w:color w:val="000000"/>
          <w:kern w:val="0"/>
          <w:szCs w:val="21"/>
        </w:rPr>
        <w:t>L</w:t>
      </w:r>
      <w:r w:rsidRPr="00E51E8D">
        <w:rPr>
          <w:rFonts w:ascii="Times New Roman" w:hAnsi="Times New Roman" w:cs="Times New Roman"/>
          <w:b/>
          <w:bCs/>
          <w:color w:val="000000"/>
          <w:kern w:val="0"/>
          <w:szCs w:val="21"/>
        </w:rPr>
        <w:t xml:space="preserve">C-MS/MS Analysis </w:t>
      </w:r>
    </w:p>
    <w:p w:rsidR="00386FB8" w:rsidRPr="00E51E8D" w:rsidRDefault="00386FB8" w:rsidP="00386FB8">
      <w:pPr>
        <w:ind w:firstLine="315"/>
        <w:contextualSpacing/>
        <w:mirrorIndents/>
        <w:jc w:val="left"/>
        <w:rPr>
          <w:rFonts w:ascii="Times New Roman" w:hAnsi="Times New Roman" w:cs="Times New Roman"/>
          <w:szCs w:val="21"/>
        </w:rPr>
      </w:pPr>
      <w:r w:rsidRPr="00E51E8D">
        <w:rPr>
          <w:rFonts w:ascii="Times New Roman" w:hAnsi="Times New Roman" w:cs="Times New Roman" w:hint="eastAsia"/>
          <w:szCs w:val="21"/>
        </w:rPr>
        <w:t>L</w:t>
      </w:r>
      <w:r w:rsidRPr="00E51E8D">
        <w:rPr>
          <w:rFonts w:ascii="Times New Roman" w:hAnsi="Times New Roman" w:cs="Times New Roman"/>
          <w:szCs w:val="21"/>
        </w:rPr>
        <w:t xml:space="preserve">iquid chromatography-mass spectrometry (LC-MS) analyses are performed using an UHPLC system (Vanquish, Thermo Fisher Scientific) with Waters ACQUITY UPLC BEH Amide column (2.1 mm x 100, 1.7 </w:t>
      </w:r>
      <w:r w:rsidRPr="00E51E8D">
        <w:rPr>
          <w:rFonts w:ascii="Times New Roman" w:hAnsi="Times New Roman" w:cs="Times New Roman"/>
          <w:kern w:val="0"/>
          <w:szCs w:val="21"/>
        </w:rPr>
        <w:t>μm)</w:t>
      </w:r>
      <w:r w:rsidRPr="00E51E8D">
        <w:rPr>
          <w:rFonts w:ascii="Times New Roman" w:hAnsi="Times New Roman" w:cs="Times New Roman"/>
          <w:szCs w:val="21"/>
        </w:rPr>
        <w:t xml:space="preserve"> coupled to Q Exactive HFX mass spectrometer (Orbitrap MS, Thermo Fisher Scientific). </w:t>
      </w:r>
    </w:p>
    <w:p w:rsidR="00386FB8" w:rsidRPr="00E51E8D" w:rsidRDefault="00386FB8" w:rsidP="00386FB8">
      <w:pPr>
        <w:ind w:firstLine="315"/>
        <w:contextualSpacing/>
        <w:mirrorIndents/>
        <w:jc w:val="left"/>
        <w:rPr>
          <w:rFonts w:ascii="Times New Roman" w:hAnsi="Times New Roman" w:cs="Times New Roman"/>
          <w:kern w:val="0"/>
          <w:szCs w:val="21"/>
        </w:rPr>
      </w:pPr>
      <w:r w:rsidRPr="00E51E8D">
        <w:rPr>
          <w:rFonts w:ascii="Times New Roman" w:hAnsi="Times New Roman" w:cs="Times New Roman"/>
          <w:color w:val="000000"/>
          <w:kern w:val="0"/>
          <w:szCs w:val="21"/>
        </w:rPr>
        <w:t xml:space="preserve">25 mmol/L ammonium acetate and 25 mmol/L ammonia hydroxide in water (pH=9.75) (A) and acetonitrile (B) consisted of the mobile phase. The temperature of auto-sampler was set at 4 ℃. The injection volume was 2 </w:t>
      </w:r>
      <w:r w:rsidRPr="00E51E8D">
        <w:rPr>
          <w:rFonts w:ascii="Times New Roman" w:hAnsi="Times New Roman" w:cs="Times New Roman"/>
          <w:kern w:val="0"/>
          <w:szCs w:val="21"/>
        </w:rPr>
        <w:t xml:space="preserve">μL. The Q Exactive HFX mass spectrometer was used to acquire MS/MS spectra on the information-dependent acquisition (IDA) mode and was controlled by the acquisition software (Xcalibur, Thermo). In this mode, the Xcalibur continuously evaluated the full scan MS spectrum. The ESI source conditions were set as follows: </w:t>
      </w:r>
      <w:r w:rsidRPr="00E51E8D">
        <w:rPr>
          <w:rFonts w:ascii="Times New Roman" w:hAnsi="Times New Roman" w:cs="Times New Roman"/>
          <w:szCs w:val="21"/>
        </w:rPr>
        <w:t xml:space="preserve">sheath gas flow rate: 30 Arb, Aux gas flow rate: 25 Arb, Capillary temperature: 350 </w:t>
      </w:r>
      <w:r w:rsidRPr="00E51E8D">
        <w:rPr>
          <w:rFonts w:ascii="Times New Roman" w:hAnsi="Times New Roman" w:cs="Times New Roman"/>
          <w:color w:val="000000"/>
          <w:kern w:val="0"/>
          <w:szCs w:val="21"/>
        </w:rPr>
        <w:t>℃, Full ms resolution: 60,000, MS/MS resolution: 7,500, Collision energy: 10/30/60 in NCE mode, Spray Voltage: 3.6 kV (positive).</w:t>
      </w:r>
    </w:p>
    <w:p w:rsidR="00386FB8" w:rsidRPr="00E51E8D" w:rsidRDefault="00386FB8" w:rsidP="00386FB8">
      <w:pPr>
        <w:ind w:firstLine="315"/>
        <w:contextualSpacing/>
        <w:mirrorIndents/>
        <w:jc w:val="left"/>
        <w:rPr>
          <w:rFonts w:ascii="Times New Roman" w:hAnsi="Times New Roman" w:cs="Times New Roman"/>
          <w:color w:val="000000"/>
          <w:kern w:val="0"/>
          <w:szCs w:val="21"/>
        </w:rPr>
      </w:pPr>
      <w:r w:rsidRPr="00E51E8D">
        <w:rPr>
          <w:rFonts w:ascii="Times New Roman" w:hAnsi="Times New Roman" w:cs="Times New Roman"/>
          <w:color w:val="000000"/>
          <w:kern w:val="0"/>
          <w:szCs w:val="21"/>
        </w:rPr>
        <w:t xml:space="preserve">To preprocess the raw data and its annotation, ProteoWizard was used to convert the raw data to mzXML format. Data was processed with Biotree in-house program that was developed using R packages and based on XCMS for peak detection, extraction, alignment, and integration. Next, the in-house compound database (BiotreeDB) was applied for metabolite annotation. The cutoff value for annotation was set at 0.3.  </w:t>
      </w:r>
    </w:p>
    <w:p w:rsidR="00386FB8" w:rsidRPr="00E51E8D" w:rsidRDefault="00386FB8" w:rsidP="00386FB8">
      <w:pPr>
        <w:widowControl/>
        <w:jc w:val="left"/>
        <w:rPr>
          <w:rFonts w:ascii="Times New Roman" w:hAnsi="Times New Roman" w:cs="Times New Roman"/>
          <w:color w:val="000000"/>
          <w:kern w:val="0"/>
          <w:szCs w:val="21"/>
        </w:rPr>
      </w:pPr>
      <w:r w:rsidRPr="00E51E8D">
        <w:rPr>
          <w:rFonts w:ascii="Times New Roman" w:hAnsi="Times New Roman" w:cs="Times New Roman"/>
          <w:color w:val="000000"/>
          <w:kern w:val="0"/>
          <w:szCs w:val="21"/>
        </w:rPr>
        <w:br w:type="page"/>
      </w:r>
    </w:p>
    <w:p w:rsidR="00386FB8" w:rsidRPr="00E51E8D" w:rsidRDefault="00386FB8" w:rsidP="00386FB8">
      <w:pPr>
        <w:widowControl/>
        <w:jc w:val="left"/>
        <w:rPr>
          <w:rFonts w:ascii="Times New Roman" w:eastAsia="SimSun" w:hAnsi="Times New Roman" w:cs="Times New Roman"/>
          <w:color w:val="000000"/>
          <w:kern w:val="0"/>
          <w:szCs w:val="21"/>
        </w:rPr>
      </w:pPr>
      <w:r w:rsidRPr="00E51E8D">
        <w:rPr>
          <w:rFonts w:ascii="Times New Roman" w:eastAsia="SimSun" w:hAnsi="Times New Roman" w:cs="Times New Roman"/>
          <w:b/>
          <w:kern w:val="0"/>
          <w:szCs w:val="21"/>
        </w:rPr>
        <w:lastRenderedPageBreak/>
        <w:t>Part B: Supplementary Fig. S1: PCA score plot between NSCLC and cancer-free controls.</w:t>
      </w:r>
    </w:p>
    <w:p w:rsidR="00386FB8" w:rsidRDefault="00386FB8" w:rsidP="00386FB8">
      <w:pPr>
        <w:widowControl/>
        <w:jc w:val="left"/>
        <w:rPr>
          <w:rFonts w:ascii="Times New Roman" w:hAnsi="Times New Roman" w:cs="Times New Roman"/>
          <w:color w:val="000000"/>
          <w:kern w:val="0"/>
          <w:sz w:val="20"/>
          <w:szCs w:val="20"/>
        </w:rPr>
      </w:pPr>
      <w:r>
        <w:rPr>
          <w:rFonts w:ascii="Times New Roman" w:hAnsi="Times New Roman" w:cs="Times New Roman"/>
          <w:noProof/>
          <w:color w:val="000000"/>
          <w:kern w:val="0"/>
          <w:sz w:val="20"/>
          <w:szCs w:val="20"/>
          <w:lang w:eastAsia="en-US"/>
        </w:rPr>
        <w:drawing>
          <wp:inline distT="0" distB="0" distL="0" distR="0" wp14:anchorId="3266C2F8" wp14:editId="2B527A1D">
            <wp:extent cx="5583003" cy="2717941"/>
            <wp:effectExtent l="0" t="0" r="508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rotWithShape="1">
                    <a:blip r:embed="rId4" cstate="print">
                      <a:extLst>
                        <a:ext uri="{28A0092B-C50C-407E-A947-70E740481C1C}">
                          <a14:useLocalDpi xmlns:a14="http://schemas.microsoft.com/office/drawing/2010/main" val="0"/>
                        </a:ext>
                      </a:extLst>
                    </a:blip>
                    <a:srcRect r="9970" b="52746"/>
                    <a:stretch/>
                  </pic:blipFill>
                  <pic:spPr bwMode="auto">
                    <a:xfrm>
                      <a:off x="0" y="0"/>
                      <a:ext cx="5618471" cy="2735208"/>
                    </a:xfrm>
                    <a:prstGeom prst="rect">
                      <a:avLst/>
                    </a:prstGeom>
                    <a:ln>
                      <a:noFill/>
                    </a:ln>
                    <a:extLst>
                      <a:ext uri="{53640926-AAD7-44D8-BBD7-CCE9431645EC}">
                        <a14:shadowObscured xmlns:a14="http://schemas.microsoft.com/office/drawing/2010/main"/>
                      </a:ext>
                    </a:extLst>
                  </pic:spPr>
                </pic:pic>
              </a:graphicData>
            </a:graphic>
          </wp:inline>
        </w:drawing>
      </w:r>
    </w:p>
    <w:p w:rsidR="00386FB8" w:rsidRPr="00E51E8D" w:rsidRDefault="00386FB8" w:rsidP="00386FB8">
      <w:pPr>
        <w:widowControl/>
        <w:jc w:val="center"/>
        <w:rPr>
          <w:rFonts w:ascii="Times New Roman" w:eastAsia="SimSun" w:hAnsi="Times New Roman" w:cs="Times New Roman"/>
          <w:bCs/>
          <w:color w:val="000000"/>
          <w:kern w:val="0"/>
          <w:sz w:val="16"/>
          <w:szCs w:val="16"/>
        </w:rPr>
      </w:pPr>
      <w:r w:rsidRPr="00E51E8D">
        <w:rPr>
          <w:rFonts w:ascii="Times New Roman" w:eastAsia="SimSun" w:hAnsi="Times New Roman" w:cs="Times New Roman"/>
          <w:bCs/>
          <w:kern w:val="0"/>
          <w:sz w:val="16"/>
          <w:szCs w:val="16"/>
        </w:rPr>
        <w:t>Supplementary Fig. S1: PCA score plot and 3D PCA score plot between NSCLC and cancer-free controls.</w:t>
      </w:r>
    </w:p>
    <w:p w:rsidR="00386FB8" w:rsidRDefault="00386FB8" w:rsidP="00386FB8">
      <w:pPr>
        <w:widowControl/>
        <w:jc w:val="left"/>
        <w:rPr>
          <w:rFonts w:ascii="Times New Roman" w:hAnsi="Times New Roman" w:cs="Times New Roman"/>
          <w:color w:val="000000"/>
          <w:kern w:val="0"/>
          <w:sz w:val="20"/>
          <w:szCs w:val="20"/>
        </w:rPr>
      </w:pPr>
    </w:p>
    <w:p w:rsidR="00386FB8" w:rsidRDefault="00386FB8" w:rsidP="00386FB8">
      <w:pPr>
        <w:widowControl/>
        <w:jc w:val="left"/>
        <w:rPr>
          <w:rFonts w:ascii="Times New Roman" w:hAnsi="Times New Roman" w:cs="Times New Roman"/>
          <w:color w:val="000000"/>
          <w:kern w:val="0"/>
          <w:sz w:val="20"/>
          <w:szCs w:val="20"/>
        </w:rPr>
      </w:pPr>
    </w:p>
    <w:p w:rsidR="00386FB8" w:rsidRPr="00E51E8D" w:rsidRDefault="00386FB8" w:rsidP="00386FB8">
      <w:pPr>
        <w:widowControl/>
        <w:jc w:val="left"/>
        <w:rPr>
          <w:rFonts w:ascii="Times New Roman" w:eastAsia="SimSun" w:hAnsi="Times New Roman" w:cs="Times New Roman"/>
          <w:color w:val="000000"/>
          <w:kern w:val="0"/>
          <w:szCs w:val="21"/>
        </w:rPr>
      </w:pPr>
      <w:r w:rsidRPr="00E51E8D">
        <w:rPr>
          <w:rFonts w:ascii="Times New Roman" w:eastAsia="SimSun" w:hAnsi="Times New Roman" w:cs="Times New Roman"/>
          <w:b/>
          <w:kern w:val="0"/>
          <w:szCs w:val="21"/>
        </w:rPr>
        <w:t>Supplementary Fig. S2: OPLS-DA score plot and permutation test between NSCLC and cancer-free controls.</w:t>
      </w:r>
    </w:p>
    <w:p w:rsidR="00386FB8" w:rsidRDefault="00386FB8" w:rsidP="00386FB8">
      <w:pPr>
        <w:widowControl/>
        <w:jc w:val="left"/>
        <w:rPr>
          <w:rFonts w:ascii="Times New Roman" w:hAnsi="Times New Roman" w:cs="Times New Roman"/>
          <w:color w:val="000000"/>
          <w:kern w:val="0"/>
          <w:sz w:val="20"/>
          <w:szCs w:val="20"/>
        </w:rPr>
      </w:pPr>
      <w:r>
        <w:rPr>
          <w:rFonts w:ascii="Times New Roman" w:hAnsi="Times New Roman" w:cs="Times New Roman" w:hint="eastAsia"/>
          <w:noProof/>
          <w:color w:val="000000"/>
          <w:kern w:val="0"/>
          <w:sz w:val="20"/>
          <w:szCs w:val="20"/>
          <w:lang w:eastAsia="en-US"/>
        </w:rPr>
        <w:drawing>
          <wp:inline distT="0" distB="0" distL="0" distR="0" wp14:anchorId="16237218" wp14:editId="68DCC81A">
            <wp:extent cx="5478635" cy="2445136"/>
            <wp:effectExtent l="0" t="0" r="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5" cstate="print">
                      <a:extLst>
                        <a:ext uri="{28A0092B-C50C-407E-A947-70E740481C1C}">
                          <a14:useLocalDpi xmlns:a14="http://schemas.microsoft.com/office/drawing/2010/main" val="0"/>
                        </a:ext>
                      </a:extLst>
                    </a:blip>
                    <a:stretch>
                      <a:fillRect/>
                    </a:stretch>
                  </pic:blipFill>
                  <pic:spPr>
                    <a:xfrm>
                      <a:off x="0" y="0"/>
                      <a:ext cx="5502970" cy="2455997"/>
                    </a:xfrm>
                    <a:prstGeom prst="rect">
                      <a:avLst/>
                    </a:prstGeom>
                  </pic:spPr>
                </pic:pic>
              </a:graphicData>
            </a:graphic>
          </wp:inline>
        </w:drawing>
      </w:r>
    </w:p>
    <w:p w:rsidR="00386FB8" w:rsidRPr="00E51E8D" w:rsidRDefault="00386FB8" w:rsidP="00386FB8">
      <w:pPr>
        <w:widowControl/>
        <w:jc w:val="center"/>
        <w:rPr>
          <w:rFonts w:ascii="Times New Roman" w:eastAsia="SimSun" w:hAnsi="Times New Roman" w:cs="Times New Roman"/>
          <w:bCs/>
          <w:color w:val="000000"/>
          <w:kern w:val="0"/>
          <w:sz w:val="16"/>
          <w:szCs w:val="16"/>
        </w:rPr>
      </w:pPr>
      <w:r w:rsidRPr="00E51E8D">
        <w:rPr>
          <w:rFonts w:ascii="Times New Roman" w:eastAsia="SimSun" w:hAnsi="Times New Roman" w:cs="Times New Roman"/>
          <w:bCs/>
          <w:kern w:val="0"/>
          <w:sz w:val="16"/>
          <w:szCs w:val="16"/>
        </w:rPr>
        <w:t>Supplementary Fig. S2: OPLS-DA score plot between NSCLC and cancer-free controls and the permutation test of OPLS-DA.</w:t>
      </w:r>
    </w:p>
    <w:p w:rsidR="00000F57" w:rsidRDefault="00386FB8">
      <w:bookmarkStart w:id="0" w:name="_GoBack"/>
      <w:bookmarkEnd w:id="0"/>
    </w:p>
    <w:sectPr w:rsidR="00000F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FB8"/>
    <w:rsid w:val="0007695B"/>
    <w:rsid w:val="00386FB8"/>
    <w:rsid w:val="005615C6"/>
    <w:rsid w:val="005E078B"/>
    <w:rsid w:val="007D4061"/>
    <w:rsid w:val="008B4EED"/>
    <w:rsid w:val="00B03778"/>
    <w:rsid w:val="00CD1A17"/>
    <w:rsid w:val="00EE3FE5"/>
    <w:rsid w:val="00EF5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C41EED-EE54-4DD0-8A0B-368FAF7B4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6FB8"/>
    <w:pPr>
      <w:widowControl w:val="0"/>
      <w:spacing w:after="0" w:line="240" w:lineRule="auto"/>
      <w:jc w:val="both"/>
    </w:pPr>
    <w:rPr>
      <w:rFonts w:eastAsiaTheme="minorEastAsia"/>
      <w:kern w:val="2"/>
      <w:sz w:val="21"/>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tiff"/><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375</Words>
  <Characters>2139</Characters>
  <Application>Microsoft Office Word</Application>
  <DocSecurity>0</DocSecurity>
  <Lines>17</Lines>
  <Paragraphs>5</Paragraphs>
  <ScaleCrop>false</ScaleCrop>
  <Company>Springer Nature IT</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2022-05-19T03:10:00Z</dcterms:created>
  <dcterms:modified xsi:type="dcterms:W3CDTF">2022-05-19T03:10:00Z</dcterms:modified>
</cp:coreProperties>
</file>