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7D" w:rsidRDefault="004C267D" w:rsidP="00965B1A">
      <w:pPr>
        <w:spacing w:line="480" w:lineRule="auto"/>
        <w:rPr>
          <w:rFonts w:hint="eastAsia"/>
          <w:b/>
          <w:sz w:val="21"/>
          <w:szCs w:val="21"/>
          <w:lang w:eastAsia="zh-CN"/>
        </w:rPr>
      </w:pPr>
      <w:bookmarkStart w:id="0" w:name="OLE_LINK117"/>
    </w:p>
    <w:p w:rsidR="00965B1A" w:rsidRPr="004E3A77" w:rsidRDefault="00FC53AA" w:rsidP="00965B1A">
      <w:pPr>
        <w:spacing w:line="480" w:lineRule="auto"/>
        <w:rPr>
          <w:rFonts w:cs="Times New Roman"/>
          <w:b/>
          <w:sz w:val="21"/>
          <w:szCs w:val="21"/>
          <w:lang w:eastAsia="zh-CN"/>
        </w:rPr>
      </w:pPr>
      <w:r w:rsidRPr="004E3A77">
        <w:rPr>
          <w:b/>
          <w:sz w:val="21"/>
          <w:szCs w:val="21"/>
        </w:rPr>
        <w:t>Supplementary Table</w:t>
      </w:r>
      <w:r w:rsidR="00965B1A" w:rsidRPr="004E3A77">
        <w:rPr>
          <w:rFonts w:cs="Times New Roman"/>
          <w:b/>
          <w:sz w:val="21"/>
          <w:szCs w:val="21"/>
        </w:rPr>
        <w:t xml:space="preserve"> 1 </w:t>
      </w:r>
      <w:r w:rsidR="003242C0" w:rsidRPr="004E3A77">
        <w:rPr>
          <w:sz w:val="21"/>
          <w:szCs w:val="21"/>
        </w:rPr>
        <w:t xml:space="preserve">Clinical characteristics of the training and validation </w:t>
      </w:r>
      <w:r w:rsidR="003242C0" w:rsidRPr="004E3A77">
        <w:rPr>
          <w:rFonts w:hint="eastAsia"/>
          <w:sz w:val="21"/>
          <w:szCs w:val="21"/>
        </w:rPr>
        <w:t>cohorts</w:t>
      </w:r>
      <w:r w:rsidR="003242C0" w:rsidRPr="004E3A77">
        <w:rPr>
          <w:rFonts w:cs="Times New Roman"/>
          <w:sz w:val="21"/>
          <w:szCs w:val="21"/>
        </w:rPr>
        <w:t xml:space="preserve"> </w:t>
      </w:r>
      <w:bookmarkEnd w:id="0"/>
    </w:p>
    <w:tbl>
      <w:tblPr>
        <w:tblW w:w="5700" w:type="pct"/>
        <w:tblInd w:w="-176" w:type="dxa"/>
        <w:tblLook w:val="04A0"/>
      </w:tblPr>
      <w:tblGrid>
        <w:gridCol w:w="4013"/>
        <w:gridCol w:w="140"/>
        <w:gridCol w:w="1113"/>
        <w:gridCol w:w="691"/>
        <w:gridCol w:w="268"/>
        <w:gridCol w:w="1302"/>
        <w:gridCol w:w="484"/>
        <w:gridCol w:w="1678"/>
        <w:gridCol w:w="559"/>
        <w:gridCol w:w="1144"/>
      </w:tblGrid>
      <w:tr w:rsidR="003242C0" w:rsidRPr="004E3A77" w:rsidTr="004E3A77">
        <w:trPr>
          <w:trHeight w:val="288"/>
        </w:trPr>
        <w:tc>
          <w:tcPr>
            <w:tcW w:w="16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color w:val="000000"/>
                <w:sz w:val="21"/>
                <w:szCs w:val="21"/>
              </w:rPr>
            </w:pPr>
            <w:bookmarkStart w:id="1" w:name="OLE_LINK84"/>
            <w:r w:rsidRPr="004E3A77">
              <w:rPr>
                <w:rFonts w:eastAsiaTheme="majorEastAsia" w:cs="Times New Roman"/>
                <w:b/>
                <w:color w:val="000000"/>
                <w:sz w:val="21"/>
                <w:szCs w:val="21"/>
              </w:rPr>
              <w:t>Variable</w:t>
            </w:r>
          </w:p>
        </w:tc>
        <w:tc>
          <w:tcPr>
            <w:tcW w:w="87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color w:val="000000"/>
                <w:sz w:val="21"/>
                <w:szCs w:val="21"/>
              </w:rPr>
              <w:t>Training (n=68)</w:t>
            </w:r>
          </w:p>
        </w:tc>
        <w:tc>
          <w:tcPr>
            <w:tcW w:w="9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color w:val="000000"/>
                <w:sz w:val="21"/>
                <w:szCs w:val="21"/>
              </w:rPr>
            </w:pPr>
            <w:bookmarkStart w:id="2" w:name="OLE_LINK29"/>
            <w:bookmarkStart w:id="3" w:name="OLE_LINK30"/>
            <w:r w:rsidRPr="004E3A77">
              <w:rPr>
                <w:rFonts w:eastAsiaTheme="majorEastAsia" w:cs="Times New Roman"/>
                <w:b/>
                <w:color w:val="000000"/>
                <w:sz w:val="21"/>
                <w:szCs w:val="21"/>
              </w:rPr>
              <w:t>Validation</w:t>
            </w:r>
            <w:bookmarkEnd w:id="2"/>
            <w:bookmarkEnd w:id="3"/>
            <w:r w:rsidRPr="004E3A77">
              <w:rPr>
                <w:rFonts w:eastAsiaTheme="majorEastAsia" w:cs="Times New Roman"/>
                <w:b/>
                <w:color w:val="000000"/>
                <w:sz w:val="21"/>
                <w:szCs w:val="21"/>
              </w:rPr>
              <w:t xml:space="preserve"> (n=28)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color w:val="000000"/>
                <w:sz w:val="21"/>
                <w:szCs w:val="21"/>
              </w:rPr>
              <w:t>Total (n=96)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color w:val="000000"/>
                <w:sz w:val="21"/>
                <w:szCs w:val="21"/>
              </w:rPr>
              <w:t>p-value</w:t>
            </w:r>
          </w:p>
        </w:tc>
      </w:tr>
      <w:tr w:rsidR="004E3A77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Age(y),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 (%)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60.706 (10.288)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62.179 (8.111)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61.135 (9.685)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0.49953</w:t>
            </w:r>
          </w:p>
        </w:tc>
      </w:tr>
      <w:tr w:rsidR="003242C0" w:rsidRPr="004E3A77" w:rsidTr="004E3A77">
        <w:trPr>
          <w:trHeight w:val="288"/>
        </w:trPr>
        <w:tc>
          <w:tcPr>
            <w:tcW w:w="2680" w:type="pct"/>
            <w:gridSpan w:val="5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Sex (%)</w:t>
            </w:r>
          </w:p>
        </w:tc>
        <w:tc>
          <w:tcPr>
            <w:tcW w:w="582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223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100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512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37 (54.412)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15 (53.571)</w:t>
            </w:r>
          </w:p>
        </w:tc>
        <w:tc>
          <w:tcPr>
            <w:tcW w:w="100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52 (54.167)</w:t>
            </w:r>
          </w:p>
        </w:tc>
        <w:tc>
          <w:tcPr>
            <w:tcW w:w="512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31 (45.588)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13 (46.429)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44 (45.833)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3242C0" w:rsidRPr="004E3A77" w:rsidTr="004E3A77">
        <w:trPr>
          <w:trHeight w:val="288"/>
        </w:trPr>
        <w:tc>
          <w:tcPr>
            <w:tcW w:w="2238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Clinical symptoms (%)</w:t>
            </w:r>
          </w:p>
        </w:tc>
        <w:tc>
          <w:tcPr>
            <w:tcW w:w="1024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223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Asymptomatic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38 (55.882)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21 (75.000)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59 (61.458)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Abdominal pain or abdominal Distention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25 (36.765)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 (21.429)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31 (32.292)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Yellow urine or weakness or yellowing of skin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 (5.882)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 (0.000)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 (4.167)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Fever or emaciation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(1.471)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(3.571)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 (2.083)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0.19585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 xml:space="preserve">Chronic 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hepatopathy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53 (77.941)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20 (71.429)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73 (76.042)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53 (77.941)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20 (71.429)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73 (76.042)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 xml:space="preserve">Hepatitis </w:t>
            </w:r>
            <w:proofErr w:type="spellStart"/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Bassociated</w:t>
            </w:r>
            <w:proofErr w:type="spellEnd"/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 xml:space="preserve"> liver cirrhosis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10 (14.706)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 (21.429)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16 (16.667)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proofErr w:type="spellStart"/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Schistosomiasis</w:t>
            </w:r>
            <w:proofErr w:type="spellEnd"/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 xml:space="preserve"> cirrhosis of liver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 (5.882)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 (7.143)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 (6.250)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 xml:space="preserve">Primary </w:t>
            </w:r>
            <w:proofErr w:type="spellStart"/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biliary</w:t>
            </w:r>
            <w:proofErr w:type="spellEnd"/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 xml:space="preserve"> cirrhosis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(1.471)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 (0.000)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(1.042)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0.77451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TB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umol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/L),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27.025 (50.624)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31.039 (72.827)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28.196 (57.603)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0.75742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Alb (g/L),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43.637 (4.838)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43.161 (6.499)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43.498 (5.344)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0.69288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GLB,</w:t>
            </w:r>
            <w:r w:rsidRPr="004E3A77">
              <w:rPr>
                <w:rFonts w:eastAsiaTheme="majorEastAsia" w:cs="Times New Roman"/>
                <w:sz w:val="21"/>
                <w:szCs w:val="21"/>
              </w:rPr>
              <w:t xml:space="preserve"> </w:t>
            </w: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(g/L),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28.207 (4.093)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30.936 (9.901)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29.003 (6.421)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0.05502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ALT, (IU/L),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37.706 (53.485)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38.429 (73.726)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37.917 (59.687)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0.95722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lastRenderedPageBreak/>
              <w:t>AST, (IU/L),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40.088 (59.024)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31.714 (33.69)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37.646 (52.861)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0.48167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LYM, (10</w:t>
            </w: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9</w:t>
            </w: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/L),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1.573 (0.657)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1.661 (0.594)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1.599 (0.638)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0.54327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Neutrophils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 xml:space="preserve"> (10</w:t>
            </w: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9</w:t>
            </w: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/L),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4.273 (1.95)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4.068 (1.551)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4.213 (1.837)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0.61994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PLT, (10</w:t>
            </w: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9</w:t>
            </w: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/L),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203.676 (88.4)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194.857 (70.485)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201.104 (83.304)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0.63868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sz w:val="21"/>
                <w:szCs w:val="21"/>
              </w:rPr>
              <w:t>CEA (u/ml)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sz w:val="21"/>
                <w:szCs w:val="21"/>
              </w:rPr>
              <w:t>≤5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48 (70.588)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18 (64.286)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66 (68.750)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sz w:val="21"/>
                <w:szCs w:val="21"/>
              </w:rPr>
            </w:pPr>
            <w:r w:rsidRPr="004E3A77">
              <w:rPr>
                <w:rFonts w:eastAsiaTheme="majorEastAsia" w:cs="Times New Roman" w:hint="eastAsia"/>
                <w:sz w:val="21"/>
                <w:szCs w:val="21"/>
              </w:rPr>
              <w:t>＞</w:t>
            </w:r>
            <w:r w:rsidRPr="004E3A77">
              <w:rPr>
                <w:rFonts w:eastAsiaTheme="majorEastAsia" w:cs="Times New Roman"/>
                <w:sz w:val="21"/>
                <w:szCs w:val="21"/>
              </w:rPr>
              <w:t>5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20 (29.412)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10 (35.714)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30 (31.250)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0.71636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sz w:val="21"/>
                <w:szCs w:val="21"/>
              </w:rPr>
              <w:t>AFP (u/ml)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sz w:val="21"/>
                <w:szCs w:val="21"/>
              </w:rPr>
            </w:pPr>
            <w:r w:rsidRPr="004E3A77">
              <w:rPr>
                <w:rFonts w:eastAsiaTheme="majorEastAsia" w:cs="Times New Roman" w:hint="eastAsia"/>
                <w:sz w:val="21"/>
                <w:szCs w:val="21"/>
              </w:rPr>
              <w:t>≤</w:t>
            </w:r>
            <w:r w:rsidRPr="004E3A77">
              <w:rPr>
                <w:rFonts w:eastAsiaTheme="majorEastAsia" w:cs="Times New Roman"/>
                <w:sz w:val="21"/>
                <w:szCs w:val="21"/>
              </w:rPr>
              <w:t>20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63 (92.647)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27 (96.429)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90 (93.750)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sz w:val="21"/>
                <w:szCs w:val="21"/>
              </w:rPr>
            </w:pPr>
            <w:r w:rsidRPr="004E3A77">
              <w:rPr>
                <w:rFonts w:eastAsiaTheme="majorEastAsia" w:cs="Times New Roman" w:hint="eastAsia"/>
                <w:sz w:val="21"/>
                <w:szCs w:val="21"/>
              </w:rPr>
              <w:t>＞</w:t>
            </w:r>
            <w:r w:rsidRPr="004E3A77">
              <w:rPr>
                <w:rFonts w:eastAsiaTheme="majorEastAsia" w:cs="Times New Roman"/>
                <w:sz w:val="21"/>
                <w:szCs w:val="21"/>
              </w:rPr>
              <w:t>20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 (7.353)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(3.571)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 (6.250)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0.81661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sz w:val="21"/>
                <w:szCs w:val="21"/>
              </w:rPr>
              <w:t>CA199 (u/ml)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sz w:val="21"/>
                <w:szCs w:val="21"/>
              </w:rPr>
            </w:pPr>
            <w:r w:rsidRPr="004E3A77">
              <w:rPr>
                <w:rFonts w:eastAsiaTheme="majorEastAsia" w:cs="Times New Roman" w:hint="eastAsia"/>
                <w:sz w:val="21"/>
                <w:szCs w:val="21"/>
              </w:rPr>
              <w:t>≤</w:t>
            </w:r>
            <w:r w:rsidRPr="004E3A77">
              <w:rPr>
                <w:rFonts w:eastAsiaTheme="majorEastAsia" w:cs="Times New Roman"/>
                <w:sz w:val="21"/>
                <w:szCs w:val="21"/>
              </w:rPr>
              <w:t>37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31 (45.588)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14 (50.000)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45 (46.875)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sz w:val="21"/>
                <w:szCs w:val="21"/>
              </w:rPr>
            </w:pPr>
            <w:r w:rsidRPr="004E3A77">
              <w:rPr>
                <w:rFonts w:eastAsiaTheme="majorEastAsia" w:cs="Times New Roman" w:hint="eastAsia"/>
                <w:sz w:val="21"/>
                <w:szCs w:val="21"/>
              </w:rPr>
              <w:t>＞</w:t>
            </w:r>
            <w:r w:rsidRPr="004E3A77">
              <w:rPr>
                <w:rFonts w:eastAsiaTheme="majorEastAsia" w:cs="Times New Roman"/>
                <w:sz w:val="21"/>
                <w:szCs w:val="21"/>
              </w:rPr>
              <w:t>37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37 (54.412)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14 (50.000)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51 (53.125)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0.866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sz w:val="21"/>
                <w:szCs w:val="21"/>
              </w:rPr>
              <w:t>CA125 (u/ml)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sz w:val="21"/>
                <w:szCs w:val="21"/>
              </w:rPr>
            </w:pPr>
            <w:r w:rsidRPr="004E3A77">
              <w:rPr>
                <w:rFonts w:eastAsiaTheme="majorEastAsia" w:cs="Times New Roman" w:hint="eastAsia"/>
                <w:sz w:val="21"/>
                <w:szCs w:val="21"/>
              </w:rPr>
              <w:t>≤</w:t>
            </w:r>
            <w:r w:rsidRPr="004E3A77">
              <w:rPr>
                <w:rFonts w:eastAsiaTheme="majorEastAsia" w:cs="Times New Roman"/>
                <w:sz w:val="21"/>
                <w:szCs w:val="21"/>
              </w:rPr>
              <w:t>35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46 (67.647)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22 (78.571)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68 (70.833)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sz w:val="21"/>
                <w:szCs w:val="21"/>
              </w:rPr>
            </w:pPr>
            <w:r w:rsidRPr="004E3A77">
              <w:rPr>
                <w:rFonts w:eastAsiaTheme="majorEastAsia" w:cs="Times New Roman" w:hint="eastAsia"/>
                <w:sz w:val="21"/>
                <w:szCs w:val="21"/>
              </w:rPr>
              <w:t>＞</w:t>
            </w:r>
            <w:r w:rsidRPr="004E3A77">
              <w:rPr>
                <w:rFonts w:eastAsiaTheme="majorEastAsia" w:cs="Times New Roman"/>
                <w:sz w:val="21"/>
                <w:szCs w:val="21"/>
              </w:rPr>
              <w:t>35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22 (32.353)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 (21.429)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28 (29.167)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0.4103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Differentiation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Poor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16 (23.529)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9 (32.143)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25 (26.042)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Poor-moderate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20 (29.412)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 (14.286)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24 (25.000)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Moderate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27 (39.706)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13 (46.429)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40 (41.667)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Moderate-well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 (4.412)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 (7.143)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 (5.208)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lastRenderedPageBreak/>
              <w:t>Well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 (2.941)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 (0.000)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 (2.083)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0.44771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MVI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58 (85.294)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22 (78.571)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80 (83.333)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10 (14.706)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 (21.429)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16 (16.667)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0.6156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Bile duct invasion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55 (80.882)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22 (78.571)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77 (80.208)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13 (19.118)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 (21.429)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19 (19.792)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Growth patterns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Mass-forming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53 (77.941)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25 (89.286)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78 (81.250)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proofErr w:type="spellStart"/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Periductal</w:t>
            </w:r>
            <w:proofErr w:type="spellEnd"/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 xml:space="preserve"> infiltrating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12 (17.647)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 (10.714)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15 (15.625)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Intraductal growth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 (4.412)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 (0.000)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 (3.125)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0.33967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Number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One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55 (80.882)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18 (64.286)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73 (76.042)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Two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 (8.824)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 (10.714)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9 (9.375)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More than two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 (10.294)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 (25.000)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14 (14.583)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0.15449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Size(cm),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5.328 (2.016)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5.368 (2.801)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5.34 (2.257)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0.93802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Adjacent organ invasion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65 (95.588)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27 (96.429)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92 (95.833)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 (4.412)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(3.571)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 (4.167)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Major vascular invasion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39 (57.353)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21 (75.000)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60 (62.500)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29 (42.647)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 (25.000)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36 (37.500)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0.16409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lastRenderedPageBreak/>
              <w:t>Lymphatic metastasis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53 (77.941)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25 (89.286)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78 (81.250)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15 (22.059)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 (10.714)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18 (18.750)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0.31405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Distant metastasis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67 (98.529)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27 (96.429)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94 (97.917)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(1.471)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(3.571)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 (2.083)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TNM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Ⅰ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28 (41.176)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12 (42.857)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40 (41.667)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Ⅱ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17 (25.000)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10 (35.714)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27 (28.125)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Ⅲ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22 (32.353)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 (17.857)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27 (28.125)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Ⅳ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(1.471)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 (3.571)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 (2.083)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0.43601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Resection margins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R0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63 (92.647)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28 (100.000)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91 (94.792)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R1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 (7.353)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 (0.000)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 (5.208)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0.33281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Postoperative recurrence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35 (51.471)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15 (53.571)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50 (52.083)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33 (48.529)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13 (46.429)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46 (47.917)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Postoperative treatment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32 (47.059)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14 (50.000)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46 (47.917)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asciiTheme="minorHAnsi" w:eastAsia="宋体" w:hAnsiTheme="minorHAnsi"/>
                <w:kern w:val="2"/>
                <w:sz w:val="21"/>
                <w:szCs w:val="21"/>
              </w:rPr>
            </w:pP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36 (52.941)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14 (50.000)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50 (52.083)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0.97012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OS(month), mean (</w:t>
            </w: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sd</w:t>
            </w:r>
            <w:proofErr w:type="spellEnd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813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22.853(13.371)</w:t>
            </w:r>
          </w:p>
        </w:tc>
        <w:tc>
          <w:tcPr>
            <w:tcW w:w="933" w:type="pct"/>
            <w:gridSpan w:val="3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21.207(11.126)</w:t>
            </w:r>
          </w:p>
        </w:tc>
        <w:tc>
          <w:tcPr>
            <w:tcW w:w="747" w:type="pct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22.373(12.722)</w:t>
            </w:r>
          </w:p>
        </w:tc>
        <w:tc>
          <w:tcPr>
            <w:tcW w:w="768" w:type="pct"/>
            <w:gridSpan w:val="2"/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0.56589</w:t>
            </w:r>
          </w:p>
        </w:tc>
      </w:tr>
      <w:tr w:rsidR="003242C0" w:rsidRPr="004E3A77" w:rsidTr="004E3A77">
        <w:trPr>
          <w:trHeight w:val="288"/>
        </w:trPr>
        <w:tc>
          <w:tcPr>
            <w:tcW w:w="17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4E3A77">
              <w:rPr>
                <w:rFonts w:eastAsiaTheme="majorEastAsia" w:cs="Times New Roman"/>
                <w:b/>
                <w:bCs/>
                <w:color w:val="000000"/>
                <w:sz w:val="21"/>
                <w:szCs w:val="21"/>
              </w:rPr>
              <w:t>Radscore</w:t>
            </w:r>
            <w:proofErr w:type="spellEnd"/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 (1.181)</w:t>
            </w:r>
          </w:p>
        </w:tc>
        <w:tc>
          <w:tcPr>
            <w:tcW w:w="9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0.126 (1.532)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0.037 (1.286)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242C0" w:rsidRPr="004E3A77" w:rsidRDefault="003242C0">
            <w:pPr>
              <w:rPr>
                <w:rFonts w:eastAsiaTheme="majorEastAsia" w:cs="Times New Roman"/>
                <w:color w:val="000000"/>
                <w:sz w:val="21"/>
                <w:szCs w:val="21"/>
              </w:rPr>
            </w:pPr>
            <w:r w:rsidRPr="004E3A77">
              <w:rPr>
                <w:rFonts w:eastAsiaTheme="majorEastAsia" w:cs="Times New Roman"/>
                <w:color w:val="000000"/>
                <w:sz w:val="21"/>
                <w:szCs w:val="21"/>
              </w:rPr>
              <w:t>0.66326</w:t>
            </w:r>
          </w:p>
        </w:tc>
      </w:tr>
      <w:bookmarkEnd w:id="1"/>
    </w:tbl>
    <w:p w:rsidR="0053258E" w:rsidRPr="004E3A77" w:rsidRDefault="0053258E" w:rsidP="004C267D">
      <w:pPr>
        <w:spacing w:before="240"/>
        <w:rPr>
          <w:rFonts w:hint="eastAsia"/>
          <w:sz w:val="21"/>
          <w:szCs w:val="21"/>
          <w:lang w:eastAsia="zh-CN"/>
        </w:rPr>
      </w:pPr>
    </w:p>
    <w:sectPr w:rsidR="0053258E" w:rsidRPr="004E3A77" w:rsidSect="003242C0">
      <w:headerReference w:type="even" r:id="rId6"/>
      <w:footerReference w:type="even" r:id="rId7"/>
      <w:footerReference w:type="default" r:id="rId8"/>
      <w:headerReference w:type="first" r:id="rId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ADF" w:rsidRDefault="00810ADF" w:rsidP="00882417">
      <w:pPr>
        <w:spacing w:before="0" w:after="0"/>
      </w:pPr>
      <w:r>
        <w:separator/>
      </w:r>
    </w:p>
  </w:endnote>
  <w:endnote w:type="continuationSeparator" w:id="0">
    <w:p w:rsidR="00810ADF" w:rsidRDefault="00810ADF" w:rsidP="0088241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2C0" w:rsidRPr="00577C4C" w:rsidRDefault="0014238E">
    <w:pPr>
      <w:rPr>
        <w:color w:val="C00000"/>
        <w:szCs w:val="24"/>
      </w:rPr>
    </w:pPr>
    <w:r w:rsidRPr="0014238E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540.4pt;margin-top:0;width:118.8pt;height:31.15pt;z-index:251661312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<v:textbox style="mso-fit-shape-to-text:t">
            <w:txbxContent>
              <w:p w:rsidR="003242C0" w:rsidRPr="00577C4C" w:rsidRDefault="0014238E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3242C0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4E3A77">
                  <w:rPr>
                    <w:noProof/>
                    <w:color w:val="000000" w:themeColor="text1"/>
                    <w:szCs w:val="40"/>
                  </w:rPr>
                  <w:t>4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2C0" w:rsidRPr="00577C4C" w:rsidRDefault="0014238E">
    <w:pPr>
      <w:rPr>
        <w:b/>
        <w:sz w:val="20"/>
        <w:szCs w:val="24"/>
      </w:rPr>
    </w:pPr>
    <w:r w:rsidRPr="0014238E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1025" type="#_x0000_t202" style="position:absolute;margin-left:540.4pt;margin-top:0;width:118.8pt;height:31.15pt;z-index:251660288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<v:textbox style="mso-fit-shape-to-text:t">
            <w:txbxContent>
              <w:p w:rsidR="003242C0" w:rsidRPr="00577C4C" w:rsidRDefault="0014238E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3242C0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4C267D">
                  <w:rPr>
                    <w:noProof/>
                    <w:color w:val="000000" w:themeColor="text1"/>
                    <w:szCs w:val="40"/>
                  </w:rPr>
                  <w:t>2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ADF" w:rsidRDefault="00810ADF" w:rsidP="00882417">
      <w:pPr>
        <w:spacing w:before="0" w:after="0"/>
      </w:pPr>
      <w:r>
        <w:separator/>
      </w:r>
    </w:p>
  </w:footnote>
  <w:footnote w:type="continuationSeparator" w:id="0">
    <w:p w:rsidR="00810ADF" w:rsidRDefault="00810ADF" w:rsidP="00882417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2C0" w:rsidRPr="009151AA" w:rsidRDefault="003242C0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2C0" w:rsidRDefault="003242C0" w:rsidP="003242C0">
    <w:r w:rsidRPr="007E3148">
      <w:rPr>
        <w:b/>
      </w:rPr>
      <w:ptab w:relativeTo="margin" w:alignment="center" w:leader="none"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2417"/>
    <w:rsid w:val="00002EC5"/>
    <w:rsid w:val="0014238E"/>
    <w:rsid w:val="00206119"/>
    <w:rsid w:val="00277CCE"/>
    <w:rsid w:val="00300D16"/>
    <w:rsid w:val="003242C0"/>
    <w:rsid w:val="00405E71"/>
    <w:rsid w:val="00434A25"/>
    <w:rsid w:val="004C267D"/>
    <w:rsid w:val="004E3A77"/>
    <w:rsid w:val="0053258E"/>
    <w:rsid w:val="006C5AAD"/>
    <w:rsid w:val="00810ADF"/>
    <w:rsid w:val="00882417"/>
    <w:rsid w:val="008A2C39"/>
    <w:rsid w:val="00965B1A"/>
    <w:rsid w:val="00B15EB7"/>
    <w:rsid w:val="00C75867"/>
    <w:rsid w:val="00EF4AB1"/>
    <w:rsid w:val="00FC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17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24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semiHidden/>
    <w:rsid w:val="008824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2417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semiHidden/>
    <w:rsid w:val="00882417"/>
    <w:rPr>
      <w:sz w:val="18"/>
      <w:szCs w:val="18"/>
    </w:rPr>
  </w:style>
  <w:style w:type="table" w:styleId="a5">
    <w:name w:val="Table Grid"/>
    <w:basedOn w:val="a1"/>
    <w:uiPriority w:val="59"/>
    <w:rsid w:val="00882417"/>
    <w:rPr>
      <w:rFonts w:asciiTheme="majorHAnsi" w:hAnsiTheme="majorHAnsi"/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pplementaryMaterial">
    <w:name w:val="Supplementary Material"/>
    <w:basedOn w:val="a6"/>
    <w:next w:val="a6"/>
    <w:qFormat/>
    <w:rsid w:val="00882417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6">
    <w:name w:val="Title"/>
    <w:basedOn w:val="a"/>
    <w:next w:val="a"/>
    <w:link w:val="Char1"/>
    <w:uiPriority w:val="10"/>
    <w:qFormat/>
    <w:rsid w:val="0088241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882417"/>
    <w:rPr>
      <w:rFonts w:asciiTheme="majorHAnsi" w:eastAsia="宋体" w:hAnsiTheme="majorHAnsi" w:cstheme="majorBidi"/>
      <w:b/>
      <w:bCs/>
      <w:kern w:val="0"/>
      <w:sz w:val="32"/>
      <w:szCs w:val="32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882417"/>
    <w:pPr>
      <w:spacing w:before="0" w:after="0"/>
    </w:pPr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82417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596</Words>
  <Characters>3400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12</cp:revision>
  <dcterms:created xsi:type="dcterms:W3CDTF">2022-04-14T15:33:00Z</dcterms:created>
  <dcterms:modified xsi:type="dcterms:W3CDTF">2022-04-15T15:11:00Z</dcterms:modified>
</cp:coreProperties>
</file>