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A36" w:rsidRPr="00422150" w:rsidRDefault="00336A36" w:rsidP="0042215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57" w:hanging="567"/>
        <w:jc w:val="both"/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</w:pPr>
      <w:bookmarkStart w:id="0" w:name="_heading=h.206ipza" w:colFirst="0" w:colLast="0"/>
      <w:bookmarkStart w:id="1" w:name="_GoBack"/>
      <w:bookmarkEnd w:id="0"/>
      <w:bookmarkEnd w:id="1"/>
      <w:r w:rsidRPr="00422150"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  <w:t>Supplementary Files</w:t>
      </w:r>
    </w:p>
    <w:p w:rsidR="00336A36" w:rsidRPr="00422150" w:rsidRDefault="00336A36" w:rsidP="00422150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ind w:left="567" w:hanging="567"/>
        <w:jc w:val="both"/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</w:pPr>
      <w:bookmarkStart w:id="2" w:name="_heading=h.4k668n3" w:colFirst="0" w:colLast="0"/>
      <w:bookmarkEnd w:id="2"/>
      <w:r w:rsidRPr="00422150"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  <w:t>Supplementary File 1 – Extensive Search Strategy</w:t>
      </w:r>
    </w:p>
    <w:tbl>
      <w:tblPr>
        <w:tblW w:w="128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82"/>
        <w:gridCol w:w="7785"/>
        <w:gridCol w:w="993"/>
        <w:gridCol w:w="2835"/>
      </w:tblGrid>
      <w:tr w:rsidR="00336A36" w:rsidRPr="00422150" w:rsidTr="00336A36">
        <w:trPr>
          <w:trHeight w:val="352"/>
        </w:trPr>
        <w:tc>
          <w:tcPr>
            <w:tcW w:w="1282" w:type="dxa"/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Data Base</w:t>
            </w:r>
          </w:p>
        </w:tc>
        <w:tc>
          <w:tcPr>
            <w:tcW w:w="7785" w:type="dxa"/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Search Terms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Results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Filters Applied</w:t>
            </w:r>
          </w:p>
        </w:tc>
      </w:tr>
      <w:tr w:rsidR="00336A36" w:rsidRPr="00422150" w:rsidTr="00336A36">
        <w:trPr>
          <w:trHeight w:val="352"/>
        </w:trPr>
        <w:tc>
          <w:tcPr>
            <w:tcW w:w="1282" w:type="dxa"/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PubMED</w:t>
            </w:r>
          </w:p>
        </w:tc>
        <w:tc>
          <w:tcPr>
            <w:tcW w:w="7785" w:type="dxa"/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(Anthracyclines OR Trastuzumab) AND (Cardiotoxicity OR cardiomyopathy) AND (Prevention OR Treatment OR Prophylaxis)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262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Randomized Controlled Trial</w:t>
            </w:r>
          </w:p>
        </w:tc>
      </w:tr>
      <w:tr w:rsidR="00336A36" w:rsidRPr="00422150" w:rsidTr="00336A36">
        <w:trPr>
          <w:trHeight w:val="352"/>
        </w:trPr>
        <w:tc>
          <w:tcPr>
            <w:tcW w:w="1282" w:type="dxa"/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Embase</w:t>
            </w:r>
          </w:p>
        </w:tc>
        <w:tc>
          <w:tcPr>
            <w:tcW w:w="7785" w:type="dxa"/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(Anthracyclines OR Trastuzumab) AND (Cardiotoxicity OR cardiomyopathy) AND (Prevention OR Treatment OR Prophylaxis)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270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Randomized Controlled Trial</w:t>
            </w:r>
          </w:p>
        </w:tc>
      </w:tr>
      <w:tr w:rsidR="00336A36" w:rsidRPr="00422150" w:rsidTr="00336A36">
        <w:trPr>
          <w:trHeight w:val="352"/>
        </w:trPr>
        <w:tc>
          <w:tcPr>
            <w:tcW w:w="1282" w:type="dxa"/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Cochrane Library</w:t>
            </w:r>
          </w:p>
        </w:tc>
        <w:tc>
          <w:tcPr>
            <w:tcW w:w="7785" w:type="dxa"/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(Anthracyclines OR Trastuzumab) AND (Cardiotoxicity OR cardiomyopathy) AND (Prevention OR Treatment OR Prophylaxis)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None</w:t>
            </w:r>
          </w:p>
        </w:tc>
      </w:tr>
    </w:tbl>
    <w:p w:rsidR="00336A36" w:rsidRPr="00422150" w:rsidRDefault="00336A36" w:rsidP="00422150">
      <w:pPr>
        <w:pBdr>
          <w:top w:val="nil"/>
          <w:left w:val="nil"/>
          <w:bottom w:val="nil"/>
          <w:right w:val="nil"/>
          <w:between w:val="nil"/>
        </w:pBdr>
        <w:spacing w:before="480" w:after="240" w:line="360" w:lineRule="auto"/>
        <w:ind w:left="567" w:hanging="567"/>
        <w:jc w:val="both"/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</w:pPr>
      <w:r w:rsidRPr="00422150"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  <w:t xml:space="preserve"> </w:t>
      </w:r>
    </w:p>
    <w:p w:rsidR="00336A36" w:rsidRPr="00422150" w:rsidRDefault="00336A36" w:rsidP="00422150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422150">
        <w:rPr>
          <w:rFonts w:asciiTheme="minorHAnsi" w:hAnsiTheme="minorHAnsi" w:cstheme="minorHAnsi"/>
          <w:sz w:val="22"/>
          <w:szCs w:val="22"/>
        </w:rPr>
        <w:br w:type="page"/>
      </w:r>
    </w:p>
    <w:p w:rsidR="00336A36" w:rsidRPr="00422150" w:rsidRDefault="00336A36" w:rsidP="00422150">
      <w:pPr>
        <w:pBdr>
          <w:top w:val="nil"/>
          <w:left w:val="nil"/>
          <w:bottom w:val="nil"/>
          <w:right w:val="nil"/>
          <w:between w:val="nil"/>
        </w:pBdr>
        <w:spacing w:before="480" w:after="240" w:line="360" w:lineRule="auto"/>
        <w:ind w:left="567" w:hanging="567"/>
        <w:jc w:val="both"/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</w:pPr>
      <w:bookmarkStart w:id="3" w:name="_heading=h.2zbgiuw" w:colFirst="0" w:colLast="0"/>
      <w:bookmarkEnd w:id="3"/>
      <w:r w:rsidRPr="00422150"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  <w:lastRenderedPageBreak/>
        <w:t xml:space="preserve">Supplementary File 2.1 – Quality Assessment and Risk of Bias </w:t>
      </w:r>
    </w:p>
    <w:tbl>
      <w:tblPr>
        <w:tblW w:w="14317" w:type="dxa"/>
        <w:tblLayout w:type="fixed"/>
        <w:tblLook w:val="0400" w:firstRow="0" w:lastRow="0" w:firstColumn="0" w:lastColumn="0" w:noHBand="0" w:noVBand="1"/>
      </w:tblPr>
      <w:tblGrid>
        <w:gridCol w:w="1834"/>
        <w:gridCol w:w="851"/>
        <w:gridCol w:w="813"/>
        <w:gridCol w:w="794"/>
        <w:gridCol w:w="832"/>
        <w:gridCol w:w="945"/>
        <w:gridCol w:w="1059"/>
        <w:gridCol w:w="1059"/>
        <w:gridCol w:w="1059"/>
        <w:gridCol w:w="926"/>
        <w:gridCol w:w="945"/>
        <w:gridCol w:w="649"/>
        <w:gridCol w:w="708"/>
        <w:gridCol w:w="1843"/>
      </w:tblGrid>
      <w:tr w:rsidR="00336A36" w:rsidRPr="00422150" w:rsidTr="00336A36">
        <w:trPr>
          <w:trHeight w:val="3151"/>
        </w:trPr>
        <w:tc>
          <w:tcPr>
            <w:tcW w:w="18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1. Was true randomization used for assignment of participants to treatment groups? </w:t>
            </w:r>
          </w:p>
        </w:tc>
        <w:tc>
          <w:tcPr>
            <w:tcW w:w="8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2. Was allocation to treatment groups concealed? </w:t>
            </w: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3. Were treatment groups similar at the baseline? </w:t>
            </w:r>
          </w:p>
        </w:tc>
        <w:tc>
          <w:tcPr>
            <w:tcW w:w="8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4. Were participants blind to treatment assignment? </w:t>
            </w:r>
          </w:p>
        </w:tc>
        <w:tc>
          <w:tcPr>
            <w:tcW w:w="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5. Were those delivering treatment blind to treatment assignment? </w:t>
            </w:r>
          </w:p>
        </w:tc>
        <w:tc>
          <w:tcPr>
            <w:tcW w:w="1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6. Were outcomes assessors blind to treatment assignment?</w:t>
            </w:r>
          </w:p>
        </w:tc>
        <w:tc>
          <w:tcPr>
            <w:tcW w:w="1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7. Were treatment groups treated identically other than the intervention of interest? </w:t>
            </w:r>
          </w:p>
        </w:tc>
        <w:tc>
          <w:tcPr>
            <w:tcW w:w="1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8. Was follow up complete and if not, were differences between groups in terms of their follow up adequately described and analyzed? </w:t>
            </w:r>
          </w:p>
        </w:tc>
        <w:tc>
          <w:tcPr>
            <w:tcW w:w="9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9. Were participants analyzed in the groups to which they were randomized? </w:t>
            </w:r>
          </w:p>
        </w:tc>
        <w:tc>
          <w:tcPr>
            <w:tcW w:w="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10. Were outcomes measured in the same way for treatment groups? </w:t>
            </w: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11. Were outcomes measured in a reliable way? 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12. Was appropriate statistical analysis used? 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13. Was the trial design appropriate, and any deviations from the standard RCT design (individual randomization, parallel groups) accounted for in the conduct and analysis of the trial?</w:t>
            </w:r>
          </w:p>
        </w:tc>
      </w:tr>
      <w:tr w:rsidR="00336A36" w:rsidRPr="00422150" w:rsidTr="00336A36">
        <w:trPr>
          <w:trHeight w:val="284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Janbabai, 2017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284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lastRenderedPageBreak/>
              <w:t>Nakamae, 2005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284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Cadeddu, 2010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284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Kalay, 2006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284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Elitok, 2014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284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Beheshti, 2016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284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Abuosa, 2018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284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Avila, 2018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284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Kaya, 2013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284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Venturini, 1996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284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Swain, 1997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284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Marty, 2006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</w:tbl>
    <w:p w:rsidR="00336A36" w:rsidRPr="00422150" w:rsidRDefault="00336A36" w:rsidP="00422150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:rsidR="00336A36" w:rsidRPr="00422150" w:rsidRDefault="00336A36" w:rsidP="00422150">
      <w:pPr>
        <w:pBdr>
          <w:top w:val="nil"/>
          <w:left w:val="nil"/>
          <w:bottom w:val="nil"/>
          <w:right w:val="nil"/>
          <w:between w:val="nil"/>
        </w:pBdr>
        <w:spacing w:before="480" w:line="360" w:lineRule="auto"/>
        <w:ind w:left="357" w:hanging="567"/>
        <w:jc w:val="both"/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</w:pPr>
    </w:p>
    <w:p w:rsidR="00336A36" w:rsidRPr="00422150" w:rsidRDefault="00336A36" w:rsidP="0042215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57" w:hanging="567"/>
        <w:jc w:val="both"/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</w:pPr>
    </w:p>
    <w:p w:rsidR="00336A36" w:rsidRPr="00422150" w:rsidRDefault="00336A36" w:rsidP="00422150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ind w:left="357" w:hanging="567"/>
        <w:jc w:val="both"/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</w:pPr>
      <w:bookmarkStart w:id="4" w:name="_heading=h.1egqt2p" w:colFirst="0" w:colLast="0"/>
      <w:bookmarkEnd w:id="4"/>
      <w:r w:rsidRPr="00422150"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  <w:t xml:space="preserve">Supplementary File 2.2 – Quality Assessment and Risk of Bias </w:t>
      </w:r>
    </w:p>
    <w:tbl>
      <w:tblPr>
        <w:tblW w:w="12616" w:type="dxa"/>
        <w:jc w:val="center"/>
        <w:tblLayout w:type="fixed"/>
        <w:tblLook w:val="0400" w:firstRow="0" w:lastRow="0" w:firstColumn="0" w:lastColumn="0" w:noHBand="0" w:noVBand="1"/>
      </w:tblPr>
      <w:tblGrid>
        <w:gridCol w:w="1985"/>
        <w:gridCol w:w="850"/>
        <w:gridCol w:w="709"/>
        <w:gridCol w:w="709"/>
        <w:gridCol w:w="709"/>
        <w:gridCol w:w="708"/>
        <w:gridCol w:w="709"/>
        <w:gridCol w:w="851"/>
        <w:gridCol w:w="1134"/>
        <w:gridCol w:w="708"/>
        <w:gridCol w:w="709"/>
        <w:gridCol w:w="709"/>
        <w:gridCol w:w="709"/>
        <w:gridCol w:w="1417"/>
      </w:tblGrid>
      <w:tr w:rsidR="00336A36" w:rsidRPr="00422150" w:rsidTr="00336A36">
        <w:trPr>
          <w:trHeight w:val="3624"/>
          <w:jc w:val="center"/>
        </w:trPr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1. Was true randomization used for assignment of participants to treatment groups? 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2. Was allocation to treatment groups concealed? 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3. Were treatment groups similar at the baseline? 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4. Were participants blind to treatment assignment? 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5. Were those delivering treatment blind to treatment assignment? 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6. Were outcomes assessors blind to treatment assignment?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7. Were treatment groups treated identically other than the intervention of interest? 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8. Was follow up complete and if not, were differences between groups in terms of their follow up adequately described and analyzed? 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9. Were participants analyzed in the groups to which they were randomized? 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10. Were outcomes measured in the same way for treatment groups? 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11. Were outcomes measured in a reliable way? 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12. Was appropriate statistical analysis used? 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13. Was the trial design appropriate, and any deviations from the standard RCT design (individual randomization, parallel groups) accounted for in the conduct and analysis of the trial?</w:t>
            </w:r>
          </w:p>
        </w:tc>
      </w:tr>
      <w:tr w:rsidR="00336A36" w:rsidRPr="00422150" w:rsidTr="00336A36">
        <w:trPr>
          <w:trHeight w:val="307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Akpek, 2014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307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Milei, 1987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307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Zhang, 2012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307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Jo, 2013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307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lastRenderedPageBreak/>
              <w:t>Georgakopoulos, 2019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307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Farahani, 2018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307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Boekhout,, 2016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307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Słowik, 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307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Gulati,2016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307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Nabati, 2018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307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Pituskin, 2017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336A36" w:rsidRPr="00422150" w:rsidTr="00336A36">
        <w:trPr>
          <w:trHeight w:val="307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Guglin, 2019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7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EFCE"/>
            <w:vAlign w:val="bottom"/>
          </w:tcPr>
          <w:p w:rsidR="00336A36" w:rsidRPr="00422150" w:rsidRDefault="00336A36" w:rsidP="00422150">
            <w:pPr>
              <w:spacing w:line="360" w:lineRule="auto"/>
              <w:jc w:val="center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</w:tbl>
    <w:p w:rsidR="00336A36" w:rsidRPr="00422150" w:rsidRDefault="00336A36" w:rsidP="00422150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:rsidR="00336A36" w:rsidRPr="00422150" w:rsidRDefault="00336A36" w:rsidP="00422150">
      <w:pPr>
        <w:spacing w:line="360" w:lineRule="auto"/>
        <w:rPr>
          <w:rFonts w:asciiTheme="minorHAnsi" w:hAnsiTheme="minorHAnsi" w:cstheme="minorHAnsi"/>
          <w:sz w:val="22"/>
          <w:szCs w:val="22"/>
        </w:rPr>
        <w:sectPr w:rsidR="00336A36" w:rsidRPr="00422150">
          <w:headerReference w:type="default" r:id="rId7"/>
          <w:footerReference w:type="default" r:id="rId8"/>
          <w:pgSz w:w="16840" w:h="11900" w:orient="landscape"/>
          <w:pgMar w:top="1418" w:right="1418" w:bottom="1418" w:left="1418" w:header="709" w:footer="709" w:gutter="0"/>
          <w:cols w:space="720"/>
        </w:sectPr>
      </w:pPr>
    </w:p>
    <w:p w:rsidR="00336A36" w:rsidRPr="00422150" w:rsidRDefault="00336A36" w:rsidP="00422150">
      <w:pPr>
        <w:pBdr>
          <w:top w:val="nil"/>
          <w:left w:val="nil"/>
          <w:bottom w:val="nil"/>
          <w:right w:val="nil"/>
          <w:between w:val="nil"/>
        </w:pBdr>
        <w:spacing w:before="480" w:after="240" w:line="360" w:lineRule="auto"/>
        <w:ind w:left="357" w:hanging="567"/>
        <w:jc w:val="both"/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</w:pPr>
      <w:bookmarkStart w:id="5" w:name="_heading=h.3ygebqi" w:colFirst="0" w:colLast="0"/>
      <w:bookmarkEnd w:id="5"/>
      <w:r w:rsidRPr="00422150"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  <w:lastRenderedPageBreak/>
        <w:t xml:space="preserve">Supplementary File 3 – Cardiac Events Definition in Dexrazoxane Studies </w:t>
      </w:r>
    </w:p>
    <w:tbl>
      <w:tblPr>
        <w:tblW w:w="9942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38"/>
        <w:gridCol w:w="8604"/>
      </w:tblGrid>
      <w:tr w:rsidR="00336A36" w:rsidRPr="00422150" w:rsidTr="00336A36">
        <w:trPr>
          <w:trHeight w:val="320"/>
        </w:trPr>
        <w:tc>
          <w:tcPr>
            <w:tcW w:w="1338" w:type="dxa"/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Marty et al.</w:t>
            </w:r>
          </w:p>
        </w:tc>
        <w:tc>
          <w:tcPr>
            <w:tcW w:w="8604" w:type="dxa"/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 xml:space="preserve">Reduction in LVEF ≥10% absolute percentage points by MUGA scan </w:t>
            </w:r>
          </w:p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 xml:space="preserve">Reduction in LVEF ≥15% by echocardiography, </w:t>
            </w:r>
          </w:p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 xml:space="preserve">LVEF&lt;45%, as measured by Multiple Gated Acquisition scan or echocardiography </w:t>
            </w:r>
          </w:p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The appearance of clinical signs of cardiac insufficiency (graded by NYHA scale)</w:t>
            </w:r>
          </w:p>
        </w:tc>
      </w:tr>
      <w:tr w:rsidR="00336A36" w:rsidRPr="00422150" w:rsidTr="00336A36">
        <w:trPr>
          <w:trHeight w:val="320"/>
        </w:trPr>
        <w:tc>
          <w:tcPr>
            <w:tcW w:w="1338" w:type="dxa"/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Swain et al.</w:t>
            </w:r>
          </w:p>
        </w:tc>
        <w:tc>
          <w:tcPr>
            <w:tcW w:w="8604" w:type="dxa"/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Reduction in LVEF&gt;10% below the institution's Lower Level of Normality;</w:t>
            </w:r>
          </w:p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A decline in LVEF &gt; 20% from baseline;</w:t>
            </w:r>
          </w:p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The development of congestive heart failure while on study (defined by with two or more of the following: cardiomegaly established by radiography, basilar rales, S3 gallop, or paroxysmal nocturnal dyspnea, orthopnea, or significant dyspnea on exertion).</w:t>
            </w:r>
          </w:p>
        </w:tc>
      </w:tr>
      <w:tr w:rsidR="00336A36" w:rsidRPr="00422150" w:rsidTr="00336A36">
        <w:trPr>
          <w:trHeight w:val="320"/>
        </w:trPr>
        <w:tc>
          <w:tcPr>
            <w:tcW w:w="1338" w:type="dxa"/>
            <w:shd w:val="clear" w:color="auto" w:fill="auto"/>
            <w:vAlign w:val="center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Venturini et al.</w:t>
            </w:r>
          </w:p>
        </w:tc>
        <w:tc>
          <w:tcPr>
            <w:tcW w:w="8604" w:type="dxa"/>
            <w:shd w:val="clear" w:color="auto" w:fill="auto"/>
            <w:vAlign w:val="bottom"/>
          </w:tcPr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The appearance of clinical signs of congestive heart failure classified as II (grade by NYHA);</w:t>
            </w:r>
          </w:p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LVEF&lt; 45% by Multiple Gated Acquisition scan;</w:t>
            </w:r>
          </w:p>
          <w:p w:rsidR="00336A36" w:rsidRPr="00422150" w:rsidRDefault="00336A36" w:rsidP="00422150">
            <w:pPr>
              <w:spacing w:line="360" w:lineRule="auto"/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</w:pPr>
            <w:r w:rsidRPr="00422150">
              <w:rPr>
                <w:rFonts w:asciiTheme="minorHAnsi" w:eastAsia="NewsGotT" w:hAnsiTheme="minorHAnsi" w:cstheme="minorHAnsi"/>
                <w:color w:val="000000"/>
                <w:sz w:val="22"/>
                <w:szCs w:val="22"/>
              </w:rPr>
              <w:t>A decrease from baseline resting LVEF of &gt; 20 EF units.</w:t>
            </w:r>
          </w:p>
        </w:tc>
      </w:tr>
    </w:tbl>
    <w:p w:rsidR="00336A36" w:rsidRPr="00422150" w:rsidRDefault="00336A36" w:rsidP="00422150">
      <w:pPr>
        <w:spacing w:line="360" w:lineRule="auto"/>
        <w:rPr>
          <w:rFonts w:asciiTheme="minorHAnsi" w:eastAsia="NewsGotT" w:hAnsiTheme="minorHAnsi" w:cstheme="minorHAnsi"/>
          <w:color w:val="000000"/>
          <w:sz w:val="22"/>
          <w:szCs w:val="22"/>
        </w:rPr>
      </w:pPr>
      <w:r w:rsidRPr="00422150">
        <w:rPr>
          <w:rFonts w:asciiTheme="minorHAnsi" w:eastAsia="NewsGotT" w:hAnsiTheme="minorHAnsi" w:cstheme="minorHAnsi"/>
          <w:color w:val="000000"/>
          <w:sz w:val="22"/>
          <w:szCs w:val="22"/>
        </w:rPr>
        <w:t xml:space="preserve">EF: Ejection Fraction; LVEF: Left Ventricular Ejection Fraction; NYHA: New York Heart Association; </w:t>
      </w:r>
    </w:p>
    <w:p w:rsidR="00336A36" w:rsidRPr="00422150" w:rsidRDefault="00336A36" w:rsidP="00422150">
      <w:pPr>
        <w:spacing w:line="360" w:lineRule="auto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C16EBE" w:rsidRDefault="00C16EBE" w:rsidP="00422150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:rsidR="00350C4C" w:rsidRDefault="00350C4C" w:rsidP="00422150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350C4C" w:rsidRPr="00666F09" w:rsidRDefault="00350C4C" w:rsidP="00350C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350C4C" w:rsidRDefault="00350C4C" w:rsidP="00350C4C">
      <w:pPr>
        <w:spacing w:after="200"/>
        <w:textDirection w:val="btLr"/>
        <w:rPr>
          <w:rFonts w:asciiTheme="minorHAnsi" w:hAnsiTheme="minorHAnsi" w:cstheme="minorHAnsi"/>
          <w:b/>
          <w:sz w:val="22"/>
          <w:szCs w:val="22"/>
        </w:rPr>
      </w:pPr>
    </w:p>
    <w:p w:rsidR="00350C4C" w:rsidRDefault="00350C4C" w:rsidP="00350C4C">
      <w:pPr>
        <w:spacing w:after="200"/>
        <w:textDirection w:val="btLr"/>
        <w:rPr>
          <w:rFonts w:asciiTheme="minorHAnsi" w:hAnsiTheme="minorHAnsi" w:cstheme="minorHAnsi"/>
          <w:b/>
          <w:sz w:val="22"/>
          <w:szCs w:val="22"/>
        </w:rPr>
      </w:pPr>
    </w:p>
    <w:p w:rsidR="00350C4C" w:rsidRPr="00666F09" w:rsidRDefault="00350C4C" w:rsidP="00350C4C">
      <w:pPr>
        <w:spacing w:after="200"/>
        <w:textDirection w:val="btLr"/>
        <w:rPr>
          <w:rFonts w:asciiTheme="minorHAnsi" w:hAnsiTheme="minorHAnsi" w:cstheme="minorHAnsi"/>
          <w:sz w:val="22"/>
          <w:szCs w:val="22"/>
        </w:rPr>
      </w:pPr>
      <w:r w:rsidRPr="00422150">
        <w:rPr>
          <w:rFonts w:asciiTheme="minorHAnsi" w:eastAsia="NewsGotT" w:hAnsiTheme="minorHAnsi" w:cstheme="minorHAnsi"/>
          <w:noProof/>
          <w:sz w:val="22"/>
          <w:szCs w:val="22"/>
          <w:lang w:eastAsia="en-US"/>
        </w:rPr>
        <w:drawing>
          <wp:anchor distT="0" distB="0" distL="114300" distR="114300" simplePos="0" relativeHeight="251659264" behindDoc="0" locked="0" layoutInCell="1" hidden="0" allowOverlap="1" wp14:anchorId="58E21625" wp14:editId="747881D9">
            <wp:simplePos x="0" y="0"/>
            <wp:positionH relativeFrom="margin">
              <wp:align>right</wp:align>
            </wp:positionH>
            <wp:positionV relativeFrom="margin">
              <wp:posOffset>951230</wp:posOffset>
            </wp:positionV>
            <wp:extent cx="5755640" cy="2748915"/>
            <wp:effectExtent l="0" t="0" r="0" b="0"/>
            <wp:wrapSquare wrapText="bothSides" distT="0" distB="0" distL="114300" distR="114300"/>
            <wp:docPr id="34" name="image1.png" descr="Uma imagem com mes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Uma imagem com mesa&#10;&#10;Descrição gerada automaticamente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27489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422150"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  <w:t xml:space="preserve">Supplementary File </w:t>
      </w:r>
      <w:r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  <w:t xml:space="preserve">4 - </w:t>
      </w:r>
      <w:r w:rsidRPr="00666F09">
        <w:rPr>
          <w:rFonts w:asciiTheme="minorHAnsi" w:hAnsiTheme="minorHAnsi" w:cstheme="minorHAnsi"/>
          <w:sz w:val="22"/>
          <w:szCs w:val="22"/>
        </w:rPr>
        <w:t>Forest Plot exhibiting the results for the meta-analysis of the impact of BB on LVEF. The results are divided in subgroups based on chemotherapy scheme.  Parallelogram boxes for mean differences and horizontal lines represent 95% CI.</w:t>
      </w:r>
    </w:p>
    <w:p w:rsidR="00350C4C" w:rsidRDefault="00350C4C" w:rsidP="00350C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22150">
        <w:rPr>
          <w:rFonts w:asciiTheme="minorHAnsi" w:hAnsiTheme="minorHAnsi" w:cstheme="minorHAnsi"/>
          <w:sz w:val="22"/>
          <w:szCs w:val="22"/>
        </w:rPr>
        <w:br w:type="page"/>
      </w:r>
    </w:p>
    <w:p w:rsidR="00350C4C" w:rsidRPr="00666F09" w:rsidRDefault="00350C4C" w:rsidP="00350C4C">
      <w:pPr>
        <w:spacing w:after="200"/>
        <w:textDirection w:val="btLr"/>
        <w:rPr>
          <w:rFonts w:asciiTheme="minorHAnsi" w:hAnsiTheme="minorHAnsi" w:cstheme="minorHAnsi"/>
          <w:sz w:val="3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Pr="00666F09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sz w:val="22"/>
          <w:szCs w:val="22"/>
        </w:rPr>
      </w:pPr>
      <w:r w:rsidRPr="00422150"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  <w:t xml:space="preserve">Supplementary File </w:t>
      </w:r>
      <w:r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  <w:t xml:space="preserve">5. </w:t>
      </w:r>
      <w:r w:rsidRPr="00666F09">
        <w:rPr>
          <w:rFonts w:asciiTheme="minorHAnsi" w:hAnsiTheme="minorHAnsi" w:cstheme="minorHAnsi"/>
          <w:sz w:val="22"/>
        </w:rPr>
        <w:t xml:space="preserve">Forest Plot exhibiting the results for the meta-analysis of the impact of </w:t>
      </w:r>
      <w:r>
        <w:rPr>
          <w:rFonts w:asciiTheme="minorHAnsi" w:hAnsiTheme="minorHAnsi" w:cstheme="minorHAnsi"/>
          <w:sz w:val="22"/>
        </w:rPr>
        <w:t xml:space="preserve">different </w:t>
      </w:r>
      <w:r w:rsidRPr="00666F09">
        <w:rPr>
          <w:rFonts w:asciiTheme="minorHAnsi" w:hAnsiTheme="minorHAnsi" w:cstheme="minorHAnsi"/>
          <w:sz w:val="22"/>
        </w:rPr>
        <w:t>BB on LVEF. The results are divided in subgroups based on chemotherapy scheme and individual drug. Parallelogram boxes for mean differences and horizontal lines represent 95%CI</w:t>
      </w: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  <w:r w:rsidRPr="00422150">
        <w:rPr>
          <w:rFonts w:asciiTheme="minorHAnsi" w:hAnsiTheme="minorHAnsi" w:cstheme="minorHAnsi"/>
          <w:noProof/>
          <w:sz w:val="22"/>
          <w:szCs w:val="22"/>
          <w:lang w:eastAsia="en-US"/>
        </w:rPr>
        <w:drawing>
          <wp:anchor distT="0" distB="0" distL="114300" distR="114300" simplePos="0" relativeHeight="251660288" behindDoc="0" locked="0" layoutInCell="1" hidden="0" allowOverlap="1" wp14:anchorId="4E1A5E10" wp14:editId="64976BF2">
            <wp:simplePos x="0" y="0"/>
            <wp:positionH relativeFrom="margin">
              <wp:align>right</wp:align>
            </wp:positionH>
            <wp:positionV relativeFrom="paragraph">
              <wp:posOffset>175895</wp:posOffset>
            </wp:positionV>
            <wp:extent cx="5755640" cy="3239770"/>
            <wp:effectExtent l="0" t="0" r="0" b="0"/>
            <wp:wrapTopAndBottom distT="0" distB="0"/>
            <wp:docPr id="3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32397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Pr="00422150" w:rsidRDefault="00350C4C" w:rsidP="00350C4C">
      <w:pPr>
        <w:spacing w:after="200" w:line="360" w:lineRule="auto"/>
        <w:textDirection w:val="btLr"/>
        <w:rPr>
          <w:rFonts w:asciiTheme="minorHAnsi" w:eastAsia="NewsGotT" w:hAnsiTheme="minorHAnsi" w:cstheme="minorHAnsi"/>
          <w:color w:val="000000"/>
          <w:sz w:val="22"/>
          <w:szCs w:val="22"/>
        </w:rPr>
      </w:pPr>
      <w:r w:rsidRPr="00422150"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  <w:lastRenderedPageBreak/>
        <w:t xml:space="preserve">Supplementary File </w:t>
      </w:r>
      <w:r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  <w:t xml:space="preserve">6. </w:t>
      </w:r>
      <w:r w:rsidRPr="00422150">
        <w:rPr>
          <w:rFonts w:asciiTheme="minorHAnsi" w:eastAsia="NewsGotT" w:hAnsiTheme="minorHAnsi" w:cstheme="minorHAnsi"/>
          <w:color w:val="000000"/>
          <w:sz w:val="22"/>
          <w:szCs w:val="22"/>
        </w:rPr>
        <w:t>Forest Plot exhibiting the results for the meta-analysis of the impact of BB on E/A ratio. The results are divided in subgroups based on chemotherapy scheme. Parallelogram boxes for mean differences and horizontal lines represent 95% CI.</w:t>
      </w: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  <w:r w:rsidRPr="00422150">
        <w:rPr>
          <w:rFonts w:asciiTheme="minorHAnsi" w:hAnsiTheme="minorHAnsi" w:cstheme="minorHAnsi"/>
          <w:noProof/>
          <w:sz w:val="22"/>
          <w:szCs w:val="22"/>
          <w:lang w:eastAsia="en-US"/>
        </w:rPr>
        <w:drawing>
          <wp:anchor distT="0" distB="0" distL="114300" distR="114300" simplePos="0" relativeHeight="251661312" behindDoc="0" locked="0" layoutInCell="1" hidden="0" allowOverlap="1" wp14:anchorId="2014FE7B" wp14:editId="607366CF">
            <wp:simplePos x="0" y="0"/>
            <wp:positionH relativeFrom="margin">
              <wp:posOffset>0</wp:posOffset>
            </wp:positionH>
            <wp:positionV relativeFrom="paragraph">
              <wp:posOffset>250825</wp:posOffset>
            </wp:positionV>
            <wp:extent cx="5755640" cy="1899920"/>
            <wp:effectExtent l="0" t="0" r="0" b="5080"/>
            <wp:wrapTopAndBottom distT="0" distB="0"/>
            <wp:docPr id="36" name="image2.png" descr="Uma imagem com mes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Uma imagem com mesa&#10;&#10;Descrição gerada automaticamente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18999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  <w:r w:rsidRPr="00422150"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  <w:t xml:space="preserve">Supplementary File </w:t>
      </w:r>
      <w:r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  <w:t xml:space="preserve">7. </w:t>
      </w:r>
      <w:r w:rsidRPr="00422150">
        <w:rPr>
          <w:rFonts w:asciiTheme="minorHAnsi" w:eastAsia="NewsGotT" w:hAnsiTheme="minorHAnsi" w:cstheme="minorHAnsi"/>
          <w:color w:val="000000"/>
          <w:sz w:val="22"/>
          <w:szCs w:val="22"/>
        </w:rPr>
        <w:t>Forest Plot exhibiting the results for the meta-analysis of the impact of BB on E/e’. The results are divided in subgroups based on chemotherapy scheme. Parallelogram boxes represent mean differences and horizontal lines represent 95% CI</w:t>
      </w:r>
      <w:r>
        <w:rPr>
          <w:rFonts w:asciiTheme="minorHAnsi" w:eastAsia="NewsGotT" w:hAnsiTheme="minorHAnsi" w:cstheme="minorHAnsi"/>
          <w:color w:val="000000"/>
          <w:sz w:val="22"/>
          <w:szCs w:val="22"/>
        </w:rPr>
        <w:t>.</w:t>
      </w: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  <w:r w:rsidRPr="00422150">
        <w:rPr>
          <w:rFonts w:asciiTheme="minorHAnsi" w:hAnsiTheme="minorHAnsi" w:cstheme="minorHAnsi"/>
          <w:noProof/>
          <w:sz w:val="22"/>
          <w:szCs w:val="22"/>
          <w:lang w:eastAsia="en-US"/>
        </w:rPr>
        <w:drawing>
          <wp:anchor distT="0" distB="0" distL="114300" distR="114300" simplePos="0" relativeHeight="251662336" behindDoc="0" locked="0" layoutInCell="1" hidden="0" allowOverlap="1" wp14:anchorId="463C00E5" wp14:editId="06FB2809">
            <wp:simplePos x="0" y="0"/>
            <wp:positionH relativeFrom="margin">
              <wp:align>left</wp:align>
            </wp:positionH>
            <wp:positionV relativeFrom="paragraph">
              <wp:posOffset>375285</wp:posOffset>
            </wp:positionV>
            <wp:extent cx="5755640" cy="2480945"/>
            <wp:effectExtent l="0" t="0" r="0" b="0"/>
            <wp:wrapTopAndBottom distT="0" distB="0"/>
            <wp:docPr id="37" name="image8.png" descr="Uma imagem com text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Uma imagem com texto&#10;&#10;Descrição gerada automaticamente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24809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Default="00350C4C" w:rsidP="00350C4C">
      <w:pPr>
        <w:spacing w:after="200" w:line="360" w:lineRule="auto"/>
        <w:textDirection w:val="btLr"/>
        <w:rPr>
          <w:rFonts w:asciiTheme="minorHAnsi" w:eastAsia="NewsGotT" w:hAnsiTheme="minorHAnsi" w:cstheme="minorHAnsi"/>
          <w:color w:val="000000"/>
          <w:sz w:val="22"/>
          <w:szCs w:val="22"/>
        </w:rPr>
      </w:pPr>
      <w:r w:rsidRPr="00422150"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  <w:t xml:space="preserve">Supplementary File </w:t>
      </w:r>
      <w:r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  <w:t xml:space="preserve">8. </w:t>
      </w:r>
      <w:r w:rsidRPr="00422150">
        <w:rPr>
          <w:rFonts w:asciiTheme="minorHAnsi" w:eastAsia="NewsGotT" w:hAnsiTheme="minorHAnsi" w:cstheme="minorHAnsi"/>
          <w:color w:val="000000"/>
          <w:sz w:val="22"/>
          <w:szCs w:val="22"/>
        </w:rPr>
        <w:t>Forest Plot exhibiting the results for the meta-analysis of the impact of BB on LA diameter. The results are divided in subgroups based on chemotherapy scheme. Parallelogram boxes for mean differences and horizontal lines represent 95% CI.</w:t>
      </w:r>
    </w:p>
    <w:p w:rsidR="00350C4C" w:rsidRDefault="00350C4C" w:rsidP="00350C4C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  <w:r w:rsidRPr="00422150">
        <w:rPr>
          <w:rFonts w:asciiTheme="minorHAnsi" w:hAnsiTheme="minorHAnsi" w:cstheme="minorHAnsi"/>
          <w:noProof/>
          <w:sz w:val="22"/>
          <w:szCs w:val="22"/>
          <w:lang w:eastAsia="en-US"/>
        </w:rPr>
        <w:drawing>
          <wp:anchor distT="0" distB="0" distL="114300" distR="114300" simplePos="0" relativeHeight="251663360" behindDoc="0" locked="0" layoutInCell="1" hidden="0" allowOverlap="1" wp14:anchorId="6C3BA8C0" wp14:editId="47C5B287">
            <wp:simplePos x="0" y="0"/>
            <wp:positionH relativeFrom="margin">
              <wp:align>left</wp:align>
            </wp:positionH>
            <wp:positionV relativeFrom="paragraph">
              <wp:posOffset>318135</wp:posOffset>
            </wp:positionV>
            <wp:extent cx="5755640" cy="906780"/>
            <wp:effectExtent l="0" t="0" r="0" b="7620"/>
            <wp:wrapTopAndBottom distT="0" distB="0"/>
            <wp:docPr id="32" name="image7.png" descr="Uma imagem com text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Uma imagem com texto&#10;&#10;Descrição gerada automaticamente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9067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50C4C" w:rsidRDefault="00350C4C" w:rsidP="00350C4C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Pr="00422150" w:rsidRDefault="00350C4C" w:rsidP="00350C4C">
      <w:pPr>
        <w:widowControl w:val="0"/>
        <w:spacing w:line="360" w:lineRule="auto"/>
        <w:jc w:val="both"/>
        <w:rPr>
          <w:rFonts w:asciiTheme="minorHAnsi" w:eastAsia="NewsGotT" w:hAnsiTheme="minorHAnsi" w:cstheme="minorHAnsi"/>
          <w:color w:val="000000"/>
          <w:sz w:val="22"/>
          <w:szCs w:val="22"/>
        </w:rPr>
      </w:pPr>
    </w:p>
    <w:p w:rsidR="00350C4C" w:rsidRPr="00422150" w:rsidRDefault="00350C4C" w:rsidP="00350C4C">
      <w:pPr>
        <w:spacing w:after="200" w:line="360" w:lineRule="auto"/>
        <w:textDirection w:val="btLr"/>
        <w:rPr>
          <w:rFonts w:asciiTheme="minorHAnsi" w:eastAsia="NewsGotT" w:hAnsiTheme="minorHAnsi" w:cstheme="minorHAnsi"/>
          <w:color w:val="000000"/>
          <w:sz w:val="22"/>
          <w:szCs w:val="22"/>
        </w:rPr>
      </w:pPr>
      <w:r w:rsidRPr="00422150"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  <w:t xml:space="preserve">Supplementary File </w:t>
      </w:r>
      <w:r>
        <w:rPr>
          <w:rFonts w:asciiTheme="minorHAnsi" w:eastAsia="NewsGotT" w:hAnsiTheme="minorHAnsi" w:cstheme="minorHAnsi"/>
          <w:b/>
          <w:smallCaps/>
          <w:color w:val="595959"/>
          <w:sz w:val="22"/>
          <w:szCs w:val="22"/>
        </w:rPr>
        <w:t xml:space="preserve">9. </w:t>
      </w:r>
      <w:r w:rsidRPr="00422150">
        <w:rPr>
          <w:rFonts w:asciiTheme="minorHAnsi" w:eastAsia="NewsGotT" w:hAnsiTheme="minorHAnsi" w:cstheme="minorHAnsi"/>
          <w:color w:val="000000"/>
          <w:sz w:val="22"/>
          <w:szCs w:val="22"/>
        </w:rPr>
        <w:t>Forest Plot exhibiting the results for the meta-analysis of the combined risk ratio of Dexrazoxane in the incidence of cardiac events</w:t>
      </w:r>
    </w:p>
    <w:p w:rsidR="00350C4C" w:rsidRPr="00422150" w:rsidRDefault="00350C4C" w:rsidP="008B23F3">
      <w:pPr>
        <w:widowControl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22150">
        <w:rPr>
          <w:rFonts w:asciiTheme="minorHAnsi" w:hAnsiTheme="minorHAnsi" w:cstheme="minorHAnsi"/>
          <w:noProof/>
          <w:sz w:val="22"/>
          <w:szCs w:val="22"/>
          <w:lang w:eastAsia="en-US"/>
        </w:rPr>
        <w:drawing>
          <wp:anchor distT="0" distB="0" distL="114300" distR="114300" simplePos="0" relativeHeight="251665408" behindDoc="0" locked="0" layoutInCell="1" hidden="0" allowOverlap="1" wp14:anchorId="065ECAB9" wp14:editId="7D93E156">
            <wp:simplePos x="0" y="0"/>
            <wp:positionH relativeFrom="column">
              <wp:posOffset>1</wp:posOffset>
            </wp:positionH>
            <wp:positionV relativeFrom="paragraph">
              <wp:posOffset>346651</wp:posOffset>
            </wp:positionV>
            <wp:extent cx="5588000" cy="1117600"/>
            <wp:effectExtent l="0" t="0" r="0" b="0"/>
            <wp:wrapTopAndBottom distT="0" distB="0"/>
            <wp:docPr id="38" name="image3.png" descr="Uma imagem com text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Uma imagem com texto&#10;&#10;Descrição gerada automaticamente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111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350C4C" w:rsidRPr="00422150" w:rsidSect="001D5294">
      <w:pgSz w:w="11900" w:h="16840"/>
      <w:pgMar w:top="1418" w:right="1418" w:bottom="1418" w:left="1418" w:header="709" w:footer="709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0B54" w:rsidRDefault="00670B54">
      <w:r>
        <w:separator/>
      </w:r>
    </w:p>
  </w:endnote>
  <w:endnote w:type="continuationSeparator" w:id="0">
    <w:p w:rsidR="00670B54" w:rsidRDefault="00670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ewsGotT">
    <w:altName w:val="Calibri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5294" w:rsidRDefault="001D529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120" w:line="360" w:lineRule="auto"/>
      <w:jc w:val="right"/>
      <w:rPr>
        <w:rFonts w:ascii="NewsGotT" w:eastAsia="NewsGotT" w:hAnsi="NewsGotT" w:cs="NewsGotT"/>
        <w:color w:val="000000"/>
        <w:sz w:val="22"/>
        <w:szCs w:val="22"/>
      </w:rPr>
    </w:pPr>
    <w:r>
      <w:rPr>
        <w:rFonts w:ascii="NewsGotT" w:eastAsia="NewsGotT" w:hAnsi="NewsGotT" w:cs="NewsGotT"/>
        <w:color w:val="000000"/>
        <w:sz w:val="22"/>
        <w:szCs w:val="22"/>
      </w:rPr>
      <w:fldChar w:fldCharType="begin"/>
    </w:r>
    <w:r>
      <w:rPr>
        <w:rFonts w:ascii="NewsGotT" w:eastAsia="NewsGotT" w:hAnsi="NewsGotT" w:cs="NewsGotT"/>
        <w:color w:val="000000"/>
        <w:sz w:val="22"/>
        <w:szCs w:val="22"/>
      </w:rPr>
      <w:instrText>PAGE</w:instrText>
    </w:r>
    <w:r>
      <w:rPr>
        <w:rFonts w:ascii="NewsGotT" w:eastAsia="NewsGotT" w:hAnsi="NewsGotT" w:cs="NewsGotT"/>
        <w:color w:val="000000"/>
        <w:sz w:val="22"/>
        <w:szCs w:val="22"/>
      </w:rPr>
      <w:fldChar w:fldCharType="separate"/>
    </w:r>
    <w:r w:rsidR="008B23F3">
      <w:rPr>
        <w:rFonts w:ascii="NewsGotT" w:eastAsia="NewsGotT" w:hAnsi="NewsGotT" w:cs="NewsGotT"/>
        <w:noProof/>
        <w:color w:val="000000"/>
        <w:sz w:val="22"/>
        <w:szCs w:val="22"/>
      </w:rPr>
      <w:t>1</w:t>
    </w:r>
    <w:r>
      <w:rPr>
        <w:rFonts w:ascii="NewsGotT" w:eastAsia="NewsGotT" w:hAnsi="NewsGotT" w:cs="NewsGotT"/>
        <w:color w:val="000000"/>
        <w:sz w:val="22"/>
        <w:szCs w:val="22"/>
      </w:rPr>
      <w:fldChar w:fldCharType="end"/>
    </w:r>
  </w:p>
  <w:p w:rsidR="001D5294" w:rsidRDefault="001D5294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NewsGotT" w:eastAsia="NewsGotT" w:hAnsi="NewsGotT" w:cs="NewsGotT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0B54" w:rsidRDefault="00670B54">
      <w:r>
        <w:separator/>
      </w:r>
    </w:p>
  </w:footnote>
  <w:footnote w:type="continuationSeparator" w:id="0">
    <w:p w:rsidR="00670B54" w:rsidRDefault="00670B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5294" w:rsidRDefault="001D529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120" w:line="360" w:lineRule="auto"/>
      <w:jc w:val="both"/>
      <w:rPr>
        <w:rFonts w:ascii="Calibri" w:eastAsia="Calibri" w:hAnsi="Calibri" w:cs="Calibri"/>
        <w:color w:val="00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72EE2"/>
    <w:multiLevelType w:val="multilevel"/>
    <w:tmpl w:val="9A483484"/>
    <w:lvl w:ilvl="0">
      <w:start w:val="1"/>
      <w:numFmt w:val="bullet"/>
      <w:lvlText w:val="●"/>
      <w:lvlJc w:val="left"/>
      <w:pPr>
        <w:ind w:left="71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3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5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7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9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1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3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5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77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89553F0"/>
    <w:multiLevelType w:val="multilevel"/>
    <w:tmpl w:val="D5DCE8FE"/>
    <w:lvl w:ilvl="0">
      <w:start w:val="1"/>
      <w:numFmt w:val="decimal"/>
      <w:lvlText w:val="%1."/>
      <w:lvlJc w:val="left"/>
      <w:pPr>
        <w:ind w:left="720" w:hanging="363"/>
      </w:pPr>
      <w:rPr>
        <w:sz w:val="36"/>
        <w:szCs w:val="36"/>
      </w:rPr>
    </w:lvl>
    <w:lvl w:ilvl="1">
      <w:start w:val="1"/>
      <w:numFmt w:val="decimal"/>
      <w:lvlText w:val="%1.%2"/>
      <w:lvlJc w:val="left"/>
      <w:pPr>
        <w:ind w:left="1440" w:hanging="363"/>
      </w:pPr>
    </w:lvl>
    <w:lvl w:ilvl="2">
      <w:start w:val="1"/>
      <w:numFmt w:val="decimal"/>
      <w:lvlText w:val="%1.%2.%3"/>
      <w:lvlJc w:val="right"/>
      <w:pPr>
        <w:ind w:left="2160" w:hanging="363"/>
      </w:pPr>
    </w:lvl>
    <w:lvl w:ilvl="3">
      <w:start w:val="1"/>
      <w:numFmt w:val="decimal"/>
      <w:lvlText w:val="%4."/>
      <w:lvlJc w:val="left"/>
      <w:pPr>
        <w:ind w:left="2880" w:hanging="363"/>
      </w:pPr>
    </w:lvl>
    <w:lvl w:ilvl="4">
      <w:start w:val="1"/>
      <w:numFmt w:val="lowerLetter"/>
      <w:lvlText w:val="%5."/>
      <w:lvlJc w:val="left"/>
      <w:pPr>
        <w:ind w:left="3600" w:hanging="363"/>
      </w:pPr>
    </w:lvl>
    <w:lvl w:ilvl="5">
      <w:start w:val="1"/>
      <w:numFmt w:val="lowerRoman"/>
      <w:lvlText w:val="%6."/>
      <w:lvlJc w:val="right"/>
      <w:pPr>
        <w:ind w:left="4320" w:hanging="363"/>
      </w:pPr>
    </w:lvl>
    <w:lvl w:ilvl="6">
      <w:start w:val="1"/>
      <w:numFmt w:val="decimal"/>
      <w:lvlText w:val="%7."/>
      <w:lvlJc w:val="left"/>
      <w:pPr>
        <w:ind w:left="5040" w:hanging="363"/>
      </w:pPr>
    </w:lvl>
    <w:lvl w:ilvl="7">
      <w:start w:val="1"/>
      <w:numFmt w:val="lowerLetter"/>
      <w:lvlText w:val="%8."/>
      <w:lvlJc w:val="left"/>
      <w:pPr>
        <w:ind w:left="5760" w:hanging="363"/>
      </w:pPr>
    </w:lvl>
    <w:lvl w:ilvl="8">
      <w:start w:val="1"/>
      <w:numFmt w:val="lowerRoman"/>
      <w:lvlText w:val="%9."/>
      <w:lvlJc w:val="right"/>
      <w:pPr>
        <w:ind w:left="6480" w:hanging="363"/>
      </w:pPr>
    </w:lvl>
  </w:abstractNum>
  <w:abstractNum w:abstractNumId="2" w15:restartNumberingAfterBreak="0">
    <w:nsid w:val="1A667AF5"/>
    <w:multiLevelType w:val="multilevel"/>
    <w:tmpl w:val="B412C132"/>
    <w:lvl w:ilvl="0">
      <w:start w:val="5"/>
      <w:numFmt w:val="decimal"/>
      <w:lvlText w:val="%1."/>
      <w:lvlJc w:val="left"/>
      <w:pPr>
        <w:ind w:left="720" w:hanging="363"/>
      </w:pPr>
      <w:rPr>
        <w:sz w:val="36"/>
        <w:szCs w:val="36"/>
      </w:rPr>
    </w:lvl>
    <w:lvl w:ilvl="1">
      <w:start w:val="1"/>
      <w:numFmt w:val="decimal"/>
      <w:lvlText w:val="%1.%2"/>
      <w:lvlJc w:val="left"/>
      <w:pPr>
        <w:ind w:left="1440" w:hanging="363"/>
      </w:pPr>
    </w:lvl>
    <w:lvl w:ilvl="2">
      <w:start w:val="1"/>
      <w:numFmt w:val="decimal"/>
      <w:lvlText w:val="%1.%2.%3"/>
      <w:lvlJc w:val="right"/>
      <w:pPr>
        <w:ind w:left="2160" w:hanging="363"/>
      </w:pPr>
    </w:lvl>
    <w:lvl w:ilvl="3">
      <w:start w:val="1"/>
      <w:numFmt w:val="decimal"/>
      <w:lvlText w:val="%4."/>
      <w:lvlJc w:val="left"/>
      <w:pPr>
        <w:ind w:left="2880" w:hanging="363"/>
      </w:pPr>
    </w:lvl>
    <w:lvl w:ilvl="4">
      <w:start w:val="1"/>
      <w:numFmt w:val="lowerLetter"/>
      <w:lvlText w:val="%5."/>
      <w:lvlJc w:val="left"/>
      <w:pPr>
        <w:ind w:left="3600" w:hanging="363"/>
      </w:pPr>
    </w:lvl>
    <w:lvl w:ilvl="5">
      <w:start w:val="1"/>
      <w:numFmt w:val="lowerRoman"/>
      <w:lvlText w:val="%6."/>
      <w:lvlJc w:val="right"/>
      <w:pPr>
        <w:ind w:left="4320" w:hanging="363"/>
      </w:pPr>
    </w:lvl>
    <w:lvl w:ilvl="6">
      <w:start w:val="1"/>
      <w:numFmt w:val="decimal"/>
      <w:lvlText w:val="%7."/>
      <w:lvlJc w:val="left"/>
      <w:pPr>
        <w:ind w:left="5040" w:hanging="363"/>
      </w:pPr>
    </w:lvl>
    <w:lvl w:ilvl="7">
      <w:start w:val="1"/>
      <w:numFmt w:val="lowerLetter"/>
      <w:lvlText w:val="%8."/>
      <w:lvlJc w:val="left"/>
      <w:pPr>
        <w:ind w:left="5760" w:hanging="363"/>
      </w:pPr>
    </w:lvl>
    <w:lvl w:ilvl="8">
      <w:start w:val="1"/>
      <w:numFmt w:val="lowerRoman"/>
      <w:lvlText w:val="%9."/>
      <w:lvlJc w:val="right"/>
      <w:pPr>
        <w:ind w:left="6480" w:hanging="363"/>
      </w:pPr>
    </w:lvl>
  </w:abstractNum>
  <w:abstractNum w:abstractNumId="3" w15:restartNumberingAfterBreak="0">
    <w:nsid w:val="301E396C"/>
    <w:multiLevelType w:val="multilevel"/>
    <w:tmpl w:val="495C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B9710C"/>
    <w:multiLevelType w:val="hybridMultilevel"/>
    <w:tmpl w:val="9996775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8440B6"/>
    <w:multiLevelType w:val="multilevel"/>
    <w:tmpl w:val="91109366"/>
    <w:lvl w:ilvl="0">
      <w:start w:val="1"/>
      <w:numFmt w:val="decimal"/>
      <w:lvlText w:val="%1."/>
      <w:lvlJc w:val="left"/>
      <w:pPr>
        <w:ind w:left="720" w:hanging="363"/>
      </w:pPr>
      <w:rPr>
        <w:sz w:val="36"/>
        <w:szCs w:val="36"/>
      </w:rPr>
    </w:lvl>
    <w:lvl w:ilvl="1">
      <w:start w:val="1"/>
      <w:numFmt w:val="decimal"/>
      <w:lvlText w:val="%1.%2"/>
      <w:lvlJc w:val="left"/>
      <w:pPr>
        <w:ind w:left="1440" w:hanging="363"/>
      </w:pPr>
    </w:lvl>
    <w:lvl w:ilvl="2">
      <w:start w:val="1"/>
      <w:numFmt w:val="decimal"/>
      <w:lvlText w:val="%1.%2.%3"/>
      <w:lvlJc w:val="right"/>
      <w:pPr>
        <w:ind w:left="2160" w:hanging="363"/>
      </w:pPr>
    </w:lvl>
    <w:lvl w:ilvl="3">
      <w:start w:val="1"/>
      <w:numFmt w:val="decimal"/>
      <w:lvlText w:val="%4."/>
      <w:lvlJc w:val="left"/>
      <w:pPr>
        <w:ind w:left="2880" w:hanging="363"/>
      </w:pPr>
    </w:lvl>
    <w:lvl w:ilvl="4">
      <w:start w:val="1"/>
      <w:numFmt w:val="lowerLetter"/>
      <w:lvlText w:val="%5."/>
      <w:lvlJc w:val="left"/>
      <w:pPr>
        <w:ind w:left="3600" w:hanging="363"/>
      </w:pPr>
    </w:lvl>
    <w:lvl w:ilvl="5">
      <w:start w:val="1"/>
      <w:numFmt w:val="lowerRoman"/>
      <w:lvlText w:val="%6."/>
      <w:lvlJc w:val="right"/>
      <w:pPr>
        <w:ind w:left="4320" w:hanging="363"/>
      </w:pPr>
    </w:lvl>
    <w:lvl w:ilvl="6">
      <w:start w:val="1"/>
      <w:numFmt w:val="decimal"/>
      <w:lvlText w:val="%7."/>
      <w:lvlJc w:val="left"/>
      <w:pPr>
        <w:ind w:left="5040" w:hanging="363"/>
      </w:pPr>
    </w:lvl>
    <w:lvl w:ilvl="7">
      <w:start w:val="1"/>
      <w:numFmt w:val="lowerLetter"/>
      <w:lvlText w:val="%8."/>
      <w:lvlJc w:val="left"/>
      <w:pPr>
        <w:ind w:left="5760" w:hanging="363"/>
      </w:pPr>
    </w:lvl>
    <w:lvl w:ilvl="8">
      <w:start w:val="1"/>
      <w:numFmt w:val="lowerRoman"/>
      <w:lvlText w:val="%9."/>
      <w:lvlJc w:val="right"/>
      <w:pPr>
        <w:ind w:left="6480" w:hanging="363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A36"/>
    <w:rsid w:val="00040D73"/>
    <w:rsid w:val="000822C3"/>
    <w:rsid w:val="00092E56"/>
    <w:rsid w:val="000C37C3"/>
    <w:rsid w:val="00143F41"/>
    <w:rsid w:val="001D5294"/>
    <w:rsid w:val="00223F76"/>
    <w:rsid w:val="0023200F"/>
    <w:rsid w:val="0025531B"/>
    <w:rsid w:val="00255BF5"/>
    <w:rsid w:val="002A0BFC"/>
    <w:rsid w:val="002D359E"/>
    <w:rsid w:val="00336A36"/>
    <w:rsid w:val="00350C4C"/>
    <w:rsid w:val="0035109E"/>
    <w:rsid w:val="00372990"/>
    <w:rsid w:val="003769D8"/>
    <w:rsid w:val="00382146"/>
    <w:rsid w:val="00422150"/>
    <w:rsid w:val="004D0C97"/>
    <w:rsid w:val="005B1A6E"/>
    <w:rsid w:val="005B311F"/>
    <w:rsid w:val="005C3A9E"/>
    <w:rsid w:val="005F7E9D"/>
    <w:rsid w:val="00635C0F"/>
    <w:rsid w:val="006460BF"/>
    <w:rsid w:val="00670B54"/>
    <w:rsid w:val="006A16F5"/>
    <w:rsid w:val="0071110C"/>
    <w:rsid w:val="0077430F"/>
    <w:rsid w:val="007B36A5"/>
    <w:rsid w:val="00803407"/>
    <w:rsid w:val="00873530"/>
    <w:rsid w:val="00893016"/>
    <w:rsid w:val="008B23F3"/>
    <w:rsid w:val="008C62AB"/>
    <w:rsid w:val="009669F0"/>
    <w:rsid w:val="00971CDC"/>
    <w:rsid w:val="009A2F3F"/>
    <w:rsid w:val="009F5C3D"/>
    <w:rsid w:val="00A11AFD"/>
    <w:rsid w:val="00AF24E7"/>
    <w:rsid w:val="00AF5067"/>
    <w:rsid w:val="00B30DBD"/>
    <w:rsid w:val="00BC0E80"/>
    <w:rsid w:val="00C16EBE"/>
    <w:rsid w:val="00CC2700"/>
    <w:rsid w:val="00D65542"/>
    <w:rsid w:val="00D71F99"/>
    <w:rsid w:val="00D8225C"/>
    <w:rsid w:val="00DA51B9"/>
    <w:rsid w:val="00DC19FF"/>
    <w:rsid w:val="00E220BB"/>
    <w:rsid w:val="00E25028"/>
    <w:rsid w:val="00E844DD"/>
    <w:rsid w:val="00E90DC0"/>
    <w:rsid w:val="00F07DAF"/>
    <w:rsid w:val="00F702FF"/>
    <w:rsid w:val="00F70C41"/>
    <w:rsid w:val="00F731AD"/>
    <w:rsid w:val="00F84E4A"/>
    <w:rsid w:val="00F9274D"/>
    <w:rsid w:val="00FA268B"/>
    <w:rsid w:val="00FC0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70930"/>
  <w15:docId w15:val="{812C6967-4911-4B90-8901-59D5E62FC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6A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pt-PT"/>
    </w:rPr>
  </w:style>
  <w:style w:type="paragraph" w:styleId="Heading1">
    <w:name w:val="heading 1"/>
    <w:basedOn w:val="TtuloCAP"/>
    <w:next w:val="Normal"/>
    <w:link w:val="Heading1Char"/>
    <w:uiPriority w:val="9"/>
    <w:qFormat/>
    <w:rsid w:val="00336A36"/>
    <w:pPr>
      <w:tabs>
        <w:tab w:val="num" w:pos="680"/>
      </w:tabs>
      <w:ind w:left="720" w:hanging="363"/>
      <w:outlineLvl w:val="0"/>
    </w:pPr>
    <w:rPr>
      <w:sz w:val="36"/>
    </w:rPr>
  </w:style>
  <w:style w:type="paragraph" w:styleId="Heading2">
    <w:name w:val="heading 2"/>
    <w:basedOn w:val="TtuloSECO"/>
    <w:next w:val="Normal"/>
    <w:link w:val="Heading2Char"/>
    <w:uiPriority w:val="9"/>
    <w:unhideWhenUsed/>
    <w:qFormat/>
    <w:rsid w:val="00336A36"/>
    <w:pPr>
      <w:tabs>
        <w:tab w:val="num" w:pos="1474"/>
      </w:tabs>
      <w:spacing w:before="600"/>
      <w:ind w:left="1440" w:hanging="363"/>
      <w:outlineLvl w:val="1"/>
    </w:pPr>
    <w:rPr>
      <w:sz w:val="28"/>
      <w:szCs w:val="26"/>
    </w:rPr>
  </w:style>
  <w:style w:type="paragraph" w:styleId="Heading3">
    <w:name w:val="heading 3"/>
    <w:basedOn w:val="TituloSUBSECO"/>
    <w:next w:val="Normal"/>
    <w:link w:val="Heading3Char"/>
    <w:uiPriority w:val="9"/>
    <w:unhideWhenUsed/>
    <w:qFormat/>
    <w:rsid w:val="00336A36"/>
    <w:pPr>
      <w:tabs>
        <w:tab w:val="num" w:pos="1928"/>
      </w:tabs>
      <w:spacing w:before="480"/>
      <w:ind w:left="2160" w:hanging="363"/>
      <w:outlineLvl w:val="2"/>
    </w:p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6A36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6A3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6A3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tuloCAP">
    <w:name w:val="TítuloCAP"/>
    <w:basedOn w:val="ListaColorida-Cor11"/>
    <w:next w:val="Normal"/>
    <w:link w:val="TtuloCAPCarcter"/>
    <w:qFormat/>
    <w:rsid w:val="00336A36"/>
    <w:pPr>
      <w:spacing w:before="480" w:after="240"/>
      <w:ind w:left="567" w:hanging="567"/>
    </w:pPr>
    <w:rPr>
      <w:rFonts w:ascii="NewsGotT" w:hAnsi="NewsGotT"/>
      <w:b/>
      <w:smallCaps/>
      <w:color w:val="595959"/>
      <w:sz w:val="28"/>
    </w:rPr>
  </w:style>
  <w:style w:type="paragraph" w:customStyle="1" w:styleId="ListaColorida-Cor11">
    <w:name w:val="Lista Colorida - Cor 11"/>
    <w:basedOn w:val="Normal"/>
    <w:link w:val="ListaColorida-Cor11Carcter"/>
    <w:rsid w:val="00336A36"/>
    <w:pPr>
      <w:spacing w:after="120" w:line="360" w:lineRule="auto"/>
      <w:ind w:left="720"/>
      <w:contextualSpacing/>
      <w:jc w:val="both"/>
    </w:pPr>
    <w:rPr>
      <w:rFonts w:ascii="Calibri" w:hAnsi="Calibri"/>
      <w:sz w:val="22"/>
      <w:szCs w:val="22"/>
      <w:lang w:val="x-none" w:eastAsia="x-none"/>
    </w:rPr>
  </w:style>
  <w:style w:type="character" w:customStyle="1" w:styleId="ListaColorida-Cor11Carcter">
    <w:name w:val="Lista Colorida - Cor 11 Carácter"/>
    <w:link w:val="ListaColorida-Cor11"/>
    <w:rsid w:val="00336A36"/>
    <w:rPr>
      <w:rFonts w:ascii="Calibri" w:eastAsia="Times New Roman" w:hAnsi="Calibri" w:cs="Times New Roman"/>
      <w:lang w:val="x-none" w:eastAsia="x-none"/>
    </w:rPr>
  </w:style>
  <w:style w:type="character" w:customStyle="1" w:styleId="TtuloCAPCarcter">
    <w:name w:val="TítuloCAP Carácter"/>
    <w:link w:val="TtuloCAP"/>
    <w:rsid w:val="00336A36"/>
    <w:rPr>
      <w:rFonts w:ascii="NewsGotT" w:eastAsia="Times New Roman" w:hAnsi="NewsGotT" w:cs="Times New Roman"/>
      <w:b/>
      <w:smallCaps/>
      <w:color w:val="595959"/>
      <w:sz w:val="28"/>
      <w:lang w:val="x-none" w:eastAsia="x-none"/>
    </w:rPr>
  </w:style>
  <w:style w:type="character" w:customStyle="1" w:styleId="Heading1Char">
    <w:name w:val="Heading 1 Char"/>
    <w:basedOn w:val="DefaultParagraphFont"/>
    <w:link w:val="Heading1"/>
    <w:uiPriority w:val="9"/>
    <w:rsid w:val="00336A36"/>
    <w:rPr>
      <w:rFonts w:ascii="NewsGotT" w:eastAsia="Times New Roman" w:hAnsi="NewsGotT" w:cs="Times New Roman"/>
      <w:b/>
      <w:smallCaps/>
      <w:color w:val="595959"/>
      <w:sz w:val="36"/>
      <w:lang w:val="x-none" w:eastAsia="x-none"/>
    </w:rPr>
  </w:style>
  <w:style w:type="paragraph" w:customStyle="1" w:styleId="TtuloSECO">
    <w:name w:val="TítuloSECÇÃO"/>
    <w:basedOn w:val="Normal"/>
    <w:next w:val="Normal"/>
    <w:link w:val="TtuloSECOCarcter"/>
    <w:qFormat/>
    <w:rsid w:val="00336A36"/>
    <w:pPr>
      <w:spacing w:before="360" w:after="120" w:line="360" w:lineRule="auto"/>
      <w:ind w:left="567" w:hanging="567"/>
      <w:contextualSpacing/>
      <w:jc w:val="both"/>
    </w:pPr>
    <w:rPr>
      <w:rFonts w:ascii="NewsGotT" w:hAnsi="NewsGotT"/>
      <w:b/>
      <w:color w:val="595959"/>
      <w:szCs w:val="22"/>
      <w:lang w:val="x-none" w:eastAsia="x-none"/>
    </w:rPr>
  </w:style>
  <w:style w:type="character" w:customStyle="1" w:styleId="TtuloSECOCarcter">
    <w:name w:val="TítuloSECÇÃO Carácter"/>
    <w:link w:val="TtuloSECO"/>
    <w:rsid w:val="00336A36"/>
    <w:rPr>
      <w:rFonts w:ascii="NewsGotT" w:eastAsia="Times New Roman" w:hAnsi="NewsGotT" w:cs="Times New Roman"/>
      <w:b/>
      <w:color w:val="595959"/>
      <w:sz w:val="24"/>
      <w:lang w:val="x-none" w:eastAsia="x-none"/>
    </w:rPr>
  </w:style>
  <w:style w:type="character" w:customStyle="1" w:styleId="Heading2Char">
    <w:name w:val="Heading 2 Char"/>
    <w:basedOn w:val="DefaultParagraphFont"/>
    <w:link w:val="Heading2"/>
    <w:uiPriority w:val="9"/>
    <w:rsid w:val="00336A36"/>
    <w:rPr>
      <w:rFonts w:ascii="NewsGotT" w:eastAsia="Times New Roman" w:hAnsi="NewsGotT" w:cs="Times New Roman"/>
      <w:b/>
      <w:color w:val="595959"/>
      <w:sz w:val="28"/>
      <w:szCs w:val="26"/>
      <w:lang w:val="x-none" w:eastAsia="x-none"/>
    </w:rPr>
  </w:style>
  <w:style w:type="paragraph" w:customStyle="1" w:styleId="TituloSUBSECO">
    <w:name w:val="TituloSUBSECÇÃO"/>
    <w:basedOn w:val="Normal"/>
    <w:next w:val="Normal"/>
    <w:qFormat/>
    <w:rsid w:val="00336A36"/>
    <w:pPr>
      <w:spacing w:before="240" w:after="120" w:line="360" w:lineRule="auto"/>
      <w:ind w:left="567" w:hanging="567"/>
      <w:contextualSpacing/>
    </w:pPr>
    <w:rPr>
      <w:rFonts w:ascii="NewsGotT" w:hAnsi="NewsGotT"/>
      <w:color w:val="595959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336A36"/>
    <w:rPr>
      <w:rFonts w:ascii="NewsGotT" w:eastAsia="Times New Roman" w:hAnsi="NewsGotT" w:cs="Times New Roman"/>
      <w:color w:val="595959"/>
      <w:sz w:val="24"/>
      <w:lang w:val="en-US" w:eastAsia="pt-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6A36"/>
    <w:rPr>
      <w:rFonts w:ascii="Times New Roman" w:eastAsia="Times New Roman" w:hAnsi="Times New Roman" w:cs="Times New Roman"/>
      <w:b/>
      <w:sz w:val="24"/>
      <w:szCs w:val="24"/>
      <w:lang w:val="en-US" w:eastAsia="pt-PT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6A36"/>
    <w:rPr>
      <w:rFonts w:ascii="Times New Roman" w:eastAsia="Times New Roman" w:hAnsi="Times New Roman" w:cs="Times New Roman"/>
      <w:b/>
      <w:lang w:val="en-US" w:eastAsia="pt-PT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6A36"/>
    <w:rPr>
      <w:rFonts w:ascii="Times New Roman" w:eastAsia="Times New Roman" w:hAnsi="Times New Roman" w:cs="Times New Roman"/>
      <w:b/>
      <w:sz w:val="20"/>
      <w:szCs w:val="20"/>
      <w:lang w:val="en-US" w:eastAsia="pt-PT"/>
    </w:rPr>
  </w:style>
  <w:style w:type="paragraph" w:styleId="Title">
    <w:name w:val="Title"/>
    <w:basedOn w:val="Normal"/>
    <w:next w:val="Normal"/>
    <w:link w:val="TitleChar"/>
    <w:uiPriority w:val="10"/>
    <w:qFormat/>
    <w:rsid w:val="00336A36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336A36"/>
    <w:rPr>
      <w:rFonts w:ascii="Times New Roman" w:eastAsia="Times New Roman" w:hAnsi="Times New Roman" w:cs="Times New Roman"/>
      <w:b/>
      <w:sz w:val="72"/>
      <w:szCs w:val="72"/>
      <w:lang w:val="en-US" w:eastAsia="pt-PT"/>
    </w:rPr>
  </w:style>
  <w:style w:type="paragraph" w:styleId="Header">
    <w:name w:val="header"/>
    <w:basedOn w:val="Normal"/>
    <w:link w:val="HeaderChar"/>
    <w:uiPriority w:val="99"/>
    <w:unhideWhenUsed/>
    <w:rsid w:val="00336A36"/>
    <w:pPr>
      <w:tabs>
        <w:tab w:val="center" w:pos="4320"/>
        <w:tab w:val="right" w:pos="8640"/>
      </w:tabs>
      <w:spacing w:after="120" w:line="360" w:lineRule="auto"/>
      <w:contextualSpacing/>
      <w:jc w:val="both"/>
    </w:pPr>
    <w:rPr>
      <w:rFonts w:ascii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336A36"/>
    <w:rPr>
      <w:rFonts w:ascii="Calibri" w:eastAsia="Times New Roman" w:hAnsi="Calibri" w:cs="Times New Roman"/>
      <w:lang w:val="en-US" w:eastAsia="pt-PT"/>
    </w:rPr>
  </w:style>
  <w:style w:type="paragraph" w:styleId="Footer">
    <w:name w:val="footer"/>
    <w:basedOn w:val="Normal"/>
    <w:link w:val="FooterChar"/>
    <w:uiPriority w:val="99"/>
    <w:unhideWhenUsed/>
    <w:rsid w:val="00336A36"/>
    <w:pPr>
      <w:tabs>
        <w:tab w:val="center" w:pos="4320"/>
        <w:tab w:val="right" w:pos="8640"/>
      </w:tabs>
      <w:spacing w:after="120" w:line="360" w:lineRule="auto"/>
      <w:contextualSpacing/>
      <w:jc w:val="both"/>
    </w:pPr>
    <w:rPr>
      <w:rFonts w:ascii="Calibri" w:hAnsi="Calibr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336A36"/>
    <w:rPr>
      <w:rFonts w:ascii="Calibri" w:eastAsia="Times New Roman" w:hAnsi="Calibri" w:cs="Times New Roman"/>
      <w:lang w:val="en-US" w:eastAsia="pt-PT"/>
    </w:rPr>
  </w:style>
  <w:style w:type="character" w:styleId="Hyperlink">
    <w:name w:val="Hyperlink"/>
    <w:uiPriority w:val="99"/>
    <w:unhideWhenUsed/>
    <w:rsid w:val="00336A36"/>
    <w:rPr>
      <w:color w:val="0000FF"/>
      <w:u w:val="single"/>
    </w:rPr>
  </w:style>
  <w:style w:type="paragraph" w:customStyle="1" w:styleId="Estilo1">
    <w:name w:val="Estilo 1"/>
    <w:basedOn w:val="ListaColorida-Cor11"/>
    <w:next w:val="Normal"/>
    <w:link w:val="Estilo1Carcter"/>
    <w:qFormat/>
    <w:rsid w:val="00336A36"/>
    <w:pPr>
      <w:spacing w:before="240"/>
      <w:ind w:left="0"/>
      <w:contextualSpacing w:val="0"/>
    </w:pPr>
    <w:rPr>
      <w:rFonts w:ascii="NewsGotT" w:hAnsi="NewsGotT"/>
      <w:b/>
      <w:color w:val="595959"/>
      <w:sz w:val="28"/>
    </w:rPr>
  </w:style>
  <w:style w:type="character" w:customStyle="1" w:styleId="Estilo1Carcter">
    <w:name w:val="Estilo 1 Carácter"/>
    <w:link w:val="Estilo1"/>
    <w:rsid w:val="00336A36"/>
    <w:rPr>
      <w:rFonts w:ascii="NewsGotT" w:eastAsia="Times New Roman" w:hAnsi="NewsGotT" w:cs="Times New Roman"/>
      <w:b/>
      <w:color w:val="595959"/>
      <w:sz w:val="28"/>
      <w:lang w:val="x-none" w:eastAsia="x-non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36A36"/>
    <w:pPr>
      <w:keepLines/>
      <w:spacing w:after="0"/>
      <w:outlineLvl w:val="9"/>
    </w:pPr>
    <w:rPr>
      <w:color w:val="365F91"/>
      <w:szCs w:val="28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336A36"/>
    <w:pPr>
      <w:tabs>
        <w:tab w:val="right" w:leader="dot" w:pos="9054"/>
      </w:tabs>
      <w:spacing w:line="360" w:lineRule="auto"/>
      <w:contextualSpacing/>
      <w:jc w:val="both"/>
    </w:pPr>
    <w:rPr>
      <w:rFonts w:ascii="NewsGotT" w:hAnsi="NewsGotT"/>
      <w:szCs w:val="22"/>
    </w:rPr>
  </w:style>
  <w:style w:type="paragraph" w:styleId="TOC2">
    <w:name w:val="toc 2"/>
    <w:basedOn w:val="Normal"/>
    <w:next w:val="Normal"/>
    <w:autoRedefine/>
    <w:uiPriority w:val="39"/>
    <w:unhideWhenUsed/>
    <w:rsid w:val="00336A36"/>
    <w:pPr>
      <w:spacing w:after="120" w:line="360" w:lineRule="auto"/>
      <w:ind w:left="220"/>
      <w:contextualSpacing/>
      <w:jc w:val="both"/>
    </w:pPr>
    <w:rPr>
      <w:rFonts w:ascii="NewsGotT" w:hAnsi="NewsGotT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336A36"/>
    <w:pPr>
      <w:spacing w:after="120" w:line="360" w:lineRule="auto"/>
      <w:ind w:left="440"/>
      <w:contextualSpacing/>
      <w:jc w:val="both"/>
    </w:pPr>
    <w:rPr>
      <w:rFonts w:ascii="NewsGotT" w:hAnsi="NewsGotT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6A36"/>
    <w:pPr>
      <w:contextualSpacing/>
      <w:jc w:val="both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6A36"/>
    <w:rPr>
      <w:rFonts w:ascii="Tahoma" w:eastAsia="Times New Roman" w:hAnsi="Tahoma" w:cs="Tahoma"/>
      <w:sz w:val="16"/>
      <w:szCs w:val="16"/>
      <w:lang w:val="en-US" w:eastAsia="pt-PT"/>
    </w:rPr>
  </w:style>
  <w:style w:type="character" w:styleId="CommentReference">
    <w:name w:val="annotation reference"/>
    <w:basedOn w:val="DefaultParagraphFont"/>
    <w:uiPriority w:val="99"/>
    <w:semiHidden/>
    <w:unhideWhenUsed/>
    <w:rsid w:val="00336A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36A36"/>
    <w:pPr>
      <w:spacing w:after="120" w:line="360" w:lineRule="auto"/>
      <w:contextualSpacing/>
      <w:jc w:val="both"/>
    </w:pPr>
    <w:rPr>
      <w:rFonts w:ascii="NewsGotT" w:hAnsi="NewsGotT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36A36"/>
    <w:rPr>
      <w:rFonts w:ascii="NewsGotT" w:eastAsia="Times New Roman" w:hAnsi="NewsGotT" w:cs="Times New Roman"/>
      <w:sz w:val="20"/>
      <w:szCs w:val="20"/>
      <w:lang w:val="en-US" w:eastAsia="pt-P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6A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6A36"/>
    <w:rPr>
      <w:rFonts w:ascii="NewsGotT" w:eastAsia="Times New Roman" w:hAnsi="NewsGotT" w:cs="Times New Roman"/>
      <w:b/>
      <w:bCs/>
      <w:sz w:val="20"/>
      <w:szCs w:val="20"/>
      <w:lang w:val="en-US" w:eastAsia="pt-PT"/>
    </w:rPr>
  </w:style>
  <w:style w:type="paragraph" w:customStyle="1" w:styleId="EstiloRefs">
    <w:name w:val="Estilo Refs"/>
    <w:basedOn w:val="Normal"/>
    <w:link w:val="EstiloRefsChar"/>
    <w:qFormat/>
    <w:rsid w:val="00336A36"/>
    <w:pPr>
      <w:spacing w:after="240"/>
      <w:jc w:val="both"/>
    </w:pPr>
    <w:rPr>
      <w:rFonts w:ascii="NewsGotT" w:hAnsi="NewsGotT"/>
      <w:szCs w:val="22"/>
    </w:rPr>
  </w:style>
  <w:style w:type="character" w:customStyle="1" w:styleId="EstiloRefsChar">
    <w:name w:val="Estilo Refs Char"/>
    <w:basedOn w:val="DefaultParagraphFont"/>
    <w:link w:val="EstiloRefs"/>
    <w:rsid w:val="00336A36"/>
    <w:rPr>
      <w:rFonts w:ascii="NewsGotT" w:eastAsia="Times New Roman" w:hAnsi="NewsGotT" w:cs="Times New Roman"/>
      <w:sz w:val="24"/>
      <w:lang w:val="en-US" w:eastAsia="pt-PT"/>
    </w:rPr>
  </w:style>
  <w:style w:type="paragraph" w:styleId="ListParagraph">
    <w:name w:val="List Paragraph"/>
    <w:basedOn w:val="Normal"/>
    <w:uiPriority w:val="34"/>
    <w:qFormat/>
    <w:rsid w:val="00336A36"/>
    <w:pPr>
      <w:ind w:left="720"/>
      <w:contextualSpacing/>
    </w:pPr>
    <w:rPr>
      <w:rFonts w:asciiTheme="minorHAnsi" w:hAnsiTheme="minorHAnsi" w:cstheme="minorBidi"/>
      <w:lang w:eastAsia="en-US"/>
    </w:rPr>
  </w:style>
  <w:style w:type="character" w:styleId="Strong">
    <w:name w:val="Strong"/>
    <w:basedOn w:val="DefaultParagraphFont"/>
    <w:uiPriority w:val="22"/>
    <w:qFormat/>
    <w:rsid w:val="00336A36"/>
    <w:rPr>
      <w:b/>
      <w:bCs/>
    </w:rPr>
  </w:style>
  <w:style w:type="character" w:styleId="Emphasis">
    <w:name w:val="Emphasis"/>
    <w:basedOn w:val="DefaultParagraphFont"/>
    <w:uiPriority w:val="20"/>
    <w:qFormat/>
    <w:rsid w:val="00336A36"/>
    <w:rPr>
      <w:i/>
      <w:iCs/>
    </w:rPr>
  </w:style>
  <w:style w:type="paragraph" w:styleId="NormalWeb">
    <w:name w:val="Normal (Web)"/>
    <w:basedOn w:val="Normal"/>
    <w:uiPriority w:val="99"/>
    <w:unhideWhenUsed/>
    <w:rsid w:val="00336A36"/>
    <w:pPr>
      <w:spacing w:before="100" w:beforeAutospacing="1" w:after="100" w:afterAutospacing="1"/>
    </w:pPr>
  </w:style>
  <w:style w:type="character" w:customStyle="1" w:styleId="subheading">
    <w:name w:val="subheading"/>
    <w:basedOn w:val="DefaultParagraphFont"/>
    <w:rsid w:val="00336A36"/>
  </w:style>
  <w:style w:type="character" w:customStyle="1" w:styleId="text">
    <w:name w:val="text"/>
    <w:basedOn w:val="DefaultParagraphFont"/>
    <w:rsid w:val="00336A36"/>
  </w:style>
  <w:style w:type="paragraph" w:customStyle="1" w:styleId="text1">
    <w:name w:val="text1"/>
    <w:basedOn w:val="Normal"/>
    <w:rsid w:val="00336A36"/>
    <w:pPr>
      <w:spacing w:before="100" w:beforeAutospacing="1" w:after="100" w:afterAutospacing="1"/>
    </w:pPr>
  </w:style>
  <w:style w:type="character" w:customStyle="1" w:styleId="MenoNoResolvida1">
    <w:name w:val="Menção Não Resolvida1"/>
    <w:basedOn w:val="DefaultParagraphFont"/>
    <w:uiPriority w:val="99"/>
    <w:rsid w:val="00336A36"/>
    <w:rPr>
      <w:color w:val="605E5C"/>
      <w:shd w:val="clear" w:color="auto" w:fill="E1DFDD"/>
    </w:rPr>
  </w:style>
  <w:style w:type="character" w:customStyle="1" w:styleId="im">
    <w:name w:val="im"/>
    <w:basedOn w:val="DefaultParagraphFont"/>
    <w:rsid w:val="00336A36"/>
  </w:style>
  <w:style w:type="character" w:customStyle="1" w:styleId="gi">
    <w:name w:val="gi"/>
    <w:basedOn w:val="DefaultParagraphFont"/>
    <w:rsid w:val="00336A36"/>
  </w:style>
  <w:style w:type="paragraph" w:styleId="Caption">
    <w:name w:val="caption"/>
    <w:basedOn w:val="Normal"/>
    <w:next w:val="Normal"/>
    <w:uiPriority w:val="35"/>
    <w:unhideWhenUsed/>
    <w:qFormat/>
    <w:rsid w:val="00336A36"/>
    <w:pPr>
      <w:spacing w:after="200"/>
    </w:pPr>
    <w:rPr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336A36"/>
  </w:style>
  <w:style w:type="paragraph" w:styleId="Revision">
    <w:name w:val="Revision"/>
    <w:hidden/>
    <w:uiPriority w:val="99"/>
    <w:semiHidden/>
    <w:rsid w:val="00336A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pt-PT"/>
    </w:rPr>
  </w:style>
  <w:style w:type="paragraph" w:customStyle="1" w:styleId="Default">
    <w:name w:val="Default"/>
    <w:rsid w:val="00336A36"/>
    <w:pPr>
      <w:autoSpaceDE w:val="0"/>
      <w:autoSpaceDN w:val="0"/>
      <w:adjustRightInd w:val="0"/>
      <w:spacing w:after="0" w:line="240" w:lineRule="auto"/>
    </w:pPr>
    <w:rPr>
      <w:rFonts w:ascii="NewsGotT" w:eastAsia="Times New Roman" w:hAnsi="NewsGotT" w:cs="NewsGotT"/>
      <w:color w:val="000000"/>
      <w:sz w:val="24"/>
      <w:szCs w:val="24"/>
      <w:lang w:val="en-US" w:eastAsia="pt-PT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6A3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336A36"/>
    <w:rPr>
      <w:rFonts w:ascii="Georgia" w:eastAsia="Georgia" w:hAnsi="Georgia" w:cs="Georgia"/>
      <w:i/>
      <w:color w:val="666666"/>
      <w:sz w:val="48"/>
      <w:szCs w:val="48"/>
      <w:lang w:val="en-US"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10</Pages>
  <Words>1025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PRIMAVERA</Company>
  <LinksUpToDate>false</LinksUpToDate>
  <CharactersWithSpaces>6861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Cátia Andreia Costa Oliveira</dc:creator>
  <cp:keywords/>
  <dc:description/>
  <cp:lastModifiedBy>Poonam Mutha</cp:lastModifiedBy>
  <cp:revision>9</cp:revision>
  <dcterms:created xsi:type="dcterms:W3CDTF">2021-08-31T18:29:00Z</dcterms:created>
  <dcterms:modified xsi:type="dcterms:W3CDTF">2022-05-19T18:41:00Z</dcterms:modified>
</cp:coreProperties>
</file>