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Table S1 Effects of serum uric acid on the outcome indexs during the fllow-up in male patients with axial spondyloarthritis(</w:t>
      </w:r>
      <w:r>
        <w:rPr>
          <w:rStyle w:val="8"/>
          <w:rFonts w:hint="default" w:ascii="Times New Roman" w:hAnsi="Times New Roman" w:cs="Times New Roman"/>
          <w:b/>
          <w:bCs/>
        </w:rPr>
        <w:t>Univariable Model</w:t>
      </w:r>
      <w:r>
        <w:rPr>
          <w:rFonts w:hint="default" w:ascii="Times New Roman" w:hAnsi="Times New Roman" w:cs="Times New Roman"/>
          <w:b/>
          <w:bCs/>
        </w:rPr>
        <w:t>)</w:t>
      </w:r>
    </w:p>
    <w:tbl>
      <w:tblPr>
        <w:tblStyle w:val="4"/>
        <w:tblW w:w="8647" w:type="dxa"/>
        <w:tblInd w:w="2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2693"/>
        <w:gridCol w:w="1843"/>
      </w:tblGrid>
      <w:tr>
        <w:trPr>
          <w:trHeight w:val="460" w:hRule="atLeast"/>
        </w:trPr>
        <w:tc>
          <w:tcPr>
            <w:tcW w:w="411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outcome </w:t>
            </w:r>
          </w:p>
        </w:tc>
        <w:tc>
          <w:tcPr>
            <w:tcW w:w="269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</w:rPr>
              <w:t>β(95%CI)</w:t>
            </w:r>
          </w:p>
        </w:tc>
        <w:tc>
          <w:tcPr>
            <w:tcW w:w="184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PtGA,0–100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-1.981(-3.863,-0.099)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,0–100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-1.978(-3.862,-0.094)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in ninght,0–100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-1.462(-3.022,0.098)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BASDAI,0–10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-0.175(-0.356,0.006)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BASFI,0–10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-0.125(-0.273,0.023)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ASDAS‐CRP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-0.096(-0.187,-0.005)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SF-36:Physical Functioning(PF)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2.039(0.58,3.499)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SF-36:Role-Physical(RP)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2.662(-0.577,5.902)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SF-36:BP(Bodily Pain）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1.089(-0.229,2.408)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SF-36:General Health(GH)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2.577(0.182,4.972)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SF-36:Vitality(VT)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0.596(-0.582,1.773)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SF-36:Social Functioning(SF)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2.267(0.705,3.83)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SF-36:Role-Emotional(RE)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0.668(-2.949,4.285)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0.717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SF-36:Mental Health(MH)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0.419(-0.666,1.504)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0.449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CRP(mg/liter)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-0.385(-0.989,0.219)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ESR(mm/h)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-0.001(-0.657,0.655)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0.997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Table S2 Effects of serum uric acid on the outcome indexs during the fllow-up in male patients with axial spondyloarthritis(</w:t>
      </w:r>
      <w:r>
        <w:rPr>
          <w:rStyle w:val="8"/>
          <w:rFonts w:hint="default" w:ascii="Times New Roman" w:hAnsi="Times New Roman" w:cs="Times New Roman"/>
          <w:b/>
          <w:bCs/>
        </w:rPr>
        <w:t xml:space="preserve">Multivariable Model Adjusted for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Contextual factors </w:t>
      </w:r>
      <w:r>
        <w:rPr>
          <w:rFonts w:hint="default" w:ascii="Times New Roman" w:hAnsi="Times New Roman" w:cs="Times New Roman"/>
          <w:b/>
          <w:bCs/>
        </w:rPr>
        <w:t>)</w:t>
      </w:r>
    </w:p>
    <w:tbl>
      <w:tblPr>
        <w:tblStyle w:val="4"/>
        <w:tblW w:w="836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2526"/>
        <w:gridCol w:w="18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96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 xml:space="preserve">outcome </w:t>
            </w:r>
          </w:p>
        </w:tc>
        <w:tc>
          <w:tcPr>
            <w:tcW w:w="252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β(95%CI)</w:t>
            </w:r>
          </w:p>
        </w:tc>
        <w:tc>
          <w:tcPr>
            <w:tcW w:w="186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2"/>
                <w:szCs w:val="22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PtGA,0–100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-2.059(-4.032,-0.086)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Spinal pain ,0–100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-1.836(-3.899,0.227)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Spinal pain in ninght,0–100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-1.307(-3.111,0.498)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0.156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 xml:space="preserve">BASDAI,0–10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-0.156(-0.34,0.028)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 xml:space="preserve">BASFI,0–10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-0.044(-0.174,0.086)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ASDAS‐CRP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-0.075(-0.169,0.018)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SF-36:Physical Functioning(PF)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1.191(-0.266,2.648)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0.109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SF-36:Role-Physical(RP)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3.644(-0.114,7.403)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0.057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SF-36:Bodily Pain(BP)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1.442(-0.371,3.255)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SF-36:General Health(GH)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1.549(-1.554,4.652)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SF-36:Vitality(VT)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1.751(0.415,3.087)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SF-36:Social Functioning(SF)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2.968(1.067,4.869)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SF-36:Role-Emotional(RE)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2.421(-1.747,6.589)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0.255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SF-36:Mental Health(MH)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0.834(-0.608,2.275)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0.257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CRP(mg/liter)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-0.259(-1.017,0.5)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96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ESR(mm/h)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0.319(-0.552,1.191)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0.472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Table S3 Effects of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>hyperuricemia</w:t>
      </w:r>
      <w:r>
        <w:rPr>
          <w:rFonts w:hint="default" w:ascii="Times New Roman" w:hAnsi="Times New Roman" w:cs="Times New Roman"/>
          <w:b/>
          <w:bCs/>
        </w:rPr>
        <w:t xml:space="preserve"> on the outcome indexs during the fllow-up in male patients with axial spondyloarthritis(</w:t>
      </w:r>
      <w:r>
        <w:rPr>
          <w:rStyle w:val="8"/>
          <w:rFonts w:hint="default" w:ascii="Times New Roman" w:hAnsi="Times New Roman" w:cs="Times New Roman"/>
          <w:b/>
          <w:bCs/>
        </w:rPr>
        <w:t xml:space="preserve">Multivariable Model Adjusted for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Contextual factors </w:t>
      </w:r>
      <w:r>
        <w:rPr>
          <w:rFonts w:hint="default" w:ascii="Times New Roman" w:hAnsi="Times New Roman" w:cs="Times New Roman"/>
          <w:b/>
          <w:bCs/>
        </w:rPr>
        <w:t>)</w:t>
      </w:r>
    </w:p>
    <w:tbl>
      <w:tblPr>
        <w:tblStyle w:val="4"/>
        <w:tblW w:w="758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8"/>
        <w:gridCol w:w="2856"/>
        <w:gridCol w:w="960"/>
      </w:tblGrid>
      <w:tr>
        <w:trPr>
          <w:trHeight w:val="303" w:hRule="atLeast"/>
        </w:trPr>
        <w:tc>
          <w:tcPr>
            <w:tcW w:w="37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outcome </w:t>
            </w:r>
          </w:p>
        </w:tc>
        <w:tc>
          <w:tcPr>
            <w:tcW w:w="28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β(95%CI)</w:t>
            </w:r>
          </w:p>
        </w:tc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PtGA,0–100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-1.482(-7.136,4.172)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0.607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,0–100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-1.06(-6.602,4.481)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in ninght,0–100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-1.187(-6.92,4.546)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0.685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BASDAI,0–10 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-0.024(-0.523,0.475)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0.926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BASFI,0–10 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-0.062(-0.514,0.389)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0.786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ASDAS‐CRP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-0.087(-0.341,0.166)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0.499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SF-36:Physical Functioning(PF)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2.858(-4.563,10.279)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SF-36:Role-Physical(RP)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9.094(-6.834,25.021)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0.263</w:t>
            </w:r>
          </w:p>
        </w:tc>
      </w:tr>
      <w:tr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SF-36:BP(Bodily Pain）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1.542(-4.254,7.338)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0.602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SF-36:General Health(GH)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3.961(-7.549,15.471)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SF-36:Vitality(VT)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4.854(-1.635,11.342)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SF-36:Social Functioning(SF)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4.139(-5.614,13.893)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SF-36:Role-Emotional(RE)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4.545(-10.951,20.041)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0.565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SF-36:Mental Health(MH)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2.571(-3.95,9.091)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CRP(mg/liter)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-0.779(-3.622,2.064)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0.591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7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ESR(mm/h)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-0.686(-3.938,2.566)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0.679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Table S4 Effects of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>b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</w:rPr>
        <w:t>DMARD use</w:t>
      </w:r>
      <w:r>
        <w:rPr>
          <w:rFonts w:hint="default" w:ascii="Times New Roman" w:hAnsi="Times New Roman" w:cs="Times New Roman"/>
          <w:b/>
          <w:bCs/>
        </w:rPr>
        <w:t xml:space="preserve"> on the outcome indexs during the fllow-up in male patients with axial spondyloarthritis(</w:t>
      </w:r>
      <w:r>
        <w:rPr>
          <w:rStyle w:val="8"/>
          <w:rFonts w:hint="default" w:ascii="Times New Roman" w:hAnsi="Times New Roman" w:cs="Times New Roman"/>
          <w:b/>
          <w:bCs/>
        </w:rPr>
        <w:t xml:space="preserve">Multivariable Model Adjusted for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Contextual factors </w:t>
      </w:r>
      <w:r>
        <w:rPr>
          <w:rFonts w:hint="default" w:ascii="Times New Roman" w:hAnsi="Times New Roman" w:cs="Times New Roman"/>
          <w:b/>
          <w:bCs/>
        </w:rPr>
        <w:t>)</w:t>
      </w:r>
    </w:p>
    <w:tbl>
      <w:tblPr>
        <w:tblStyle w:val="4"/>
        <w:tblW w:w="7655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2693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8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outcome </w:t>
            </w:r>
          </w:p>
        </w:tc>
        <w:tc>
          <w:tcPr>
            <w:tcW w:w="269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β(95%CI)</w:t>
            </w:r>
          </w:p>
        </w:tc>
        <w:tc>
          <w:tcPr>
            <w:tcW w:w="11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PtGA,0–100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1.148(-3.325,5.622)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0.615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,0–100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-0.547(-5.108,4.014)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0.814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in ninght,0–100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0.489(-4.465,5.443)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0.847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BASDAI,0–10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-0.078(-0.516,0.36)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BASFI,0–10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-0.072(-0.446,0.302)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0.706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ASDAS‐CRP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0.222(0.007,0.436)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SF-36:Physical Functioning(PF)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2.285(-3.644,8.214)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SF-36:Role-Physical(RP)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4.273(-8.839,17.385)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0.523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SF-36:BP(Bodily Pain）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1.157(-3.215,5.529)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0.604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SF-36:General Health(GH)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0.889(-7.619,9.397)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0.838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SF-36:Vitality(VT)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5.305(0.882,9.728)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SF-36:Social Functioning(SF)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7.977(0.469,15.484)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SF-36:Role-Emotional(RE)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11.701(0.56,22.841)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SF-36:Mental Health(MH)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2.775(-1.354,6.904)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CRP(mg/liter)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3.436(1.407,5.465)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8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ESR(mm/h)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2.181(-0.332,4.694)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0.089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S5 Effects of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</w:rPr>
        <w:t>cDMARD use</w:t>
      </w:r>
      <w:r>
        <w:rPr>
          <w:rFonts w:hint="default" w:ascii="Times New Roman" w:hAnsi="Times New Roman" w:cs="Times New Roman"/>
        </w:rPr>
        <w:t xml:space="preserve"> on  the outcome indexs during the fllow-up in male patients with axial spondyloarthritis(</w:t>
      </w:r>
      <w:r>
        <w:rPr>
          <w:rStyle w:val="8"/>
          <w:rFonts w:hint="default" w:ascii="Times New Roman" w:hAnsi="Times New Roman" w:cs="Times New Roman"/>
          <w:b w:val="0"/>
        </w:rPr>
        <w:t>Multivariable Model Adjusted for</w:t>
      </w:r>
      <w:r>
        <w:rPr>
          <w:rStyle w:val="8"/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Contextual factors </w:t>
      </w:r>
      <w:r>
        <w:rPr>
          <w:rFonts w:hint="default" w:ascii="Times New Roman" w:hAnsi="Times New Roman" w:cs="Times New Roman"/>
        </w:rPr>
        <w:t>)</w:t>
      </w:r>
    </w:p>
    <w:tbl>
      <w:tblPr>
        <w:tblStyle w:val="4"/>
        <w:tblW w:w="764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2856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8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outcome </w:t>
            </w:r>
          </w:p>
        </w:tc>
        <w:tc>
          <w:tcPr>
            <w:tcW w:w="28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β(95%CI)</w:t>
            </w:r>
          </w:p>
        </w:tc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PtGA,0–100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1.54(-3.45,6.53)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0.545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,0–100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1.146(-3.732,6.025)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0.645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in ninght,0–100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-0.654(-5.445,4.136)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0.789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BASDAI,0–10 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0.027(-0.355,0.409)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BASFI,0–10 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-0.212(-0.483,0.059)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ASDAS‐CRP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-0.138(-0.351,0.074)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SF-36:Physical Functioning(PF)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1.407(-2.857,5.672)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SF-36:Role-Physical(RP)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-13.936(-25.015,-2.856)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SF-36:BP(Bodily Pain）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-4.065(-9.107,0.977)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SF-36:General Health(GH)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-0.077(-7.159,7.005)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0.983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SF-36:Vitality(VT)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-2.142(-5.645,1.361)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SF-36:Social Functioning(SF)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-8.383(-15.261,-1.505)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SF-36:Role-Emotional(RE)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-25.885(-39.137,-12.633)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SF-36:Mental Health(MH)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-0.913(-4.607,2.781)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0.628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CRP(mg/liter)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-1.978(-3.572,-0.384)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8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ESR(mm/h)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0.04(-2.512,2.593)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0.975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S6 Effects of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</w:rPr>
        <w:t>NSAID use</w:t>
      </w:r>
      <w:r>
        <w:rPr>
          <w:rFonts w:hint="default" w:ascii="Times New Roman" w:hAnsi="Times New Roman" w:cs="Times New Roman"/>
        </w:rPr>
        <w:t xml:space="preserve"> on  the outcome indexs during the fllow-up in male patients with axial spondyloarthritis(</w:t>
      </w:r>
      <w:r>
        <w:rPr>
          <w:rStyle w:val="8"/>
          <w:rFonts w:hint="default" w:ascii="Times New Roman" w:hAnsi="Times New Roman" w:cs="Times New Roman"/>
          <w:b w:val="0"/>
        </w:rPr>
        <w:t>Multivariable Model Adjusted for</w:t>
      </w:r>
      <w:r>
        <w:rPr>
          <w:rStyle w:val="8"/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Contextual factors </w:t>
      </w:r>
      <w:r>
        <w:rPr>
          <w:rFonts w:hint="default" w:ascii="Times New Roman" w:hAnsi="Times New Roman" w:cs="Times New Roman"/>
        </w:rPr>
        <w:t>)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4"/>
        <w:tblW w:w="764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2856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8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outcome </w:t>
            </w:r>
          </w:p>
        </w:tc>
        <w:tc>
          <w:tcPr>
            <w:tcW w:w="28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β(95%CI)</w:t>
            </w:r>
          </w:p>
        </w:tc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PtGA,0–100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2.6551(-7.688,2.719)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,0–100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2.5159(-8.743,1.119)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Spinal pain in ninght,0–100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2.3608(-6.162,3.092)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0.516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BASDAI,0–10 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0.1996(-0.493,0.29)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0.611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BASFI,0–10 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0.1535(-0.294,0.307)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ASDAS‐CRP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0.1166(-0.287,0.17)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0.617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SF-36:Physical Functioning(PF)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2.2538(-3.927,4.907)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0.828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SF-36:Role-Physical(RP)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5.9144(-1.906,21.278)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SF-36:BP(Bodily Pain）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2.5346(-0.207,9.729)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SF-36:General Health(GH)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3.8559(-2.071,13.043)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0.155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SF-36:Vitality(VT)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2.083(1.669,9.834)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SF-36:Social Functioning(SF)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3.9418(2.23,17.681)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SF-36:Role-Emotional(RE)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6.3739(4.443,29.428)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SF-36:Mental Health(MH)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2.2747(-2.419,6.498)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CRP(mg/liter)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0.8906(-0.805,2.686)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0.291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8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ESR(mm/h)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1.1663(-3.603,0.969)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0.259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RWPalladioL-Bold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2D"/>
    <w:rsid w:val="00084863"/>
    <w:rsid w:val="000B67D0"/>
    <w:rsid w:val="00160647"/>
    <w:rsid w:val="001841AC"/>
    <w:rsid w:val="00323C59"/>
    <w:rsid w:val="003522FA"/>
    <w:rsid w:val="0036234E"/>
    <w:rsid w:val="003629E8"/>
    <w:rsid w:val="00502B84"/>
    <w:rsid w:val="00512C9B"/>
    <w:rsid w:val="00684B8D"/>
    <w:rsid w:val="006A41CA"/>
    <w:rsid w:val="006A6D2D"/>
    <w:rsid w:val="007061BD"/>
    <w:rsid w:val="007763EB"/>
    <w:rsid w:val="00942879"/>
    <w:rsid w:val="009F2934"/>
    <w:rsid w:val="00A07F9E"/>
    <w:rsid w:val="00BE6D62"/>
    <w:rsid w:val="00D141A6"/>
    <w:rsid w:val="00D3610F"/>
    <w:rsid w:val="00F47D4C"/>
    <w:rsid w:val="00FD4F3A"/>
    <w:rsid w:val="197D5750"/>
    <w:rsid w:val="2744368E"/>
    <w:rsid w:val="4EFC33DC"/>
    <w:rsid w:val="6F68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fontstyle01"/>
    <w:basedOn w:val="5"/>
    <w:uiPriority w:val="0"/>
    <w:rPr>
      <w:rFonts w:hint="default" w:ascii="URWPalladioL-Bold" w:hAnsi="URWPalladioL-Bold"/>
      <w:b/>
      <w:bCs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589</Words>
  <Characters>5037</Characters>
  <Lines>40</Lines>
  <Paragraphs>11</Paragraphs>
  <TotalTime>3</TotalTime>
  <ScaleCrop>false</ScaleCrop>
  <LinksUpToDate>false</LinksUpToDate>
  <CharactersWithSpaces>5260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2022-02-10T12:42:00Z</dcterms:created>
  <dc:creator>HUAWEI</dc:creator>
  <cp:lastModifiedBy>Doctor Cai</cp:lastModifiedBy>
  <dcterms:modified xsi:type="dcterms:W3CDTF">2022-04-19T07:04:24Z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2712057F2A484F4DB8618FDA2EE5F205</vt:lpwstr>
  </property>
</Properties>
</file>