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028" w:rsidRPr="00275028" w:rsidRDefault="00275028" w:rsidP="00275028">
      <w:pPr>
        <w:widowControl w:val="0"/>
        <w:tabs>
          <w:tab w:val="left" w:pos="0"/>
        </w:tabs>
        <w:autoSpaceDE w:val="0"/>
        <w:autoSpaceDN w:val="0"/>
        <w:adjustRightInd w:val="0"/>
        <w:spacing w:after="0" w:line="480" w:lineRule="auto"/>
        <w:ind w:right="-180"/>
        <w:jc w:val="both"/>
        <w:rPr>
          <w:rFonts w:ascii="Times New Roman" w:hAnsi="Times New Roman" w:cs="Times New Roman"/>
          <w:b/>
          <w:sz w:val="20"/>
          <w:szCs w:val="20"/>
        </w:rPr>
      </w:pPr>
      <w:r w:rsidRPr="00275028">
        <w:rPr>
          <w:rFonts w:ascii="Times New Roman" w:hAnsi="Times New Roman" w:cs="Times New Roman"/>
          <w:b/>
          <w:sz w:val="20"/>
          <w:szCs w:val="20"/>
        </w:rPr>
        <w:t>Materilas</w:t>
      </w:r>
    </w:p>
    <w:p w:rsidR="00F55016" w:rsidRPr="00A762A4" w:rsidRDefault="00F55016" w:rsidP="00F55016">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b/>
          <w:sz w:val="20"/>
          <w:szCs w:val="20"/>
        </w:rPr>
      </w:pPr>
      <w:r w:rsidRPr="00A762A4">
        <w:rPr>
          <w:rFonts w:ascii="Times New Roman" w:hAnsi="Times New Roman" w:cs="Times New Roman"/>
          <w:b/>
          <w:sz w:val="20"/>
          <w:szCs w:val="20"/>
        </w:rPr>
        <w:t>Cell culture and treatments</w:t>
      </w:r>
    </w:p>
    <w:p w:rsidR="00F55016" w:rsidRPr="00A762A4" w:rsidRDefault="00F55016" w:rsidP="00F55016">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bCs/>
          <w:sz w:val="20"/>
          <w:szCs w:val="20"/>
        </w:rPr>
      </w:pPr>
      <w:r w:rsidRPr="00A762A4">
        <w:rPr>
          <w:rFonts w:ascii="Times New Roman" w:hAnsi="Times New Roman" w:cs="Times New Roman"/>
          <w:sz w:val="20"/>
          <w:szCs w:val="20"/>
        </w:rPr>
        <w:t xml:space="preserve">U87-MG cell line was used as </w:t>
      </w:r>
      <w:r w:rsidRPr="00A762A4">
        <w:rPr>
          <w:rFonts w:ascii="Times New Roman" w:hAnsi="Times New Roman" w:cs="Times New Roman"/>
          <w:i/>
          <w:sz w:val="20"/>
          <w:szCs w:val="20"/>
        </w:rPr>
        <w:t>in vitro</w:t>
      </w:r>
      <w:r w:rsidRPr="00A762A4">
        <w:rPr>
          <w:rFonts w:ascii="Times New Roman" w:hAnsi="Times New Roman" w:cs="Times New Roman"/>
          <w:sz w:val="20"/>
          <w:szCs w:val="20"/>
        </w:rPr>
        <w:t xml:space="preserve"> model of glioma. U87-MG cells were incubated to 85-95% confluency and for all the experiments working cell density used was 2.5×10</w:t>
      </w:r>
      <w:r w:rsidRPr="00A762A4">
        <w:rPr>
          <w:rFonts w:ascii="Times New Roman" w:hAnsi="Times New Roman" w:cs="Times New Roman"/>
          <w:sz w:val="20"/>
          <w:szCs w:val="20"/>
          <w:vertAlign w:val="superscript"/>
        </w:rPr>
        <w:t xml:space="preserve">4 </w:t>
      </w:r>
      <w:r w:rsidRPr="00A762A4">
        <w:rPr>
          <w:rFonts w:ascii="Times New Roman" w:hAnsi="Times New Roman" w:cs="Times New Roman"/>
          <w:sz w:val="20"/>
          <w:szCs w:val="20"/>
        </w:rPr>
        <w:t xml:space="preserve">cells/ ml or otherwise indicated. CAPE was dissolved in </w:t>
      </w:r>
      <w:r>
        <w:rPr>
          <w:rFonts w:ascii="Times New Roman" w:hAnsi="Times New Roman" w:cs="Times New Roman"/>
          <w:sz w:val="20"/>
          <w:szCs w:val="20"/>
        </w:rPr>
        <w:t>DMSO</w:t>
      </w:r>
      <w:r w:rsidRPr="00A762A4">
        <w:rPr>
          <w:rFonts w:ascii="Times New Roman" w:hAnsi="Times New Roman" w:cs="Times New Roman"/>
          <w:sz w:val="20"/>
          <w:szCs w:val="20"/>
        </w:rPr>
        <w:t xml:space="preserve"> while as Crocin was dissolved in </w:t>
      </w:r>
      <w:r>
        <w:rPr>
          <w:rFonts w:ascii="Times New Roman" w:hAnsi="Times New Roman" w:cs="Times New Roman"/>
          <w:sz w:val="20"/>
          <w:szCs w:val="20"/>
        </w:rPr>
        <w:t>PBS</w:t>
      </w:r>
      <w:r w:rsidRPr="00A762A4">
        <w:rPr>
          <w:rFonts w:ascii="Times New Roman" w:hAnsi="Times New Roman" w:cs="Times New Roman"/>
          <w:sz w:val="20"/>
          <w:szCs w:val="20"/>
        </w:rPr>
        <w:t>.</w:t>
      </w:r>
      <w:r w:rsidRPr="00A762A4">
        <w:rPr>
          <w:rFonts w:ascii="Times New Roman" w:hAnsi="Times New Roman" w:cs="Times New Roman"/>
          <w:bCs/>
          <w:sz w:val="20"/>
          <w:szCs w:val="20"/>
        </w:rPr>
        <w:t xml:space="preserve"> The cells were cultured in DMEM supplemented with 10% FBS, 1 % penicillin-streptomycin and maintained at 37°C in a humidified incubator with 5% CO</w:t>
      </w:r>
      <w:r w:rsidRPr="00A762A4">
        <w:rPr>
          <w:rFonts w:ascii="Times New Roman" w:hAnsi="Times New Roman" w:cs="Times New Roman"/>
          <w:bCs/>
          <w:sz w:val="20"/>
          <w:szCs w:val="20"/>
          <w:vertAlign w:val="subscript"/>
        </w:rPr>
        <w:t>2</w:t>
      </w:r>
      <w:r w:rsidRPr="00A762A4">
        <w:rPr>
          <w:rFonts w:ascii="Times New Roman" w:hAnsi="Times New Roman" w:cs="Times New Roman"/>
          <w:bCs/>
          <w:sz w:val="20"/>
          <w:szCs w:val="20"/>
        </w:rPr>
        <w:t xml:space="preserve"> atmosphere.</w:t>
      </w:r>
    </w:p>
    <w:p w:rsidR="00275028" w:rsidRDefault="00275028" w:rsidP="00275028">
      <w:pPr>
        <w:widowControl w:val="0"/>
        <w:tabs>
          <w:tab w:val="left" w:pos="0"/>
        </w:tabs>
        <w:autoSpaceDE w:val="0"/>
        <w:autoSpaceDN w:val="0"/>
        <w:adjustRightInd w:val="0"/>
        <w:spacing w:after="0" w:line="480" w:lineRule="auto"/>
        <w:ind w:right="-180"/>
        <w:jc w:val="both"/>
        <w:rPr>
          <w:rFonts w:ascii="Times New Roman" w:hAnsi="Times New Roman" w:cs="Times New Roman"/>
          <w:sz w:val="20"/>
          <w:szCs w:val="20"/>
        </w:rPr>
      </w:pPr>
      <w:r>
        <w:rPr>
          <w:rFonts w:ascii="Times New Roman" w:hAnsi="Times New Roman" w:cs="Times New Roman"/>
          <w:sz w:val="20"/>
          <w:szCs w:val="20"/>
        </w:rPr>
        <w:t>U87-MG cell line was obtained from NCCS, Pune, India.</w:t>
      </w:r>
      <w:r>
        <w:rPr>
          <w:rFonts w:ascii="Times New Roman" w:hAnsi="Times New Roman" w:cs="Times New Roman"/>
          <w:bCs/>
          <w:sz w:val="20"/>
          <w:szCs w:val="20"/>
        </w:rPr>
        <w:t xml:space="preserve"> </w:t>
      </w:r>
      <w:r>
        <w:rPr>
          <w:rFonts w:ascii="Times New Roman" w:hAnsi="Times New Roman" w:cs="Times New Roman"/>
          <w:sz w:val="20"/>
          <w:szCs w:val="20"/>
        </w:rPr>
        <w:t>DMEM, FBS and Penstrip from Gibco (USA).</w:t>
      </w:r>
      <w:r>
        <w:rPr>
          <w:rFonts w:ascii="Times New Roman" w:hAnsi="Times New Roman" w:cs="Times New Roman"/>
          <w:bCs/>
          <w:sz w:val="20"/>
          <w:szCs w:val="20"/>
        </w:rPr>
        <w:t xml:space="preserve"> LDH cytotoxicity assay kit was purchased from G Biosciences. </w:t>
      </w:r>
      <w:r>
        <w:rPr>
          <w:rFonts w:ascii="Times New Roman" w:hAnsi="Times New Roman" w:cs="Times New Roman"/>
          <w:sz w:val="20"/>
          <w:szCs w:val="20"/>
        </w:rPr>
        <w:t>CAPE</w:t>
      </w:r>
      <w:r>
        <w:rPr>
          <w:rFonts w:ascii="Times New Roman" w:hAnsi="Times New Roman" w:cs="Times New Roman"/>
          <w:bCs/>
          <w:sz w:val="20"/>
          <w:szCs w:val="20"/>
        </w:rPr>
        <w:t xml:space="preserve"> was purchased from Calbiochem (Sigma Aaldrich). </w:t>
      </w:r>
      <w:r>
        <w:rPr>
          <w:rFonts w:ascii="Times New Roman" w:hAnsi="Times New Roman" w:cs="Times New Roman"/>
          <w:sz w:val="20"/>
          <w:szCs w:val="20"/>
        </w:rPr>
        <w:t xml:space="preserve">Sybrgreen mix was brought from Thermo Scientific Inc. </w:t>
      </w:r>
      <w:r>
        <w:rPr>
          <w:rFonts w:ascii="Times New Roman" w:hAnsi="Times New Roman" w:cs="Times New Roman"/>
          <w:bCs/>
          <w:sz w:val="20"/>
          <w:szCs w:val="20"/>
        </w:rPr>
        <w:t>All other chemicals were of ultrapure grade and obtained from Sigma-Aldrich, Co. (St Louis, MO, USA)</w:t>
      </w:r>
      <w:r>
        <w:rPr>
          <w:rFonts w:ascii="Times New Roman" w:hAnsi="Times New Roman" w:cs="Times New Roman"/>
          <w:sz w:val="20"/>
          <w:szCs w:val="20"/>
        </w:rPr>
        <w:t xml:space="preserve">. </w:t>
      </w:r>
    </w:p>
    <w:p w:rsidR="00C22C54" w:rsidRDefault="00C22C54"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b/>
          <w:bCs/>
          <w:sz w:val="20"/>
          <w:szCs w:val="20"/>
        </w:rPr>
      </w:pPr>
    </w:p>
    <w:p w:rsidR="00D1371A" w:rsidRPr="00A762A4" w:rsidRDefault="00D1371A"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b/>
          <w:sz w:val="20"/>
          <w:szCs w:val="20"/>
        </w:rPr>
      </w:pPr>
      <w:r w:rsidRPr="00A762A4">
        <w:rPr>
          <w:rFonts w:ascii="Times New Roman" w:hAnsi="Times New Roman" w:cs="Times New Roman"/>
          <w:b/>
          <w:sz w:val="20"/>
          <w:szCs w:val="20"/>
        </w:rPr>
        <w:t>RNA extraction and real-time quantitative PCR</w:t>
      </w:r>
    </w:p>
    <w:p w:rsidR="00D1371A" w:rsidRPr="00A762A4" w:rsidRDefault="00D1371A"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sz w:val="20"/>
          <w:szCs w:val="20"/>
        </w:rPr>
      </w:pPr>
      <w:r w:rsidRPr="00A762A4">
        <w:rPr>
          <w:rFonts w:ascii="Times New Roman" w:hAnsi="Times New Roman" w:cs="Times New Roman"/>
          <w:sz w:val="20"/>
          <w:szCs w:val="20"/>
        </w:rPr>
        <w:t xml:space="preserve">Total RNA from samples was extracted using Trizol reagent (Invitrogen, USA) in accordance with the manufacturer’s instructions. The quantity and integrity of total RNA were determined by </w:t>
      </w:r>
      <w:r>
        <w:rPr>
          <w:rFonts w:ascii="Times New Roman" w:hAnsi="Times New Roman" w:cs="Times New Roman"/>
          <w:sz w:val="20"/>
          <w:szCs w:val="20"/>
        </w:rPr>
        <w:t xml:space="preserve">doing </w:t>
      </w:r>
      <w:r w:rsidRPr="00A762A4">
        <w:rPr>
          <w:rFonts w:ascii="Times New Roman" w:hAnsi="Times New Roman" w:cs="Times New Roman"/>
          <w:sz w:val="20"/>
          <w:szCs w:val="20"/>
        </w:rPr>
        <w:t xml:space="preserve">electrophoresing </w:t>
      </w:r>
      <w:r>
        <w:rPr>
          <w:rFonts w:ascii="Times New Roman" w:hAnsi="Times New Roman" w:cs="Times New Roman"/>
          <w:sz w:val="20"/>
          <w:szCs w:val="20"/>
        </w:rPr>
        <w:t xml:space="preserve">on </w:t>
      </w:r>
      <w:r w:rsidRPr="00A762A4">
        <w:rPr>
          <w:rFonts w:ascii="Times New Roman" w:hAnsi="Times New Roman" w:cs="Times New Roman"/>
          <w:sz w:val="20"/>
          <w:szCs w:val="20"/>
        </w:rPr>
        <w:t xml:space="preserve">the total isolated </w:t>
      </w:r>
      <w:r>
        <w:rPr>
          <w:rFonts w:ascii="Times New Roman" w:hAnsi="Times New Roman" w:cs="Times New Roman"/>
          <w:sz w:val="20"/>
          <w:szCs w:val="20"/>
        </w:rPr>
        <w:t xml:space="preserve"> </w:t>
      </w:r>
      <w:r w:rsidRPr="00A762A4">
        <w:rPr>
          <w:rFonts w:ascii="Times New Roman" w:hAnsi="Times New Roman" w:cs="Times New Roman"/>
          <w:sz w:val="20"/>
          <w:szCs w:val="20"/>
        </w:rPr>
        <w:t>RNA</w:t>
      </w:r>
      <w:r>
        <w:rPr>
          <w:rFonts w:ascii="Times New Roman" w:hAnsi="Times New Roman" w:cs="Times New Roman"/>
          <w:sz w:val="20"/>
          <w:szCs w:val="20"/>
        </w:rPr>
        <w:t xml:space="preserve"> on a</w:t>
      </w:r>
      <w:r w:rsidRPr="00A762A4">
        <w:rPr>
          <w:rFonts w:ascii="Times New Roman" w:hAnsi="Times New Roman" w:cs="Times New Roman"/>
          <w:sz w:val="20"/>
          <w:szCs w:val="20"/>
        </w:rPr>
        <w:t xml:space="preserve"> 1.0% denaturing agarose gel stained with ethidium bromide </w:t>
      </w:r>
      <w:r>
        <w:rPr>
          <w:rFonts w:ascii="Times New Roman" w:hAnsi="Times New Roman" w:cs="Times New Roman"/>
          <w:sz w:val="20"/>
          <w:szCs w:val="20"/>
        </w:rPr>
        <w:t>and then</w:t>
      </w:r>
      <w:r w:rsidRPr="00A762A4">
        <w:rPr>
          <w:rFonts w:ascii="Times New Roman" w:hAnsi="Times New Roman" w:cs="Times New Roman"/>
          <w:sz w:val="20"/>
          <w:szCs w:val="20"/>
        </w:rPr>
        <w:t xml:space="preserve"> analyzing gel on Image Quant LAS 4000 (GE Healthcare Life Sciences, Buckinghamshire, UK). The RNA concentrations were measured at 290 nm with </w:t>
      </w:r>
      <w:r w:rsidRPr="00A762A4">
        <w:rPr>
          <w:rFonts w:ascii="Times New Roman" w:hAnsi="Times New Roman" w:cs="Times New Roman"/>
          <w:noProof/>
          <w:sz w:val="20"/>
          <w:szCs w:val="20"/>
        </w:rPr>
        <w:t>Nanodrop</w:t>
      </w:r>
      <w:r w:rsidRPr="00A762A4">
        <w:rPr>
          <w:rFonts w:ascii="Times New Roman" w:hAnsi="Times New Roman" w:cs="Times New Roman"/>
          <w:sz w:val="20"/>
          <w:szCs w:val="20"/>
        </w:rPr>
        <w:t xml:space="preserve"> 2000 UV–Visible Spectrophotometer (Thermo Scientific, Massachusetts, USA).The first strand cDNA was generated from 5μg of total RNA in a final volume of 20μl using Moloney Murine Leukemia Virus reverse transcriptase (Thermo Scientific) and random hexamers. PCR amplification was performed using Benchmark DNA thermal cycler (TC 9639). cDNA synthesis was performed as follows: 25.0°C, 7 min; 40.0°C, 60 min; 65°C, 15 min. To further analyze the specificity of primers and quality of cDNA to be used for qRT-PCR (quantitative Real-Time-PCR), </w:t>
      </w:r>
      <w:r w:rsidRPr="00A762A4">
        <w:rPr>
          <w:rFonts w:ascii="Times New Roman" w:hAnsi="Times New Roman" w:cs="Times New Roman"/>
          <w:noProof/>
          <w:sz w:val="20"/>
          <w:szCs w:val="20"/>
        </w:rPr>
        <w:t>endpoint</w:t>
      </w:r>
      <w:r w:rsidRPr="00A762A4">
        <w:rPr>
          <w:rFonts w:ascii="Times New Roman" w:hAnsi="Times New Roman" w:cs="Times New Roman"/>
          <w:sz w:val="20"/>
          <w:szCs w:val="20"/>
        </w:rPr>
        <w:t xml:space="preserve"> PCR of the obtained cDNA was carried out with specific primers and Taq DNA polymerase. To determine the expression level of each gene qRT-PCR was done with specific primer pairs for each gene and β-actin as a loading control. The 3.5 μl of synthesized cDNA was amplified in a total volume of 25μl in Real Time PCR 7500 (Applied Systems) using maxima sybrgreen mix and in accordance with manufacturer’s protocol. qRT-PCRs were performed in a MicroAmp optical 96-well plate (Applied Biosystems). All the reactions were run in triplicates as follows: 94°C, 30 s; 60°C, 30 s; 72°C, 90 s; 40 cycles, finally extending at 72°C for 5 min. For primer designing the referential genomic DNA sequence was derived from GenBank, a gene sequence database at the National Center for </w:t>
      </w:r>
      <w:r w:rsidRPr="00A762A4">
        <w:rPr>
          <w:rFonts w:ascii="Times New Roman" w:hAnsi="Times New Roman" w:cs="Times New Roman"/>
          <w:sz w:val="20"/>
          <w:szCs w:val="20"/>
        </w:rPr>
        <w:lastRenderedPageBreak/>
        <w:t>Biotechnology Information (NCBI;</w:t>
      </w:r>
      <w:hyperlink r:id="rId5" w:history="1">
        <w:r w:rsidRPr="00A762A4">
          <w:rPr>
            <w:rFonts w:ascii="Times New Roman" w:hAnsi="Times New Roman" w:cs="Times New Roman"/>
            <w:sz w:val="20"/>
            <w:szCs w:val="20"/>
          </w:rPr>
          <w:t>http://www.ncbi.nlm.nih.gov</w:t>
        </w:r>
      </w:hyperlink>
      <w:r w:rsidRPr="00A762A4">
        <w:rPr>
          <w:rFonts w:ascii="Times New Roman" w:hAnsi="Times New Roman" w:cs="Times New Roman"/>
          <w:sz w:val="20"/>
          <w:szCs w:val="20"/>
        </w:rPr>
        <w:t>) and Ensemble (</w:t>
      </w:r>
      <w:hyperlink r:id="rId6" w:history="1">
        <w:r w:rsidRPr="00A762A4">
          <w:rPr>
            <w:rFonts w:ascii="Times New Roman" w:hAnsi="Times New Roman" w:cs="Times New Roman"/>
            <w:sz w:val="20"/>
            <w:szCs w:val="20"/>
          </w:rPr>
          <w:t>http://www.ensembl.org</w:t>
        </w:r>
      </w:hyperlink>
      <w:r w:rsidRPr="00A762A4">
        <w:rPr>
          <w:rFonts w:ascii="Times New Roman" w:hAnsi="Times New Roman" w:cs="Times New Roman"/>
          <w:sz w:val="20"/>
          <w:szCs w:val="20"/>
        </w:rPr>
        <w:t>). The sequences for gene-specific forward and reverse primers were designed using NCBI-Primer Blast software (</w:t>
      </w:r>
      <w:hyperlink r:id="rId7" w:history="1">
        <w:r w:rsidRPr="00A762A4">
          <w:rPr>
            <w:rFonts w:ascii="Times New Roman" w:hAnsi="Times New Roman" w:cs="Times New Roman"/>
            <w:sz w:val="20"/>
            <w:szCs w:val="20"/>
          </w:rPr>
          <w:t>http://www.ncbi.nlm.nih.gov/primer-blast</w:t>
        </w:r>
      </w:hyperlink>
      <w:r w:rsidRPr="00A762A4">
        <w:rPr>
          <w:rFonts w:ascii="Times New Roman" w:hAnsi="Times New Roman" w:cs="Times New Roman"/>
          <w:sz w:val="20"/>
          <w:szCs w:val="20"/>
        </w:rPr>
        <w:t>). The details of the primers used in this study are shown in Table 1. Ct (Cycle threshold), was determined for each sample, and the average Ct of triplicate samples was calculated. For characterization of the generated amplicons and to control for contamination by unspecific by-products, a melting curve analysis was applied between 60–95°C with the Real-time PCR 7500 (Applied Systems) using the fluorescent dye sybrgreen. In addition, the PCR product size was verified by electrophoresis on 2% agarose gel containing 0.1 mg/ml of ethidium bromide comparing their mobilities with those of molecular weight marker.</w:t>
      </w:r>
    </w:p>
    <w:p w:rsidR="00D1371A" w:rsidRPr="00A762A4" w:rsidRDefault="00D1371A"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sz w:val="20"/>
          <w:szCs w:val="20"/>
        </w:rPr>
      </w:pPr>
    </w:p>
    <w:p w:rsidR="00D1371A" w:rsidRPr="00A762A4" w:rsidRDefault="00D1371A"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b/>
          <w:sz w:val="20"/>
          <w:szCs w:val="20"/>
        </w:rPr>
      </w:pPr>
      <w:r w:rsidRPr="00A762A4">
        <w:rPr>
          <w:rFonts w:ascii="Times New Roman" w:hAnsi="Times New Roman" w:cs="Times New Roman"/>
          <w:b/>
          <w:sz w:val="20"/>
          <w:szCs w:val="20"/>
        </w:rPr>
        <w:t>Protein extraction and quantitation.</w:t>
      </w:r>
    </w:p>
    <w:p w:rsidR="00D1371A" w:rsidRPr="00A762A4" w:rsidRDefault="00D1371A"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sz w:val="20"/>
          <w:szCs w:val="20"/>
        </w:rPr>
      </w:pPr>
      <w:r w:rsidRPr="00A762A4">
        <w:rPr>
          <w:rFonts w:ascii="Times New Roman" w:hAnsi="Times New Roman" w:cs="Times New Roman"/>
          <w:sz w:val="20"/>
          <w:szCs w:val="20"/>
        </w:rPr>
        <w:t>Following necessary experimentation, media was pipetted out from cell culture dishes and the cells were washed twice with pre-chilled PBS. The cells were scrapped into cell lysis buffer containing 137mM Nacl, 20mM TrisCl (pH 8), 1% Nonidet P-40, 10% Glycerol, 5 mM NaF, 2mM EDTA, 1mM PMSF and phosphatase inhibitors. Samples containing cells and lysis buffer were incubated on ice for 30 mins</w:t>
      </w:r>
      <w:r>
        <w:rPr>
          <w:rFonts w:ascii="Times New Roman" w:hAnsi="Times New Roman" w:cs="Times New Roman"/>
          <w:sz w:val="20"/>
          <w:szCs w:val="20"/>
        </w:rPr>
        <w:t xml:space="preserve"> and</w:t>
      </w:r>
      <w:r w:rsidRPr="00A762A4">
        <w:rPr>
          <w:rFonts w:ascii="Times New Roman" w:hAnsi="Times New Roman" w:cs="Times New Roman"/>
          <w:sz w:val="20"/>
          <w:szCs w:val="20"/>
        </w:rPr>
        <w:t xml:space="preserve"> followed by centrifugation at 12,000 rpm for 10 mins at 4°C. The pellet was discarded and supernatant was collected in a fresh eppendorf tubes and sotred at -80°C till further use. Bradford method was utilized to estimate protein concentration of the unknown samples. </w:t>
      </w:r>
    </w:p>
    <w:p w:rsidR="00D1371A" w:rsidRPr="00A762A4" w:rsidRDefault="00D1371A"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sz w:val="20"/>
          <w:szCs w:val="20"/>
        </w:rPr>
      </w:pPr>
    </w:p>
    <w:p w:rsidR="00D1371A" w:rsidRPr="00A762A4" w:rsidRDefault="00D1371A"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b/>
          <w:sz w:val="20"/>
          <w:szCs w:val="20"/>
        </w:rPr>
      </w:pPr>
      <w:r w:rsidRPr="00A762A4">
        <w:rPr>
          <w:rFonts w:ascii="Times New Roman" w:hAnsi="Times New Roman" w:cs="Times New Roman"/>
          <w:b/>
          <w:sz w:val="20"/>
          <w:szCs w:val="20"/>
        </w:rPr>
        <w:t>Immunoblotting</w:t>
      </w:r>
    </w:p>
    <w:p w:rsidR="00D1371A" w:rsidRPr="00A762A4" w:rsidRDefault="00D1371A"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sz w:val="20"/>
          <w:szCs w:val="20"/>
        </w:rPr>
      </w:pPr>
      <w:r w:rsidRPr="00A762A4">
        <w:rPr>
          <w:rFonts w:ascii="Times New Roman" w:hAnsi="Times New Roman" w:cs="Times New Roman"/>
          <w:sz w:val="20"/>
          <w:szCs w:val="20"/>
        </w:rPr>
        <w:t>Before running protein extract, it was preheated for 5 min at 100°C in sample buffer containing  2% SDS, 50mM Tris-HCl (pH 6.8), 0.1% bromophenol blue ,10% glycerol and 100 mM β- mercaptoethanol. About 8</w:t>
      </w:r>
      <w:r>
        <w:rPr>
          <w:rFonts w:ascii="Times New Roman" w:hAnsi="Times New Roman" w:cs="Times New Roman"/>
          <w:sz w:val="20"/>
          <w:szCs w:val="20"/>
        </w:rPr>
        <w:t>0 μ</w:t>
      </w:r>
      <w:r w:rsidRPr="00A762A4">
        <w:rPr>
          <w:rFonts w:ascii="Times New Roman" w:hAnsi="Times New Roman" w:cs="Times New Roman"/>
          <w:sz w:val="20"/>
          <w:szCs w:val="20"/>
        </w:rPr>
        <w:t xml:space="preserve">g of protein sample was loaded on </w:t>
      </w:r>
      <w:r>
        <w:rPr>
          <w:rFonts w:ascii="Times New Roman" w:hAnsi="Times New Roman" w:cs="Times New Roman"/>
          <w:sz w:val="20"/>
          <w:szCs w:val="20"/>
        </w:rPr>
        <w:t>SDS-</w:t>
      </w:r>
      <w:r w:rsidRPr="00A762A4">
        <w:rPr>
          <w:rFonts w:ascii="Times New Roman" w:hAnsi="Times New Roman" w:cs="Times New Roman"/>
          <w:sz w:val="20"/>
          <w:szCs w:val="20"/>
        </w:rPr>
        <w:t xml:space="preserve">acrylamide gel with discontinuous buffer system. Proteins separated on the gel were transferred to PVDF membrane using semi dry transfer method following manufacturer’s instructions (Hoefer-USA). After transfer, the membrane was blocked of non specific binding by 5% bovine serum albumin in PBS for 1 hour at room temperature. After blocking, the membrane was incubated overnight at 4°C with specific primary antibodies anti-p53 (1:1000; cell signal technologies) and anti β-actin (1: 500; Santa Cruz Biotechnologies Dallas Taxas, US) was used as loading control. After incubation, membrane was washed with PBST three times for 10 mins each and incubated in secondary antibody (anti-rabbit IgG Dylight 800 conjugate 1:10,000) for 1 hr. The membrane was again washed as before followed by incubation with secondary antibody and detected by Odyssey infrared detection system (LI-COR, </w:t>
      </w:r>
      <w:r w:rsidRPr="00A762A4">
        <w:rPr>
          <w:rFonts w:ascii="Times New Roman" w:hAnsi="Times New Roman" w:cs="Times New Roman"/>
          <w:sz w:val="20"/>
          <w:szCs w:val="20"/>
        </w:rPr>
        <w:lastRenderedPageBreak/>
        <w:t>Lincohn</w:t>
      </w:r>
      <w:r w:rsidR="00DF4ABA">
        <w:rPr>
          <w:rFonts w:ascii="Times New Roman" w:hAnsi="Times New Roman" w:cs="Times New Roman"/>
          <w:sz w:val="20"/>
          <w:szCs w:val="20"/>
        </w:rPr>
        <w:t xml:space="preserve"> </w:t>
      </w:r>
      <w:r w:rsidRPr="00A762A4">
        <w:rPr>
          <w:rFonts w:ascii="Times New Roman" w:hAnsi="Times New Roman" w:cs="Times New Roman"/>
          <w:sz w:val="20"/>
          <w:szCs w:val="20"/>
        </w:rPr>
        <w:t>,NE,U.S.A)</w:t>
      </w:r>
    </w:p>
    <w:p w:rsidR="00D1371A" w:rsidRPr="00A762A4" w:rsidRDefault="00D1371A"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sz w:val="20"/>
          <w:szCs w:val="20"/>
        </w:rPr>
      </w:pPr>
    </w:p>
    <w:p w:rsidR="00D1371A" w:rsidRPr="00A762A4" w:rsidRDefault="00D1371A"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b/>
          <w:sz w:val="20"/>
          <w:szCs w:val="20"/>
        </w:rPr>
      </w:pPr>
      <w:r w:rsidRPr="00A762A4">
        <w:rPr>
          <w:rFonts w:ascii="Times New Roman" w:hAnsi="Times New Roman" w:cs="Times New Roman"/>
          <w:b/>
          <w:sz w:val="20"/>
          <w:szCs w:val="20"/>
        </w:rPr>
        <w:t>Statistical analysis</w:t>
      </w:r>
    </w:p>
    <w:p w:rsidR="00D1371A" w:rsidRPr="0081490B" w:rsidRDefault="00EC623D" w:rsidP="00D1371A">
      <w:pPr>
        <w:widowControl w:val="0"/>
        <w:tabs>
          <w:tab w:val="left" w:pos="0"/>
        </w:tabs>
        <w:overflowPunct w:val="0"/>
        <w:autoSpaceDE w:val="0"/>
        <w:autoSpaceDN w:val="0"/>
        <w:adjustRightInd w:val="0"/>
        <w:spacing w:after="0" w:line="480" w:lineRule="auto"/>
        <w:ind w:right="-180"/>
        <w:jc w:val="both"/>
        <w:rPr>
          <w:rFonts w:ascii="Times New Roman" w:hAnsi="Times New Roman" w:cs="Times New Roman"/>
          <w:sz w:val="20"/>
          <w:szCs w:val="20"/>
        </w:rPr>
      </w:pPr>
      <w:r>
        <w:rPr>
          <w:rFonts w:ascii="Times New Roman" w:hAnsi="Times New Roman" w:cs="Times New Roman"/>
          <w:sz w:val="20"/>
          <w:szCs w:val="20"/>
        </w:rPr>
        <w:t xml:space="preserve">All experiments conducted in the study were repeated three times at least. The results are shown as </w:t>
      </w:r>
      <w:r w:rsidRPr="00A762A4">
        <w:rPr>
          <w:rFonts w:ascii="Times New Roman" w:hAnsi="Times New Roman" w:cs="Times New Roman"/>
          <w:sz w:val="20"/>
          <w:szCs w:val="20"/>
        </w:rPr>
        <w:t>Mean ± SD</w:t>
      </w:r>
      <w:r>
        <w:rPr>
          <w:rFonts w:ascii="Times New Roman" w:hAnsi="Times New Roman" w:cs="Times New Roman"/>
          <w:sz w:val="20"/>
          <w:szCs w:val="20"/>
        </w:rPr>
        <w:t xml:space="preserve"> of the three experiments.</w:t>
      </w:r>
      <w:r w:rsidR="00477FAB">
        <w:rPr>
          <w:rFonts w:ascii="Times New Roman" w:hAnsi="Times New Roman" w:cs="Times New Roman"/>
          <w:bCs/>
          <w:sz w:val="20"/>
          <w:szCs w:val="20"/>
        </w:rPr>
        <w:t>D</w:t>
      </w:r>
      <w:r w:rsidR="00D1371A" w:rsidRPr="00A762A4">
        <w:rPr>
          <w:rFonts w:ascii="Times New Roman" w:hAnsi="Times New Roman" w:cs="Times New Roman"/>
          <w:bCs/>
          <w:sz w:val="20"/>
          <w:szCs w:val="20"/>
        </w:rPr>
        <w:t>a</w:t>
      </w:r>
      <w:r w:rsidR="00D1371A">
        <w:rPr>
          <w:rFonts w:ascii="Times New Roman" w:hAnsi="Times New Roman" w:cs="Times New Roman"/>
          <w:bCs/>
          <w:sz w:val="20"/>
          <w:szCs w:val="20"/>
        </w:rPr>
        <w:t>ta was analyzed using One Way A</w:t>
      </w:r>
      <w:r w:rsidR="00D1371A" w:rsidRPr="00A762A4">
        <w:rPr>
          <w:rFonts w:ascii="Times New Roman" w:hAnsi="Times New Roman" w:cs="Times New Roman"/>
          <w:bCs/>
          <w:sz w:val="20"/>
          <w:szCs w:val="20"/>
        </w:rPr>
        <w:t xml:space="preserve">NOVA </w:t>
      </w:r>
      <w:r w:rsidR="00477FAB" w:rsidRPr="00A762A4">
        <w:rPr>
          <w:rFonts w:ascii="Times New Roman" w:hAnsi="Times New Roman" w:cs="Times New Roman"/>
          <w:sz w:val="20"/>
          <w:szCs w:val="20"/>
        </w:rPr>
        <w:t xml:space="preserve">by </w:t>
      </w:r>
      <w:r w:rsidR="0081490B">
        <w:rPr>
          <w:rFonts w:ascii="Times New Roman" w:hAnsi="Times New Roman" w:cs="Times New Roman"/>
          <w:sz w:val="20"/>
          <w:szCs w:val="20"/>
        </w:rPr>
        <w:t>Tukey test</w:t>
      </w:r>
      <w:r w:rsidR="00477FAB">
        <w:rPr>
          <w:rFonts w:ascii="Times New Roman" w:hAnsi="Times New Roman" w:cs="Times New Roman"/>
          <w:sz w:val="20"/>
          <w:szCs w:val="20"/>
        </w:rPr>
        <w:t xml:space="preserve"> and Two Way A</w:t>
      </w:r>
      <w:r w:rsidR="00477FAB" w:rsidRPr="00A762A4">
        <w:rPr>
          <w:rFonts w:ascii="Times New Roman" w:hAnsi="Times New Roman" w:cs="Times New Roman"/>
          <w:sz w:val="20"/>
          <w:szCs w:val="20"/>
        </w:rPr>
        <w:t xml:space="preserve">NOVA  by </w:t>
      </w:r>
      <w:r w:rsidR="00477FAB">
        <w:rPr>
          <w:rFonts w:ascii="Times New Roman" w:hAnsi="Times New Roman" w:cs="Times New Roman"/>
          <w:sz w:val="20"/>
          <w:szCs w:val="20"/>
        </w:rPr>
        <w:t xml:space="preserve">Bonferroni Posttests test </w:t>
      </w:r>
      <w:r w:rsidR="00D1371A" w:rsidRPr="00A762A4">
        <w:rPr>
          <w:rFonts w:ascii="Times New Roman" w:hAnsi="Times New Roman" w:cs="Times New Roman"/>
          <w:bCs/>
          <w:sz w:val="20"/>
          <w:szCs w:val="20"/>
        </w:rPr>
        <w:t>. All the ima</w:t>
      </w:r>
      <w:r w:rsidR="00477FAB">
        <w:rPr>
          <w:rFonts w:ascii="Times New Roman" w:hAnsi="Times New Roman" w:cs="Times New Roman"/>
          <w:bCs/>
          <w:sz w:val="20"/>
          <w:szCs w:val="20"/>
        </w:rPr>
        <w:t>ges</w:t>
      </w:r>
      <w:r w:rsidR="00D1371A" w:rsidRPr="00A762A4">
        <w:rPr>
          <w:rFonts w:ascii="Times New Roman" w:hAnsi="Times New Roman" w:cs="Times New Roman"/>
          <w:bCs/>
          <w:sz w:val="20"/>
          <w:szCs w:val="20"/>
        </w:rPr>
        <w:t xml:space="preserve"> analysis was carried out using </w:t>
      </w:r>
      <w:r w:rsidR="0081490B">
        <w:rPr>
          <w:rFonts w:ascii="Times New Roman" w:hAnsi="Times New Roman" w:cs="Times New Roman"/>
          <w:bCs/>
          <w:sz w:val="20"/>
          <w:szCs w:val="20"/>
        </w:rPr>
        <w:t xml:space="preserve">ImageJ  and GraphPad Prism </w:t>
      </w:r>
      <w:r w:rsidR="0081490B" w:rsidRPr="00A762A4">
        <w:rPr>
          <w:rFonts w:ascii="Times New Roman" w:hAnsi="Times New Roman" w:cs="Times New Roman"/>
          <w:bCs/>
          <w:sz w:val="20"/>
          <w:szCs w:val="20"/>
        </w:rPr>
        <w:t>Image Analyst software</w:t>
      </w:r>
      <w:r w:rsidR="0081490B">
        <w:rPr>
          <w:rFonts w:ascii="Times New Roman" w:hAnsi="Times New Roman" w:cs="Times New Roman"/>
          <w:bCs/>
          <w:sz w:val="20"/>
          <w:szCs w:val="20"/>
        </w:rPr>
        <w:t>s</w:t>
      </w:r>
      <w:r w:rsidR="00D1371A" w:rsidRPr="00A762A4">
        <w:rPr>
          <w:rFonts w:ascii="Times New Roman" w:hAnsi="Times New Roman" w:cs="Times New Roman"/>
          <w:bCs/>
          <w:sz w:val="20"/>
          <w:szCs w:val="20"/>
        </w:rPr>
        <w:t>.</w:t>
      </w:r>
    </w:p>
    <w:p w:rsidR="009A2995" w:rsidRDefault="009A2995"/>
    <w:sectPr w:rsidR="009A2995" w:rsidSect="0022654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1371A"/>
    <w:rsid w:val="00226543"/>
    <w:rsid w:val="00275028"/>
    <w:rsid w:val="00477FAB"/>
    <w:rsid w:val="0081490B"/>
    <w:rsid w:val="0084713F"/>
    <w:rsid w:val="009A2995"/>
    <w:rsid w:val="00B41ACF"/>
    <w:rsid w:val="00C22C54"/>
    <w:rsid w:val="00D1371A"/>
    <w:rsid w:val="00DF4ABA"/>
    <w:rsid w:val="00EC623D"/>
    <w:rsid w:val="00F55016"/>
    <w:rsid w:val="00FC37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5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581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rimer-blas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ensembl.org/" TargetMode="External"/><Relationship Id="rId5" Type="http://schemas.openxmlformats.org/officeDocument/2006/relationships/hyperlink" Target="http://www.ncbi.nlm.nih.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DBF2F-6559-48CB-8FC5-9B7ED6B33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Aashiq</dc:creator>
  <cp:keywords/>
  <dc:description/>
  <cp:lastModifiedBy>Syed Aashiq</cp:lastModifiedBy>
  <cp:revision>8</cp:revision>
  <dcterms:created xsi:type="dcterms:W3CDTF">2022-04-21T11:10:00Z</dcterms:created>
  <dcterms:modified xsi:type="dcterms:W3CDTF">2022-05-16T07:11:00Z</dcterms:modified>
</cp:coreProperties>
</file>