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F0" w:rsidRDefault="008A23F0" w:rsidP="008A23F0">
      <w:pPr>
        <w:spacing w:line="480" w:lineRule="auto"/>
        <w:ind w:left="-28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en-US"/>
        </w:rPr>
        <w:drawing>
          <wp:inline distT="114300" distB="114300" distL="114300" distR="114300" wp14:anchorId="1404D803" wp14:editId="18DFB1E6">
            <wp:extent cx="4838015" cy="4038917"/>
            <wp:effectExtent l="0" t="0" r="0" b="0"/>
            <wp:docPr id="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015" cy="40389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p w:rsidR="008A23F0" w:rsidRDefault="008A23F0" w:rsidP="008A23F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A23F0" w:rsidRPr="00534A2E" w:rsidRDefault="008A23F0" w:rsidP="008A23F0">
      <w:pPr>
        <w:spacing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34A2E">
        <w:rPr>
          <w:rFonts w:ascii="Times New Roman" w:eastAsia="Times New Roman" w:hAnsi="Times New Roman" w:cs="Times New Roman"/>
          <w:b/>
          <w:sz w:val="22"/>
          <w:szCs w:val="22"/>
        </w:rPr>
        <w:t>Supplemental Figure 1 – Analysis of zebrafish mortality after Mn treatment.</w:t>
      </w:r>
      <w:r w:rsidRPr="00534A2E">
        <w:rPr>
          <w:sz w:val="22"/>
          <w:szCs w:val="22"/>
        </w:rPr>
        <w:t xml:space="preserve"> </w:t>
      </w:r>
      <w:r w:rsidRPr="00534A2E">
        <w:rPr>
          <w:rFonts w:ascii="Times New Roman" w:eastAsia="Times New Roman" w:hAnsi="Times New Roman" w:cs="Times New Roman"/>
          <w:sz w:val="22"/>
          <w:szCs w:val="22"/>
        </w:rPr>
        <w:t>Zebrafish larvae were treated with Mn at 0.5, 5, 50, 100 and 500 mg/L and their mortality rate were analyzed. Although slightly increased mortality rates were observed after treatment of zebrafish with all the Mn concentrations tested, only 500 mg/L of Mn showed a significant increase (10%) in mortality. The results are expressed as mean ± SEM. The groups were performed with n = 5, where *p &lt; 0.05 vs. control group. Statistical analysis was performed using one-way ANOVA followed by Dunn’s post-test.</w:t>
      </w:r>
    </w:p>
    <w:p w:rsidR="008A23F0" w:rsidRDefault="008A23F0" w:rsidP="008A23F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US"/>
        </w:rPr>
        <w:lastRenderedPageBreak/>
        <w:drawing>
          <wp:inline distT="114300" distB="114300" distL="114300" distR="114300" wp14:anchorId="78142FE8" wp14:editId="397ED95C">
            <wp:extent cx="5612130" cy="6413500"/>
            <wp:effectExtent l="0" t="0" r="0" b="0"/>
            <wp:docPr id="22" name="image7.jpg" descr="Uma imagem contendo 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g" descr="Uma imagem contendo Diagrama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41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23F0" w:rsidRDefault="008A23F0" w:rsidP="008A23F0">
      <w:pPr>
        <w:jc w:val="both"/>
        <w:rPr>
          <w:rFonts w:ascii="Times New Roman" w:eastAsia="Times New Roman" w:hAnsi="Times New Roman" w:cs="Times New Roman"/>
          <w:b/>
        </w:rPr>
      </w:pPr>
    </w:p>
    <w:p w:rsidR="00755780" w:rsidRPr="008A23F0" w:rsidRDefault="008A23F0" w:rsidP="008A23F0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E10A3">
        <w:rPr>
          <w:rFonts w:ascii="Times New Roman" w:eastAsia="Times New Roman" w:hAnsi="Times New Roman" w:cs="Times New Roman"/>
          <w:b/>
          <w:sz w:val="22"/>
          <w:szCs w:val="22"/>
        </w:rPr>
        <w:t>Suppl Figure 2 - Mn treatment induces a decrease in the size of zebrafish larvae.</w:t>
      </w:r>
      <w:r w:rsidRPr="00FE10A3">
        <w:rPr>
          <w:sz w:val="22"/>
          <w:szCs w:val="22"/>
        </w:rPr>
        <w:t xml:space="preserve"> </w:t>
      </w:r>
      <w:r w:rsidRPr="00FE10A3">
        <w:rPr>
          <w:rFonts w:ascii="Times New Roman" w:eastAsia="Times New Roman" w:hAnsi="Times New Roman" w:cs="Times New Roman"/>
          <w:sz w:val="22"/>
          <w:szCs w:val="22"/>
        </w:rPr>
        <w:t>Zebrafish larvae were treated with Mn at 50 or 100 mg/L and analyzed under a light microscope (A-C). Quantification of total larval length shows a decrease in their size after Mn treatment (D). Scale bar in C = 1 mm. The results are expressed as mean ± percentile. The groups were performed with n = 5, where ****p &lt; 0.0001 vs. control group. ns = non-significant. Statistical analysis was performed using one-way ANOVA followed by Dunnett’s post-test.</w:t>
      </w:r>
    </w:p>
    <w:sectPr w:rsidR="00755780" w:rsidRPr="008A2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F0"/>
    <w:rsid w:val="00755780"/>
    <w:rsid w:val="008A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5E7C"/>
  <w15:chartTrackingRefBased/>
  <w15:docId w15:val="{20608D70-6372-4E20-B937-C85A5D75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3F0"/>
    <w:rPr>
      <w:rFonts w:ascii="Calibri" w:eastAsia="Calibri" w:hAnsi="Calibri" w:cs="Calibri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>Springer Nature IT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2022-05-30T11:19:00Z</dcterms:created>
  <dcterms:modified xsi:type="dcterms:W3CDTF">2022-05-30T11:19:00Z</dcterms:modified>
</cp:coreProperties>
</file>