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598A" w:rsidRDefault="00AB598A" w:rsidP="00AB598A">
      <w:pPr>
        <w:widowControl/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Sensitivity analysis</w:t>
      </w:r>
    </w:p>
    <w:p w:rsidR="00AB598A" w:rsidRDefault="00AB598A" w:rsidP="00AB598A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Using variables before their log-transformed</w:t>
      </w:r>
    </w:p>
    <w:p w:rsidR="00AB598A" w:rsidRDefault="00AB598A" w:rsidP="00DA7651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We assess </w:t>
      </w:r>
      <w:r>
        <w:rPr>
          <w:rFonts w:ascii="Times New Roman" w:hAnsi="Times New Roman" w:cs="Times New Roman"/>
          <w:sz w:val="24"/>
          <w:szCs w:val="24"/>
        </w:rPr>
        <w:t>whether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0D3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 xml:space="preserve">findings in this study are robust </w:t>
      </w:r>
      <w:r>
        <w:rPr>
          <w:rFonts w:ascii="Times New Roman" w:hAnsi="Times New Roman" w:cs="Times New Roman"/>
          <w:sz w:val="24"/>
          <w:szCs w:val="24"/>
        </w:rPr>
        <w:t>when these variables are not log-transformed. Other setting is the same as the original G</w:t>
      </w:r>
      <w:r w:rsidR="008A5F1A">
        <w:rPr>
          <w:rFonts w:ascii="Times New Roman" w:hAnsi="Times New Roman" w:cs="Times New Roman"/>
          <w:sz w:val="24"/>
          <w:szCs w:val="24"/>
        </w:rPr>
        <w:t>EE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results are presented in Table 1.</w:t>
      </w:r>
      <w:r w:rsidRPr="009C3B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general, the signs of all </w:t>
      </w:r>
      <w:r w:rsidR="001B0D3C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coefficients are identical to those in primary models. And the significance of coefficients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remain</w:t>
      </w:r>
      <w:r w:rsidR="001B0D3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significant, except for </w:t>
      </w:r>
      <w:r w:rsidR="00FE6725">
        <w:rPr>
          <w:rFonts w:ascii="Times New Roman" w:eastAsia="等线" w:hAnsi="Times New Roman" w:cs="Times New Roman"/>
          <w:color w:val="000000"/>
        </w:rPr>
        <w:t>THE/GDP</w:t>
      </w:r>
      <w:r w:rsidR="00FE6725">
        <w:rPr>
          <w:rFonts w:ascii="Times New Roman" w:eastAsia="等线" w:hAnsi="Times New Roman" w:cs="Times New Roman" w:hint="eastAsia"/>
          <w:color w:val="000000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This could be due to the logarithm of the percentage value is controversial. </w:t>
      </w:r>
    </w:p>
    <w:p w:rsidR="009D4B97" w:rsidRDefault="009D4B97" w:rsidP="005C5D5D">
      <w:pPr>
        <w:spacing w:line="300" w:lineRule="auto"/>
        <w:rPr>
          <w:rFonts w:ascii="Times New Roman" w:eastAsia="等线" w:hAnsi="Times New Roman" w:cs="Times New Roman"/>
          <w:color w:val="000000"/>
        </w:rPr>
      </w:pPr>
    </w:p>
    <w:p w:rsidR="00973041" w:rsidRPr="009D4B97" w:rsidRDefault="00973041" w:rsidP="00973041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D4B97">
        <w:rPr>
          <w:rFonts w:ascii="Times New Roman" w:eastAsia="等线" w:hAnsi="Times New Roman" w:cs="Times New Roman"/>
          <w:color w:val="000000"/>
          <w:sz w:val="24"/>
          <w:szCs w:val="24"/>
        </w:rPr>
        <w:t>Table1 Panel estimation for GEE</w:t>
      </w:r>
    </w:p>
    <w:tbl>
      <w:tblPr>
        <w:tblW w:w="8745" w:type="dxa"/>
        <w:jc w:val="center"/>
        <w:tblLayout w:type="fixed"/>
        <w:tblLook w:val="04A0" w:firstRow="1" w:lastRow="0" w:firstColumn="1" w:lastColumn="0" w:noHBand="0" w:noVBand="1"/>
      </w:tblPr>
      <w:tblGrid>
        <w:gridCol w:w="2691"/>
        <w:gridCol w:w="1279"/>
        <w:gridCol w:w="994"/>
        <w:gridCol w:w="993"/>
        <w:gridCol w:w="142"/>
        <w:gridCol w:w="2646"/>
      </w:tblGrid>
      <w:tr w:rsidR="00973041" w:rsidTr="00450B3C">
        <w:trPr>
          <w:trHeight w:val="288"/>
          <w:jc w:val="center"/>
        </w:trPr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Explanatory variables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Coef.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S. E.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 value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[95% CI]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GDP per capita </w:t>
            </w:r>
          </w:p>
        </w:tc>
        <w:tc>
          <w:tcPr>
            <w:tcW w:w="1279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03</w:t>
            </w:r>
          </w:p>
        </w:tc>
        <w:tc>
          <w:tcPr>
            <w:tcW w:w="994" w:type="dxa"/>
            <w:noWrap/>
            <w:vAlign w:val="center"/>
          </w:tcPr>
          <w:p w:rsidR="00973041" w:rsidRDefault="00FB4BE9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00</w:t>
            </w:r>
          </w:p>
        </w:tc>
        <w:tc>
          <w:tcPr>
            <w:tcW w:w="993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2788" w:type="dxa"/>
            <w:gridSpan w:val="2"/>
            <w:noWrap/>
            <w:vAlign w:val="center"/>
          </w:tcPr>
          <w:p w:rsidR="00973041" w:rsidRDefault="00A96758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[0.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BE7173"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 xml:space="preserve"> 0.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BE7173"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OOP/THE</w:t>
            </w:r>
          </w:p>
        </w:tc>
        <w:tc>
          <w:tcPr>
            <w:tcW w:w="1279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90</w:t>
            </w:r>
          </w:p>
        </w:tc>
        <w:tc>
          <w:tcPr>
            <w:tcW w:w="994" w:type="dxa"/>
            <w:noWrap/>
            <w:vAlign w:val="center"/>
          </w:tcPr>
          <w:p w:rsidR="00973041" w:rsidRDefault="00FB4BE9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11</w:t>
            </w:r>
          </w:p>
        </w:tc>
        <w:tc>
          <w:tcPr>
            <w:tcW w:w="993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2788" w:type="dxa"/>
            <w:gridSpan w:val="2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 w:rsidR="00A96758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</w:rPr>
              <w:t>[</w:t>
            </w:r>
            <w:r w:rsidR="00BE7173">
              <w:rPr>
                <w:rFonts w:ascii="Times New Roman" w:eastAsia="等线" w:hAnsi="Times New Roman" w:cs="Times New Roman"/>
                <w:color w:val="000000"/>
              </w:rPr>
              <w:t xml:space="preserve">-6.02 </w:t>
            </w: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A96758">
              <w:rPr>
                <w:rFonts w:ascii="Times New Roman" w:eastAsia="等线" w:hAnsi="Times New Roman" w:cs="Times New Roman"/>
                <w:color w:val="00000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A96758">
              <w:rPr>
                <w:rFonts w:ascii="Times New Roman" w:eastAsia="等线" w:hAnsi="Times New Roman" w:cs="Times New Roman"/>
                <w:color w:val="000000"/>
              </w:rPr>
              <w:t>79</w:t>
            </w:r>
            <w:r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bookmarkStart w:id="0" w:name="_Hlk37925392"/>
            <w:r>
              <w:rPr>
                <w:rFonts w:ascii="Times New Roman" w:eastAsia="等线" w:hAnsi="Times New Roman" w:cs="Times New Roman"/>
                <w:color w:val="000000"/>
              </w:rPr>
              <w:t>THE/GDP</w:t>
            </w:r>
            <w:bookmarkEnd w:id="0"/>
          </w:p>
        </w:tc>
        <w:tc>
          <w:tcPr>
            <w:tcW w:w="1279" w:type="dxa"/>
            <w:noWrap/>
            <w:vAlign w:val="center"/>
          </w:tcPr>
          <w:p w:rsidR="00973041" w:rsidRDefault="00A33712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32</w:t>
            </w:r>
          </w:p>
        </w:tc>
        <w:tc>
          <w:tcPr>
            <w:tcW w:w="994" w:type="dxa"/>
            <w:noWrap/>
            <w:vAlign w:val="center"/>
          </w:tcPr>
          <w:p w:rsidR="00973041" w:rsidRDefault="00FB4BE9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31</w:t>
            </w:r>
          </w:p>
        </w:tc>
        <w:tc>
          <w:tcPr>
            <w:tcW w:w="993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</w:t>
            </w:r>
            <w:r w:rsidR="0084670E">
              <w:rPr>
                <w:rFonts w:ascii="Times New Roman" w:eastAsia="等线" w:hAnsi="Times New Roman" w:cs="Times New Roman"/>
                <w:color w:val="000000"/>
              </w:rPr>
              <w:t>01</w:t>
            </w:r>
          </w:p>
        </w:tc>
        <w:tc>
          <w:tcPr>
            <w:tcW w:w="2788" w:type="dxa"/>
            <w:gridSpan w:val="2"/>
            <w:noWrap/>
            <w:vAlign w:val="center"/>
          </w:tcPr>
          <w:p w:rsidR="00973041" w:rsidRDefault="00A96758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[</w:t>
            </w:r>
            <w:r w:rsidR="00A2108C">
              <w:rPr>
                <w:rFonts w:ascii="Times New Roman" w:eastAsia="等线" w:hAnsi="Times New Roman" w:cs="Times New Roman"/>
                <w:color w:val="000000"/>
              </w:rPr>
              <w:t xml:space="preserve">1.01 </w:t>
            </w:r>
            <w:r>
              <w:rPr>
                <w:rFonts w:ascii="Times New Roman" w:eastAsia="等线" w:hAnsi="Times New Roman" w:cs="Times New Roman"/>
                <w:color w:val="000000"/>
              </w:rPr>
              <w:t>11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63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POP65</w:t>
            </w:r>
          </w:p>
        </w:tc>
        <w:tc>
          <w:tcPr>
            <w:tcW w:w="1279" w:type="dxa"/>
            <w:noWrap/>
            <w:vAlign w:val="center"/>
          </w:tcPr>
          <w:p w:rsidR="00973041" w:rsidRDefault="00A33712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.5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994" w:type="dxa"/>
            <w:noWrap/>
            <w:vAlign w:val="center"/>
          </w:tcPr>
          <w:p w:rsidR="00973041" w:rsidRDefault="00FB4BE9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31</w:t>
            </w:r>
          </w:p>
        </w:tc>
        <w:tc>
          <w:tcPr>
            <w:tcW w:w="993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</w:t>
            </w:r>
            <w:r w:rsidR="0084670E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2788" w:type="dxa"/>
            <w:gridSpan w:val="2"/>
            <w:noWrap/>
            <w:vAlign w:val="center"/>
          </w:tcPr>
          <w:p w:rsidR="00973041" w:rsidRDefault="00A96758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[</w:t>
            </w:r>
            <w:r w:rsidR="00A2108C">
              <w:rPr>
                <w:rFonts w:ascii="Times New Roman" w:eastAsia="等线" w:hAnsi="Times New Roman" w:cs="Times New Roman"/>
                <w:color w:val="000000"/>
              </w:rPr>
              <w:t xml:space="preserve">-0.72 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9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89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MOR</w:t>
            </w:r>
          </w:p>
        </w:tc>
        <w:tc>
          <w:tcPr>
            <w:tcW w:w="1279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37</w:t>
            </w:r>
            <w:r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07</w:t>
            </w:r>
          </w:p>
        </w:tc>
        <w:tc>
          <w:tcPr>
            <w:tcW w:w="994" w:type="dxa"/>
            <w:noWrap/>
            <w:vAlign w:val="center"/>
          </w:tcPr>
          <w:p w:rsidR="00973041" w:rsidRDefault="00FB4BE9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12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00</w:t>
            </w:r>
          </w:p>
        </w:tc>
        <w:tc>
          <w:tcPr>
            <w:tcW w:w="993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2788" w:type="dxa"/>
            <w:gridSpan w:val="2"/>
            <w:noWrap/>
            <w:vAlign w:val="center"/>
          </w:tcPr>
          <w:p w:rsidR="00973041" w:rsidRDefault="00A96758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[</w:t>
            </w:r>
            <w:r w:rsidR="00A2108C"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 w:rsidR="00A2108C">
              <w:rPr>
                <w:rFonts w:ascii="Times New Roman" w:eastAsia="等线" w:hAnsi="Times New Roman" w:cs="Times New Roman"/>
                <w:color w:val="000000"/>
              </w:rPr>
              <w:t xml:space="preserve">49.07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25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06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DIS</w:t>
            </w:r>
          </w:p>
        </w:tc>
        <w:tc>
          <w:tcPr>
            <w:tcW w:w="1279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A33712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994" w:type="dxa"/>
            <w:noWrap/>
            <w:vAlign w:val="center"/>
          </w:tcPr>
          <w:p w:rsidR="00973041" w:rsidRDefault="00FB4BE9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43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993" w:type="dxa"/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</w:t>
            </w:r>
            <w:r w:rsidR="0084670E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88" w:type="dxa"/>
            <w:gridSpan w:val="2"/>
            <w:noWrap/>
            <w:vAlign w:val="center"/>
          </w:tcPr>
          <w:p w:rsidR="00973041" w:rsidRDefault="00A96758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[</w:t>
            </w:r>
            <w:r w:rsidR="00A2108C">
              <w:rPr>
                <w:rFonts w:ascii="Times New Roman" w:eastAsia="等线" w:hAnsi="Times New Roman" w:cs="Times New Roman"/>
                <w:color w:val="000000"/>
              </w:rPr>
              <w:t xml:space="preserve">-10.17 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70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bookmarkStart w:id="1" w:name="_Hlk37925375"/>
            <w:r>
              <w:rPr>
                <w:rFonts w:ascii="Times New Roman" w:eastAsia="等线" w:hAnsi="Times New Roman" w:cs="Times New Roman"/>
                <w:color w:val="000000"/>
              </w:rPr>
              <w:t>BEDS</w:t>
            </w:r>
            <w:bookmarkEnd w:id="1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A33712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.9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</w:t>
            </w:r>
            <w:r w:rsidR="00FB4BE9">
              <w:rPr>
                <w:rFonts w:ascii="Times New Roman" w:eastAsia="等线" w:hAnsi="Times New Roman" w:cs="Times New Roman"/>
                <w:color w:val="000000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278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973041" w:rsidRDefault="00A96758" w:rsidP="00450B3C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  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[</w:t>
            </w:r>
            <w:r w:rsidR="00A2108C">
              <w:rPr>
                <w:rFonts w:ascii="Times New Roman" w:eastAsia="等线" w:hAnsi="Times New Roman" w:cs="Times New Roman"/>
                <w:color w:val="000000"/>
              </w:rPr>
              <w:t xml:space="preserve">2.19 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C47CE">
              <w:rPr>
                <w:rFonts w:ascii="Times New Roman" w:eastAsia="等线" w:hAnsi="Times New Roman" w:cs="Times New Roman"/>
                <w:color w:val="000000"/>
              </w:rPr>
              <w:t>77</w:t>
            </w:r>
            <w:r w:rsidR="00973041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973041" w:rsidTr="00450B3C">
        <w:trPr>
          <w:trHeight w:val="288"/>
          <w:jc w:val="center"/>
        </w:trPr>
        <w:tc>
          <w:tcPr>
            <w:tcW w:w="87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73041" w:rsidRDefault="00973041" w:rsidP="00450B3C">
            <w:pPr>
              <w:spacing w:line="300" w:lineRule="auto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Number of observations=248  Number of groups=31</w:t>
            </w:r>
          </w:p>
        </w:tc>
      </w:tr>
    </w:tbl>
    <w:p w:rsidR="00973041" w:rsidRDefault="00973041" w:rsidP="00973041">
      <w:pPr>
        <w:spacing w:line="300" w:lineRule="auto"/>
        <w:rPr>
          <w:rFonts w:ascii="Times New Roman" w:eastAsia="等线" w:hAnsi="Times New Roman" w:cs="Times New Roman"/>
          <w:color w:val="000000"/>
        </w:rPr>
      </w:pPr>
      <w:r>
        <w:rPr>
          <w:rFonts w:ascii="Times New Roman" w:eastAsia="等线" w:hAnsi="Times New Roman" w:cs="Times New Roman"/>
          <w:color w:val="000000"/>
        </w:rPr>
        <w:t xml:space="preserve">Dependent variable: PTHE per capita  </w:t>
      </w:r>
    </w:p>
    <w:p w:rsidR="0054031F" w:rsidRPr="00973041" w:rsidRDefault="0054031F" w:rsidP="0054031F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4031F" w:rsidRDefault="0054031F" w:rsidP="0054031F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Employing a </w:t>
      </w:r>
      <w:r w:rsidRPr="0054031F">
        <w:rPr>
          <w:rFonts w:ascii="Times New Roman" w:hAnsi="Times New Roman" w:cs="Times New Roman"/>
          <w:b/>
          <w:bCs/>
          <w:sz w:val="24"/>
          <w:szCs w:val="24"/>
        </w:rPr>
        <w:t>Generalized Method of Moments</w:t>
      </w:r>
      <w:r>
        <w:rPr>
          <w:rFonts w:ascii="Times New Roman" w:hAnsi="Times New Roman" w:cs="Times New Roman"/>
          <w:b/>
          <w:bCs/>
          <w:sz w:val="24"/>
          <w:szCs w:val="24"/>
        </w:rPr>
        <w:t>(GMM).</w:t>
      </w:r>
    </w:p>
    <w:p w:rsidR="001547F8" w:rsidRDefault="00F43082" w:rsidP="00DA7651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>e assess</w:t>
      </w:r>
      <w:r>
        <w:rPr>
          <w:rFonts w:ascii="Times New Roman" w:hAnsi="Times New Roman" w:cs="Times New Roman"/>
          <w:sz w:val="24"/>
          <w:szCs w:val="24"/>
        </w:rPr>
        <w:t xml:space="preserve"> whether the finding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="001B0D3C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 w:hint="eastAsia"/>
          <w:sz w:val="24"/>
          <w:szCs w:val="24"/>
        </w:rPr>
        <w:t xml:space="preserve"> robust to various methods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430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Tables </w:t>
      </w:r>
      <w:r w:rsidR="00F939C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showed the results of </w:t>
      </w:r>
      <w:r w:rsidR="00F939CA">
        <w:rPr>
          <w:rFonts w:ascii="Times New Roman" w:hAnsi="Times New Roman" w:cs="Times New Roman"/>
          <w:sz w:val="24"/>
          <w:szCs w:val="24"/>
        </w:rPr>
        <w:t>GM</w:t>
      </w:r>
      <w:r>
        <w:rPr>
          <w:rFonts w:ascii="Times New Roman" w:hAnsi="Times New Roman" w:cs="Times New Roman"/>
          <w:sz w:val="24"/>
          <w:szCs w:val="24"/>
        </w:rPr>
        <w:t xml:space="preserve">M. For the sign of variables, the rate of infectious disease </w:t>
      </w:r>
      <w:r w:rsidR="00F939CA">
        <w:rPr>
          <w:rFonts w:ascii="Times New Roman" w:hAnsi="Times New Roman" w:cs="Times New Roman" w:hint="eastAsia"/>
          <w:sz w:val="24"/>
          <w:szCs w:val="24"/>
        </w:rPr>
        <w:t>and</w:t>
      </w:r>
      <w:r w:rsidR="00F939CA">
        <w:rPr>
          <w:rFonts w:ascii="Times New Roman" w:hAnsi="Times New Roman" w:cs="Times New Roman"/>
          <w:sz w:val="24"/>
          <w:szCs w:val="24"/>
        </w:rPr>
        <w:t xml:space="preserve"> </w:t>
      </w:r>
      <w:r w:rsidR="001547F8">
        <w:rPr>
          <w:rFonts w:ascii="Times New Roman" w:hAnsi="Times New Roman" w:cs="Times New Roman"/>
          <w:sz w:val="24"/>
          <w:szCs w:val="24"/>
        </w:rPr>
        <w:t>t</w:t>
      </w:r>
      <w:r w:rsidR="00F939CA" w:rsidRPr="00F939CA">
        <w:rPr>
          <w:rFonts w:ascii="Times New Roman" w:hAnsi="Times New Roman" w:cs="Times New Roman"/>
          <w:sz w:val="24"/>
          <w:szCs w:val="24"/>
        </w:rPr>
        <w:t xml:space="preserve">he number of beds per 10,000 population </w:t>
      </w:r>
      <w:r w:rsidR="00F939CA">
        <w:rPr>
          <w:rFonts w:ascii="Times New Roman" w:hAnsi="Times New Roman" w:cs="Times New Roman" w:hint="eastAsia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not identical </w:t>
      </w:r>
      <w:r w:rsidR="001B0D3C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the original model</w:t>
      </w:r>
      <w:r w:rsidR="002F6A0A">
        <w:rPr>
          <w:rFonts w:ascii="Times New Roman" w:hAnsi="Times New Roman" w:cs="Times New Roman" w:hint="eastAsia"/>
          <w:sz w:val="24"/>
          <w:szCs w:val="24"/>
        </w:rPr>
        <w:t>,</w:t>
      </w:r>
      <w:r w:rsidR="002F6A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but </w:t>
      </w:r>
      <w:r w:rsidR="0000411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statistical significance</w:t>
      </w:r>
      <w:r w:rsidR="002F6A0A">
        <w:rPr>
          <w:rFonts w:ascii="Times New Roman" w:hAnsi="Times New Roman" w:cs="Times New Roman"/>
          <w:sz w:val="24"/>
          <w:szCs w:val="24"/>
        </w:rPr>
        <w:t xml:space="preserve"> is reversed</w:t>
      </w:r>
      <w:r>
        <w:rPr>
          <w:rFonts w:ascii="Times New Roman" w:hAnsi="Times New Roman" w:cs="Times New Roman"/>
          <w:sz w:val="24"/>
          <w:szCs w:val="24"/>
        </w:rPr>
        <w:t xml:space="preserve">. As for the significance of other variables, </w:t>
      </w:r>
      <w:r w:rsidR="00004117">
        <w:rPr>
          <w:rFonts w:ascii="Times New Roman" w:hAnsi="Times New Roman" w:cs="Times New Roman"/>
          <w:sz w:val="24"/>
          <w:szCs w:val="24"/>
        </w:rPr>
        <w:t>mortality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004117">
        <w:rPr>
          <w:rFonts w:ascii="Times New Roman" w:hAnsi="Times New Roman" w:cs="Times New Roman"/>
          <w:sz w:val="24"/>
          <w:szCs w:val="24"/>
        </w:rPr>
        <w:t xml:space="preserve">not associated </w:t>
      </w:r>
      <w:r>
        <w:rPr>
          <w:rFonts w:ascii="Times New Roman" w:hAnsi="Times New Roman" w:cs="Times New Roman"/>
          <w:sz w:val="24"/>
          <w:szCs w:val="24"/>
        </w:rPr>
        <w:t xml:space="preserve">with PTHE which is </w:t>
      </w:r>
      <w:r w:rsidR="00004117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consistent with what we expected. </w:t>
      </w:r>
      <w:r w:rsidR="001547F8" w:rsidRPr="00E97AE5">
        <w:rPr>
          <w:rFonts w:ascii="Times New Roman" w:hAnsi="Times New Roman" w:cs="Times New Roman"/>
          <w:sz w:val="24"/>
          <w:szCs w:val="24"/>
        </w:rPr>
        <w:t xml:space="preserve">Compared with GMM, </w:t>
      </w:r>
      <w:r w:rsidR="001547F8" w:rsidRPr="00E97AE5">
        <w:rPr>
          <w:rFonts w:ascii="Times New Roman" w:hAnsi="Times New Roman" w:cs="Times New Roman" w:hint="eastAsia"/>
          <w:sz w:val="24"/>
          <w:szCs w:val="24"/>
        </w:rPr>
        <w:t xml:space="preserve">we use </w:t>
      </w:r>
      <w:bookmarkStart w:id="2" w:name="OLE_LINK9"/>
      <w:bookmarkStart w:id="3" w:name="OLE_LINK10"/>
      <w:r w:rsidR="001547F8" w:rsidRPr="00E97AE5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="00DA7651">
        <w:rPr>
          <w:rFonts w:ascii="Times New Roman" w:hAnsi="Times New Roman" w:cs="Times New Roman" w:hint="eastAsia"/>
          <w:sz w:val="24"/>
          <w:szCs w:val="24"/>
        </w:rPr>
        <w:t>s</w:t>
      </w:r>
      <w:r w:rsidR="001547F8" w:rsidRPr="00E97AE5">
        <w:rPr>
          <w:rFonts w:ascii="Times New Roman" w:hAnsi="Times New Roman" w:cs="Times New Roman" w:hint="eastAsia"/>
          <w:sz w:val="24"/>
          <w:szCs w:val="24"/>
        </w:rPr>
        <w:t>patiotemporal panel data model</w:t>
      </w:r>
      <w:bookmarkEnd w:id="2"/>
      <w:bookmarkEnd w:id="3"/>
      <w:r w:rsidR="001547F8" w:rsidRPr="00E97AE5">
        <w:rPr>
          <w:rFonts w:ascii="Times New Roman" w:hAnsi="Times New Roman" w:cs="Times New Roman"/>
          <w:sz w:val="24"/>
          <w:szCs w:val="24"/>
        </w:rPr>
        <w:t xml:space="preserve"> which could specify some alternative specifications based on spatial panels</w:t>
      </w:r>
      <w:r w:rsidR="00E97AE5" w:rsidRPr="00E97AE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1547F8">
        <w:rPr>
          <w:rFonts w:ascii="Times New Roman" w:hAnsi="Times New Roman" w:cs="Times New Roman"/>
          <w:sz w:val="24"/>
          <w:szCs w:val="24"/>
        </w:rPr>
        <w:t>GMM</w:t>
      </w:r>
      <w:r>
        <w:rPr>
          <w:rFonts w:ascii="Times New Roman" w:hAnsi="Times New Roman" w:cs="Times New Roman"/>
          <w:sz w:val="24"/>
          <w:szCs w:val="24"/>
        </w:rPr>
        <w:t xml:space="preserve"> which </w:t>
      </w:r>
      <w:bookmarkStart w:id="4" w:name="OLE_LINK26"/>
      <w:bookmarkStart w:id="5" w:name="OLE_LINK28"/>
      <w:r w:rsidR="00E97AE5">
        <w:rPr>
          <w:rFonts w:ascii="Times New Roman" w:hAnsi="Times New Roman" w:cs="Times New Roman"/>
          <w:sz w:val="24"/>
          <w:szCs w:val="24"/>
        </w:rPr>
        <w:t xml:space="preserve">could not gather </w:t>
      </w:r>
      <w:r w:rsidR="00E97AE5" w:rsidRPr="00E97AE5">
        <w:rPr>
          <w:rFonts w:ascii="Times New Roman" w:hAnsi="Times New Roman" w:cs="Times New Roman"/>
          <w:sz w:val="24"/>
          <w:szCs w:val="24"/>
        </w:rPr>
        <w:t xml:space="preserve">some spatial dependence at </w:t>
      </w:r>
      <w:r w:rsidR="001B0D3C">
        <w:rPr>
          <w:rFonts w:ascii="Times New Roman" w:hAnsi="Times New Roman" w:cs="Times New Roman"/>
          <w:sz w:val="24"/>
          <w:szCs w:val="24"/>
        </w:rPr>
        <w:t xml:space="preserve">the </w:t>
      </w:r>
      <w:r w:rsidR="00E97AE5" w:rsidRPr="00E97AE5">
        <w:rPr>
          <w:rFonts w:ascii="Times New Roman" w:hAnsi="Times New Roman" w:cs="Times New Roman"/>
          <w:sz w:val="24"/>
          <w:szCs w:val="24"/>
        </w:rPr>
        <w:t>province level</w:t>
      </w:r>
      <w:bookmarkEnd w:id="4"/>
      <w:bookmarkEnd w:id="5"/>
      <w:r>
        <w:rPr>
          <w:rFonts w:ascii="Times New Roman" w:hAnsi="Times New Roman" w:cs="Times New Roman"/>
          <w:sz w:val="24"/>
          <w:szCs w:val="24"/>
        </w:rPr>
        <w:t>, we could not ask for complete consisten</w:t>
      </w:r>
      <w:r w:rsidR="001B0D3C">
        <w:rPr>
          <w:rFonts w:ascii="Times New Roman" w:hAnsi="Times New Roman" w:cs="Times New Roman"/>
          <w:sz w:val="24"/>
          <w:szCs w:val="24"/>
        </w:rPr>
        <w:t>cy</w:t>
      </w:r>
      <w:r>
        <w:rPr>
          <w:rFonts w:ascii="Times New Roman" w:hAnsi="Times New Roman" w:cs="Times New Roman"/>
          <w:sz w:val="24"/>
          <w:szCs w:val="24"/>
        </w:rPr>
        <w:t xml:space="preserve"> with the G</w:t>
      </w:r>
      <w:r w:rsidR="00E97AE5">
        <w:rPr>
          <w:rFonts w:ascii="Times New Roman" w:hAnsi="Times New Roman" w:cs="Times New Roman"/>
          <w:sz w:val="24"/>
          <w:szCs w:val="24"/>
        </w:rPr>
        <w:t>EE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43845" w:rsidRPr="00E06FFF">
        <w:rPr>
          <w:rFonts w:ascii="Times New Roman" w:hAnsi="Times New Roman" w:cs="Times New Roman"/>
          <w:sz w:val="24"/>
          <w:szCs w:val="24"/>
        </w:rPr>
        <w:t>The results of</w:t>
      </w:r>
      <w:r w:rsidR="00043845">
        <w:rPr>
          <w:rFonts w:ascii="Times New Roman" w:hAnsi="Times New Roman" w:cs="Times New Roman"/>
          <w:sz w:val="24"/>
          <w:szCs w:val="24"/>
        </w:rPr>
        <w:t xml:space="preserve"> most</w:t>
      </w:r>
      <w:r w:rsidR="00043845" w:rsidRPr="00E06FFF">
        <w:rPr>
          <w:rFonts w:ascii="Times New Roman" w:hAnsi="Times New Roman" w:cs="Times New Roman"/>
          <w:sz w:val="24"/>
          <w:szCs w:val="24"/>
        </w:rPr>
        <w:t xml:space="preserve"> independent variables are consistent</w:t>
      </w:r>
      <w:r w:rsidR="00043845">
        <w:rPr>
          <w:rFonts w:ascii="Times New Roman" w:hAnsi="Times New Roman" w:cs="Times New Roman"/>
          <w:sz w:val="24"/>
          <w:szCs w:val="24"/>
        </w:rPr>
        <w:t xml:space="preserve"> with the original model.</w:t>
      </w:r>
    </w:p>
    <w:p w:rsidR="005A3A0B" w:rsidRPr="00F43082" w:rsidRDefault="005A3A0B" w:rsidP="0054031F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A3A0B" w:rsidRDefault="005A3A0B" w:rsidP="005A3A0B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Table2 Panel estimation for GMM</w:t>
      </w:r>
    </w:p>
    <w:tbl>
      <w:tblPr>
        <w:tblW w:w="8745" w:type="dxa"/>
        <w:jc w:val="center"/>
        <w:tblLayout w:type="fixed"/>
        <w:tblLook w:val="04A0" w:firstRow="1" w:lastRow="0" w:firstColumn="1" w:lastColumn="0" w:noHBand="0" w:noVBand="1"/>
      </w:tblPr>
      <w:tblGrid>
        <w:gridCol w:w="2691"/>
        <w:gridCol w:w="1279"/>
        <w:gridCol w:w="994"/>
        <w:gridCol w:w="993"/>
        <w:gridCol w:w="142"/>
        <w:gridCol w:w="2646"/>
      </w:tblGrid>
      <w:tr w:rsidR="005A3A0B" w:rsidTr="00450B3C">
        <w:trPr>
          <w:trHeight w:val="288"/>
          <w:jc w:val="center"/>
        </w:trPr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Explanatory variables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Coef.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S. E.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P value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[95% CI]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In GDP per capita </w:t>
            </w:r>
          </w:p>
        </w:tc>
        <w:tc>
          <w:tcPr>
            <w:tcW w:w="1279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0.26</w:t>
            </w:r>
          </w:p>
        </w:tc>
        <w:tc>
          <w:tcPr>
            <w:tcW w:w="993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0.06</w:t>
            </w:r>
          </w:p>
        </w:tc>
        <w:tc>
          <w:tcPr>
            <w:tcW w:w="992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0.00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[0.14 0.37]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In OOP/THE</w:t>
            </w:r>
          </w:p>
        </w:tc>
        <w:tc>
          <w:tcPr>
            <w:tcW w:w="1279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-0.26</w:t>
            </w:r>
          </w:p>
        </w:tc>
        <w:tc>
          <w:tcPr>
            <w:tcW w:w="993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0.07</w:t>
            </w:r>
          </w:p>
        </w:tc>
        <w:tc>
          <w:tcPr>
            <w:tcW w:w="992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0.00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[-0.40 -0.12]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lastRenderedPageBreak/>
              <w:t>In THE/GDP</w:t>
            </w:r>
          </w:p>
        </w:tc>
        <w:tc>
          <w:tcPr>
            <w:tcW w:w="1279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0.13</w:t>
            </w:r>
          </w:p>
        </w:tc>
        <w:tc>
          <w:tcPr>
            <w:tcW w:w="993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0.09</w:t>
            </w:r>
          </w:p>
        </w:tc>
        <w:tc>
          <w:tcPr>
            <w:tcW w:w="992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0.13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[-0.04 0.31]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In POP65</w:t>
            </w:r>
          </w:p>
        </w:tc>
        <w:tc>
          <w:tcPr>
            <w:tcW w:w="1279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0.13</w:t>
            </w:r>
          </w:p>
        </w:tc>
        <w:tc>
          <w:tcPr>
            <w:tcW w:w="993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0.07</w:t>
            </w:r>
          </w:p>
        </w:tc>
        <w:tc>
          <w:tcPr>
            <w:tcW w:w="992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0.04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[0.01 0.26]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In MOR</w:t>
            </w:r>
          </w:p>
        </w:tc>
        <w:tc>
          <w:tcPr>
            <w:tcW w:w="1279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-0.08</w:t>
            </w:r>
          </w:p>
        </w:tc>
        <w:tc>
          <w:tcPr>
            <w:tcW w:w="993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0.14</w:t>
            </w:r>
          </w:p>
        </w:tc>
        <w:tc>
          <w:tcPr>
            <w:tcW w:w="992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0.58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[-0.35 0.19]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In DIS</w:t>
            </w:r>
          </w:p>
        </w:tc>
        <w:tc>
          <w:tcPr>
            <w:tcW w:w="1279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0.16</w:t>
            </w:r>
          </w:p>
        </w:tc>
        <w:tc>
          <w:tcPr>
            <w:tcW w:w="993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0.07 </w:t>
            </w:r>
          </w:p>
        </w:tc>
        <w:tc>
          <w:tcPr>
            <w:tcW w:w="992" w:type="dxa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0.02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[0.02 0.29]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In BEDS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-0.01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0.91</w:t>
            </w:r>
          </w:p>
        </w:tc>
        <w:tc>
          <w:tcPr>
            <w:tcW w:w="2786" w:type="dxa"/>
            <w:gridSpan w:val="2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[-0.17 0.15]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87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Number of observations=217  Number of groups=31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8740" w:type="dxa"/>
            <w:gridSpan w:val="6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Arellano-Bond test for AR(1):z = -2.20 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Pr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&gt; z = 0.03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8740" w:type="dxa"/>
            <w:gridSpan w:val="6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Arellano-Bond test for AR(2):z = -1.65 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Pr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&gt; z = 0.10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8740" w:type="dxa"/>
            <w:gridSpan w:val="6"/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F(8, 209)=228078.20  Prob &gt; F = 0.00   </w:t>
            </w:r>
          </w:p>
        </w:tc>
      </w:tr>
      <w:tr w:rsidR="005A3A0B" w:rsidTr="00450B3C">
        <w:trPr>
          <w:trHeight w:val="288"/>
          <w:jc w:val="center"/>
        </w:trPr>
        <w:tc>
          <w:tcPr>
            <w:tcW w:w="87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3A0B" w:rsidRDefault="005A3A0B" w:rsidP="00450B3C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Sargan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test of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overid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. restrictions: chi2(6) =3.35  Prob &gt; chi2 =0.50</w:t>
            </w:r>
          </w:p>
        </w:tc>
      </w:tr>
    </w:tbl>
    <w:p w:rsidR="005A3A0B" w:rsidRDefault="005A3A0B" w:rsidP="005A3A0B">
      <w:pPr>
        <w:spacing w:line="300" w:lineRule="auto"/>
        <w:rPr>
          <w:rFonts w:ascii="Times New Roman" w:eastAsia="等线" w:hAnsi="Times New Roman" w:cs="Times New Roman"/>
          <w:color w:val="000000"/>
          <w:kern w:val="0"/>
        </w:rPr>
      </w:pPr>
      <w:r>
        <w:rPr>
          <w:rFonts w:ascii="Times New Roman" w:eastAsia="等线" w:hAnsi="Times New Roman" w:cs="Times New Roman"/>
          <w:color w:val="000000"/>
          <w:kern w:val="0"/>
        </w:rPr>
        <w:t xml:space="preserve">Dependent variable: ln PTHE per capita  </w:t>
      </w:r>
    </w:p>
    <w:p w:rsidR="0054031F" w:rsidRPr="005A3A0B" w:rsidRDefault="0054031F" w:rsidP="00AB598A">
      <w:pPr>
        <w:spacing w:line="30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A20D55" w:rsidRPr="00AB598A" w:rsidRDefault="00A20D55"/>
    <w:sectPr w:rsidR="00A20D55" w:rsidRPr="00AB5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73B97" w:rsidRDefault="00E73B97" w:rsidP="008A5F1A">
      <w:r>
        <w:separator/>
      </w:r>
    </w:p>
  </w:endnote>
  <w:endnote w:type="continuationSeparator" w:id="0">
    <w:p w:rsidR="00E73B97" w:rsidRDefault="00E73B97" w:rsidP="008A5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73B97" w:rsidRDefault="00E73B97" w:rsidP="008A5F1A">
      <w:r>
        <w:separator/>
      </w:r>
    </w:p>
  </w:footnote>
  <w:footnote w:type="continuationSeparator" w:id="0">
    <w:p w:rsidR="00E73B97" w:rsidRDefault="00E73B97" w:rsidP="008A5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8A"/>
    <w:rsid w:val="00004117"/>
    <w:rsid w:val="00043845"/>
    <w:rsid w:val="001547F8"/>
    <w:rsid w:val="001B0D3C"/>
    <w:rsid w:val="002B5348"/>
    <w:rsid w:val="002C47CE"/>
    <w:rsid w:val="002F6A0A"/>
    <w:rsid w:val="00496B5F"/>
    <w:rsid w:val="0054031F"/>
    <w:rsid w:val="005A3A0B"/>
    <w:rsid w:val="005C5D5D"/>
    <w:rsid w:val="00601C9B"/>
    <w:rsid w:val="00775496"/>
    <w:rsid w:val="00791836"/>
    <w:rsid w:val="0084670E"/>
    <w:rsid w:val="00885AE7"/>
    <w:rsid w:val="008A5F1A"/>
    <w:rsid w:val="00973041"/>
    <w:rsid w:val="009B70C1"/>
    <w:rsid w:val="009D4B97"/>
    <w:rsid w:val="00A20D55"/>
    <w:rsid w:val="00A2108C"/>
    <w:rsid w:val="00A33712"/>
    <w:rsid w:val="00A96758"/>
    <w:rsid w:val="00AB598A"/>
    <w:rsid w:val="00B0187B"/>
    <w:rsid w:val="00BD6A24"/>
    <w:rsid w:val="00BE7173"/>
    <w:rsid w:val="00D939F4"/>
    <w:rsid w:val="00DA7651"/>
    <w:rsid w:val="00E06FFF"/>
    <w:rsid w:val="00E73B97"/>
    <w:rsid w:val="00E97AE5"/>
    <w:rsid w:val="00F43082"/>
    <w:rsid w:val="00F939CA"/>
    <w:rsid w:val="00FB4BE9"/>
    <w:rsid w:val="00FC6B5F"/>
    <w:rsid w:val="00FE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AD19B"/>
  <w15:chartTrackingRefBased/>
  <w15:docId w15:val="{9AFE2643-913F-4EE6-9C8C-08DE43E22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9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中文论文写作样式"/>
    <w:basedOn w:val="2"/>
    <w:link w:val="a4"/>
    <w:autoRedefine/>
    <w:qFormat/>
    <w:rsid w:val="00496B5F"/>
    <w:rPr>
      <w:kern w:val="44"/>
      <w:sz w:val="44"/>
      <w:szCs w:val="44"/>
    </w:rPr>
  </w:style>
  <w:style w:type="character" w:customStyle="1" w:styleId="a4">
    <w:name w:val="中文论文写作样式 字符"/>
    <w:basedOn w:val="a0"/>
    <w:link w:val="a3"/>
    <w:rsid w:val="00496B5F"/>
    <w:rPr>
      <w:kern w:val="44"/>
      <w:sz w:val="44"/>
      <w:szCs w:val="44"/>
    </w:rPr>
  </w:style>
  <w:style w:type="paragraph" w:styleId="2">
    <w:name w:val="Body Text Indent 2"/>
    <w:basedOn w:val="a"/>
    <w:link w:val="20"/>
    <w:uiPriority w:val="99"/>
    <w:semiHidden/>
    <w:unhideWhenUsed/>
    <w:rsid w:val="00496B5F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uiPriority w:val="99"/>
    <w:semiHidden/>
    <w:rsid w:val="00496B5F"/>
  </w:style>
  <w:style w:type="paragraph" w:customStyle="1" w:styleId="1">
    <w:name w:val="样式1"/>
    <w:basedOn w:val="a"/>
    <w:autoRedefine/>
    <w:qFormat/>
    <w:rsid w:val="00496B5F"/>
    <w:pPr>
      <w:widowControl/>
      <w:spacing w:line="300" w:lineRule="auto"/>
      <w:jc w:val="center"/>
    </w:pPr>
    <w:rPr>
      <w:rFonts w:ascii="Times New Roman" w:eastAsia="宋体" w:hAnsi="Times New Roman" w:cs="Times New Roman"/>
      <w:b/>
      <w:kern w:val="0"/>
      <w:sz w:val="24"/>
      <w:szCs w:val="32"/>
    </w:rPr>
  </w:style>
  <w:style w:type="paragraph" w:styleId="a5">
    <w:name w:val="header"/>
    <w:basedOn w:val="a"/>
    <w:link w:val="a6"/>
    <w:uiPriority w:val="99"/>
    <w:unhideWhenUsed/>
    <w:rsid w:val="008A5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5F1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A5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A5F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43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积菲 侯</dc:creator>
  <cp:keywords/>
  <dc:description/>
  <cp:lastModifiedBy>积菲 侯</cp:lastModifiedBy>
  <cp:revision>35</cp:revision>
  <dcterms:created xsi:type="dcterms:W3CDTF">2020-04-23T11:36:00Z</dcterms:created>
  <dcterms:modified xsi:type="dcterms:W3CDTF">2020-05-12T09:54:00Z</dcterms:modified>
</cp:coreProperties>
</file>