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D130" w14:textId="77777777" w:rsidR="00CA52AD" w:rsidRPr="003B5EC4" w:rsidRDefault="00CA52AD" w:rsidP="00CA52AD">
      <w:pPr>
        <w:spacing w:line="480" w:lineRule="auto"/>
        <w:rPr>
          <w:rFonts w:cs="Times New Roman"/>
          <w:b/>
          <w:bCs/>
          <w:szCs w:val="20"/>
        </w:rPr>
      </w:pPr>
      <w:r w:rsidRPr="003B5EC4">
        <w:rPr>
          <w:rFonts w:cs="Times New Roman"/>
          <w:b/>
          <w:bCs/>
          <w:szCs w:val="20"/>
        </w:rPr>
        <w:t>Supplementary data (detailed methods for neuroimaging analyses)</w:t>
      </w:r>
    </w:p>
    <w:p w14:paraId="3683FAFA" w14:textId="77777777" w:rsidR="00CA52AD" w:rsidRPr="003B5EC4" w:rsidRDefault="00CA52AD" w:rsidP="00900D13">
      <w:pPr>
        <w:spacing w:line="480" w:lineRule="auto"/>
        <w:rPr>
          <w:rFonts w:cs="Times New Roman"/>
          <w:b/>
          <w:bCs/>
          <w:szCs w:val="20"/>
        </w:rPr>
      </w:pPr>
      <w:r w:rsidRPr="003B5EC4">
        <w:rPr>
          <w:rFonts w:cs="Times New Roman"/>
          <w:b/>
          <w:bCs/>
          <w:szCs w:val="20"/>
        </w:rPr>
        <w:t>MRI data preprocessing</w:t>
      </w:r>
    </w:p>
    <w:p w14:paraId="004008D0" w14:textId="0365E592" w:rsidR="00CA52AD" w:rsidRPr="00B27A68" w:rsidRDefault="00CA52AD" w:rsidP="00B27A68">
      <w:pPr>
        <w:spacing w:line="480" w:lineRule="auto"/>
        <w:rPr>
          <w:rFonts w:cs="Times New Roman"/>
          <w:szCs w:val="20"/>
        </w:rPr>
      </w:pPr>
      <w:r w:rsidRPr="001C2228">
        <w:rPr>
          <w:rFonts w:cs="Times New Roman"/>
          <w:szCs w:val="20"/>
        </w:rPr>
        <w:t xml:space="preserve">All T1-weighted MRIs were automatically processed by </w:t>
      </w:r>
      <w:proofErr w:type="spellStart"/>
      <w:r w:rsidRPr="001C2228">
        <w:rPr>
          <w:rFonts w:cs="Times New Roman"/>
          <w:szCs w:val="20"/>
        </w:rPr>
        <w:t>FreeSurfer</w:t>
      </w:r>
      <w:proofErr w:type="spellEnd"/>
      <w:r w:rsidRPr="001C2228">
        <w:rPr>
          <w:rFonts w:cs="Times New Roman"/>
          <w:szCs w:val="20"/>
        </w:rPr>
        <w:t xml:space="preserve"> using the recon-all procedure (</w:t>
      </w:r>
      <w:proofErr w:type="spellStart"/>
      <w:r w:rsidRPr="001C2228">
        <w:rPr>
          <w:rFonts w:cs="Times New Roman"/>
          <w:szCs w:val="20"/>
        </w:rPr>
        <w:t>FreeSurfer</w:t>
      </w:r>
      <w:proofErr w:type="spellEnd"/>
      <w:r w:rsidRPr="001C2228">
        <w:rPr>
          <w:rFonts w:cs="Times New Roman"/>
          <w:szCs w:val="20"/>
        </w:rPr>
        <w:t xml:space="preserve"> version 6.0.0; </w:t>
      </w:r>
      <w:hyperlink r:id="rId6" w:history="1">
        <w:r w:rsidRPr="001C2228">
          <w:rPr>
            <w:rStyle w:val="a3"/>
            <w:rFonts w:cs="Times New Roman"/>
            <w:szCs w:val="20"/>
          </w:rPr>
          <w:t>http://surfer.nmr.mgh.harvard.edu/</w:t>
        </w:r>
      </w:hyperlink>
      <w:r w:rsidRPr="001C2228">
        <w:rPr>
          <w:rFonts w:cs="Times New Roman"/>
          <w:szCs w:val="20"/>
        </w:rPr>
        <w:t xml:space="preserve">) to reconstruct cortical surfaces, measure cortical thickness, and segment region-of-interest (ROI) volumes </w:t>
      </w:r>
      <w:r w:rsidR="00B27A68">
        <w:rPr>
          <w:rFonts w:cs="Times New Roman"/>
          <w:szCs w:val="20"/>
        </w:rPr>
        <w:t>[1,2]</w:t>
      </w:r>
      <w:r w:rsidRPr="001C2228">
        <w:rPr>
          <w:rFonts w:cs="Times New Roman"/>
          <w:szCs w:val="20"/>
        </w:rPr>
        <w:t>. Gray matter (GM), white matter, and cerebrospinal fluid were segmented from the T1-MRIs and volume-registered into the Montreal Neurological Institute/International Consortium for Brain Mapping (</w:t>
      </w:r>
      <w:proofErr w:type="spellStart"/>
      <w:r w:rsidRPr="001C2228">
        <w:rPr>
          <w:rFonts w:cs="Times New Roman"/>
          <w:szCs w:val="20"/>
        </w:rPr>
        <w:t>MNI</w:t>
      </w:r>
      <w:proofErr w:type="spellEnd"/>
      <w:r w:rsidRPr="001C2228">
        <w:rPr>
          <w:rFonts w:cs="Times New Roman"/>
          <w:szCs w:val="20"/>
        </w:rPr>
        <w:t xml:space="preserve">/ICBM) space using the surface deformation procedure </w:t>
      </w:r>
      <w:r w:rsidR="00B27A68">
        <w:rPr>
          <w:rFonts w:cs="Times New Roman"/>
          <w:szCs w:val="20"/>
        </w:rPr>
        <w:t>[3]</w:t>
      </w:r>
      <w:r w:rsidRPr="001C2228">
        <w:rPr>
          <w:rFonts w:cs="Times New Roman"/>
          <w:szCs w:val="20"/>
        </w:rPr>
        <w:t xml:space="preserve">. We used the </w:t>
      </w:r>
      <w:r w:rsidRPr="001C2228">
        <w:rPr>
          <w:rFonts w:cs="Times New Roman"/>
          <w:color w:val="000000"/>
          <w:kern w:val="0"/>
          <w:szCs w:val="20"/>
        </w:rPr>
        <w:t xml:space="preserve">automated anatomical labeling (AAL) template </w:t>
      </w:r>
      <w:r w:rsidR="00B27A68">
        <w:rPr>
          <w:rFonts w:cs="Times New Roman"/>
          <w:color w:val="000000"/>
          <w:kern w:val="0"/>
          <w:szCs w:val="20"/>
        </w:rPr>
        <w:t>[4]</w:t>
      </w:r>
      <w:r w:rsidRPr="001C2228">
        <w:rPr>
          <w:rFonts w:cs="Times New Roman"/>
          <w:color w:val="000000"/>
          <w:kern w:val="0"/>
          <w:szCs w:val="20"/>
        </w:rPr>
        <w:t xml:space="preserve"> to define the ROIs in this study. The AAL template was inversely registered to each native T1-MRI using an inverse transformation matrix in each individual. The ROIs were used to calculate the </w:t>
      </w:r>
      <w:r w:rsidRPr="001C2228">
        <w:rPr>
          <w:rFonts w:cs="Times New Roman"/>
          <w:szCs w:val="20"/>
        </w:rPr>
        <w:t>standard uptake value ratio (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), perform partial volume correction (PVC), and measure the regional PET uptakes in </w:t>
      </w:r>
      <w:r w:rsidRPr="00B27A68">
        <w:rPr>
          <w:rFonts w:cs="Times New Roman"/>
          <w:szCs w:val="20"/>
        </w:rPr>
        <w:t>PET image processing.</w:t>
      </w:r>
      <w:r w:rsidRPr="00B27A68">
        <w:rPr>
          <w:rFonts w:cs="Times New Roman"/>
          <w:color w:val="000000"/>
          <w:kern w:val="0"/>
          <w:szCs w:val="20"/>
        </w:rPr>
        <w:t xml:space="preserve"> The n</w:t>
      </w:r>
      <w:r w:rsidRPr="00B27A68">
        <w:rPr>
          <w:rFonts w:cs="Times New Roman"/>
          <w:szCs w:val="20"/>
        </w:rPr>
        <w:t xml:space="preserve">ative MRIs were automatically mapped onto a common surface template using a surface-based averaging technique considering cortical folding patterns, and cortical thickness was calculated by measuring the inner and outer surfaces via </w:t>
      </w:r>
      <w:proofErr w:type="spellStart"/>
      <w:r w:rsidRPr="00B27A68">
        <w:rPr>
          <w:rFonts w:cs="Times New Roman"/>
          <w:szCs w:val="20"/>
        </w:rPr>
        <w:t>FreeSurfer</w:t>
      </w:r>
      <w:proofErr w:type="spellEnd"/>
      <w:r w:rsidRPr="00B27A68">
        <w:rPr>
          <w:rFonts w:cs="Times New Roman"/>
          <w:szCs w:val="20"/>
        </w:rPr>
        <w:t>.</w:t>
      </w:r>
    </w:p>
    <w:p w14:paraId="339ECBAF" w14:textId="77777777" w:rsidR="00CA52AD" w:rsidRPr="00B27A68" w:rsidRDefault="00CA52AD" w:rsidP="00B27A68">
      <w:pPr>
        <w:spacing w:line="480" w:lineRule="auto"/>
        <w:rPr>
          <w:rFonts w:cs="Times New Roman"/>
          <w:b/>
          <w:bCs/>
          <w:szCs w:val="20"/>
        </w:rPr>
      </w:pPr>
      <w:r w:rsidRPr="00B27A68">
        <w:rPr>
          <w:rFonts w:cs="Times New Roman"/>
          <w:b/>
          <w:bCs/>
          <w:szCs w:val="20"/>
        </w:rPr>
        <w:t>PET data preprocessing</w:t>
      </w:r>
    </w:p>
    <w:p w14:paraId="6DF8D449" w14:textId="7178FF97" w:rsidR="00CA52AD" w:rsidRDefault="00CA52AD" w:rsidP="00B27A68">
      <w:pPr>
        <w:wordWrap/>
        <w:spacing w:after="0" w:line="480" w:lineRule="auto"/>
        <w:rPr>
          <w:rFonts w:cs="Times New Roman"/>
          <w:szCs w:val="20"/>
        </w:rPr>
      </w:pPr>
      <w:r w:rsidRPr="00B27A68">
        <w:rPr>
          <w:rFonts w:cs="Times New Roman"/>
          <w:snapToGrid w:val="0"/>
          <w:szCs w:val="20"/>
        </w:rPr>
        <w:t xml:space="preserve">Both FBP PET and tau PET data were processed using the </w:t>
      </w:r>
      <w:proofErr w:type="spellStart"/>
      <w:r w:rsidRPr="00B27A68">
        <w:rPr>
          <w:rFonts w:cs="Times New Roman"/>
          <w:snapToGrid w:val="0"/>
          <w:szCs w:val="20"/>
        </w:rPr>
        <w:t>FMRIB</w:t>
      </w:r>
      <w:proofErr w:type="spellEnd"/>
      <w:r w:rsidRPr="00B27A68">
        <w:rPr>
          <w:rFonts w:cs="Times New Roman"/>
          <w:snapToGrid w:val="0"/>
          <w:szCs w:val="20"/>
        </w:rPr>
        <w:t xml:space="preserve"> Software Library (</w:t>
      </w:r>
      <w:proofErr w:type="spellStart"/>
      <w:r w:rsidRPr="00B27A68">
        <w:rPr>
          <w:rFonts w:cs="Times New Roman"/>
          <w:snapToGrid w:val="0"/>
          <w:szCs w:val="20"/>
        </w:rPr>
        <w:t>FSL</w:t>
      </w:r>
      <w:proofErr w:type="spellEnd"/>
      <w:r w:rsidRPr="00B27A68">
        <w:rPr>
          <w:rFonts w:cs="Times New Roman"/>
          <w:snapToGrid w:val="0"/>
          <w:szCs w:val="20"/>
        </w:rPr>
        <w:t xml:space="preserve">; </w:t>
      </w:r>
      <w:hyperlink r:id="rId7" w:history="1">
        <w:r w:rsidR="00900D13" w:rsidRPr="00B27A68">
          <w:rPr>
            <w:rStyle w:val="a3"/>
            <w:rFonts w:cs="Times New Roman"/>
            <w:snapToGrid w:val="0"/>
            <w:szCs w:val="20"/>
          </w:rPr>
          <w:t>http://fsl.fmrib.ox.ac.uk</w:t>
        </w:r>
      </w:hyperlink>
      <w:r w:rsidRPr="00B27A68">
        <w:rPr>
          <w:rFonts w:cs="Times New Roman"/>
          <w:snapToGrid w:val="0"/>
          <w:szCs w:val="20"/>
        </w:rPr>
        <w:t xml:space="preserve">) and the </w:t>
      </w:r>
      <w:proofErr w:type="spellStart"/>
      <w:r w:rsidRPr="00B27A68">
        <w:rPr>
          <w:rFonts w:cs="Times New Roman"/>
          <w:snapToGrid w:val="0"/>
          <w:szCs w:val="20"/>
        </w:rPr>
        <w:t>FreeSurfer</w:t>
      </w:r>
      <w:proofErr w:type="spellEnd"/>
      <w:r w:rsidRPr="00B27A68">
        <w:rPr>
          <w:rFonts w:cs="Times New Roman"/>
          <w:snapToGrid w:val="0"/>
          <w:szCs w:val="20"/>
        </w:rPr>
        <w:t xml:space="preserve"> </w:t>
      </w:r>
      <w:proofErr w:type="spellStart"/>
      <w:r w:rsidRPr="00B27A68">
        <w:rPr>
          <w:rFonts w:cs="Times New Roman"/>
          <w:snapToGrid w:val="0"/>
          <w:szCs w:val="20"/>
        </w:rPr>
        <w:t>PetSurfer</w:t>
      </w:r>
      <w:proofErr w:type="spellEnd"/>
      <w:r w:rsidRPr="00B27A68">
        <w:rPr>
          <w:rFonts w:cs="Times New Roman"/>
          <w:snapToGrid w:val="0"/>
          <w:szCs w:val="20"/>
        </w:rPr>
        <w:t xml:space="preserve"> procedure (</w:t>
      </w:r>
      <w:proofErr w:type="spellStart"/>
      <w:r w:rsidRPr="00B27A68">
        <w:rPr>
          <w:rFonts w:cs="Times New Roman"/>
          <w:snapToGrid w:val="0"/>
          <w:szCs w:val="20"/>
        </w:rPr>
        <w:t>FreeSurfer</w:t>
      </w:r>
      <w:proofErr w:type="spellEnd"/>
      <w:r w:rsidRPr="00B27A68">
        <w:rPr>
          <w:rFonts w:cs="Times New Roman"/>
          <w:snapToGrid w:val="0"/>
          <w:szCs w:val="20"/>
        </w:rPr>
        <w:t xml:space="preserve"> version 6.0.0; </w:t>
      </w:r>
      <w:hyperlink r:id="rId8" w:history="1">
        <w:r w:rsidR="00900D13" w:rsidRPr="00B27A68">
          <w:rPr>
            <w:rStyle w:val="a3"/>
            <w:rFonts w:cs="Times New Roman"/>
            <w:snapToGrid w:val="0"/>
            <w:szCs w:val="20"/>
          </w:rPr>
          <w:t>http://surfer.nmr.mgh.harvard.edu/fswikiPetSurfer</w:t>
        </w:r>
      </w:hyperlink>
      <w:r w:rsidRPr="00B27A68">
        <w:rPr>
          <w:rFonts w:cs="Times New Roman"/>
          <w:snapToGrid w:val="0"/>
          <w:szCs w:val="20"/>
        </w:rPr>
        <w:t xml:space="preserve">) to perform co-registration, calculate </w:t>
      </w:r>
      <w:proofErr w:type="spellStart"/>
      <w:r w:rsidRPr="00B27A68">
        <w:rPr>
          <w:rFonts w:cs="Times New Roman"/>
          <w:snapToGrid w:val="0"/>
          <w:szCs w:val="20"/>
        </w:rPr>
        <w:t>SUVRs</w:t>
      </w:r>
      <w:proofErr w:type="spellEnd"/>
      <w:r w:rsidRPr="00B27A68">
        <w:rPr>
          <w:rFonts w:cs="Times New Roman"/>
          <w:snapToGrid w:val="0"/>
          <w:szCs w:val="20"/>
        </w:rPr>
        <w:t xml:space="preserve">, and perform PVC </w:t>
      </w:r>
      <w:r w:rsidR="00C16E18">
        <w:rPr>
          <w:rFonts w:cs="Times New Roman"/>
          <w:snapToGrid w:val="0"/>
          <w:szCs w:val="20"/>
        </w:rPr>
        <w:t>[5]</w:t>
      </w:r>
      <w:r w:rsidRPr="00B27A68">
        <w:rPr>
          <w:rFonts w:cs="Times New Roman"/>
          <w:snapToGrid w:val="0"/>
          <w:szCs w:val="20"/>
        </w:rPr>
        <w:t>. Each individual FBP PET or tau PET image was co-registered to the corresponding native T1-weighted MRI using rigid-body registration with a mutual information cost function. AAL ROIs that segmented individual MRIs were inversely registered to each individual FBP PET or tau PET scan using an</w:t>
      </w:r>
      <w:r w:rsidRPr="00B27A68">
        <w:rPr>
          <w:rFonts w:cs="Times New Roman"/>
          <w:szCs w:val="20"/>
        </w:rPr>
        <w:t xml:space="preserve"> inverse transformation of each co-registration matrix. Then, each individual FBP PET or tau PET scan was normalized to the mean value in the cerebellar gray reference region to calculate the </w:t>
      </w:r>
      <w:proofErr w:type="spellStart"/>
      <w:r w:rsidRPr="00B27A68">
        <w:rPr>
          <w:rFonts w:cs="Times New Roman"/>
          <w:szCs w:val="20"/>
        </w:rPr>
        <w:t>SUVR</w:t>
      </w:r>
      <w:proofErr w:type="spellEnd"/>
      <w:r w:rsidRPr="00B27A68">
        <w:rPr>
          <w:rFonts w:cs="Times New Roman"/>
          <w:szCs w:val="20"/>
        </w:rPr>
        <w:t xml:space="preserve"> </w:t>
      </w:r>
      <w:r w:rsidR="00B27A68">
        <w:rPr>
          <w:rFonts w:cs="Times New Roman"/>
          <w:szCs w:val="20"/>
        </w:rPr>
        <w:t>[</w:t>
      </w:r>
      <w:r w:rsidR="00C16E18">
        <w:rPr>
          <w:rFonts w:cs="Times New Roman"/>
          <w:szCs w:val="20"/>
        </w:rPr>
        <w:t>6</w:t>
      </w:r>
      <w:r w:rsidR="00B27A68">
        <w:rPr>
          <w:rFonts w:cs="Times New Roman"/>
          <w:szCs w:val="20"/>
        </w:rPr>
        <w:t>]</w:t>
      </w:r>
      <w:r w:rsidRPr="00B27A68">
        <w:rPr>
          <w:rFonts w:cs="Times New Roman"/>
          <w:szCs w:val="20"/>
        </w:rPr>
        <w:t>. PVC was performed in all PET images using an extended Müller-</w:t>
      </w:r>
      <w:proofErr w:type="spellStart"/>
      <w:r w:rsidRPr="00B27A68">
        <w:rPr>
          <w:rFonts w:cs="Times New Roman"/>
          <w:szCs w:val="20"/>
        </w:rPr>
        <w:t>Gärtner</w:t>
      </w:r>
      <w:proofErr w:type="spellEnd"/>
      <w:r w:rsidRPr="00B27A68">
        <w:rPr>
          <w:rFonts w:cs="Times New Roman"/>
          <w:szCs w:val="20"/>
        </w:rPr>
        <w:t xml:space="preserve"> method in the </w:t>
      </w:r>
      <w:proofErr w:type="spellStart"/>
      <w:r w:rsidRPr="00B27A68">
        <w:rPr>
          <w:rFonts w:cs="Times New Roman"/>
          <w:szCs w:val="20"/>
        </w:rPr>
        <w:t>PetSurfer</w:t>
      </w:r>
      <w:proofErr w:type="spellEnd"/>
      <w:r w:rsidRPr="00B27A68">
        <w:rPr>
          <w:rFonts w:cs="Times New Roman"/>
          <w:szCs w:val="20"/>
        </w:rPr>
        <w:t xml:space="preserve"> procedure to estimate the true radioactivity concentration in a human brain (GM only) considering the heterogeneity of GM activity in a four-compartment model </w:t>
      </w:r>
      <w:r w:rsidR="00C16E18">
        <w:rPr>
          <w:rFonts w:cs="Times New Roman"/>
          <w:szCs w:val="20"/>
        </w:rPr>
        <w:t>[7]</w:t>
      </w:r>
      <w:r w:rsidRPr="00B27A68">
        <w:rPr>
          <w:rFonts w:cs="Times New Roman"/>
          <w:szCs w:val="20"/>
        </w:rPr>
        <w:t>. The GM threshold for PVC was set at 0.1, and the point spread function for PVC was estimated to be 8 mm. Then, individual PVC FBP-</w:t>
      </w:r>
      <w:proofErr w:type="spellStart"/>
      <w:r w:rsidRPr="00B27A68">
        <w:rPr>
          <w:rFonts w:cs="Times New Roman"/>
          <w:szCs w:val="20"/>
        </w:rPr>
        <w:t>SUVR</w:t>
      </w:r>
      <w:proofErr w:type="spellEnd"/>
      <w:r w:rsidRPr="00B27A68">
        <w:rPr>
          <w:rFonts w:cs="Times New Roman"/>
          <w:szCs w:val="20"/>
        </w:rPr>
        <w:t xml:space="preserve"> and tau-</w:t>
      </w:r>
      <w:proofErr w:type="spellStart"/>
      <w:r w:rsidRPr="00B27A68">
        <w:rPr>
          <w:rFonts w:cs="Times New Roman"/>
          <w:szCs w:val="20"/>
        </w:rPr>
        <w:t>SUVR</w:t>
      </w:r>
      <w:proofErr w:type="spellEnd"/>
      <w:r w:rsidRPr="00B27A68">
        <w:rPr>
          <w:rFonts w:cs="Times New Roman"/>
          <w:szCs w:val="20"/>
        </w:rPr>
        <w:t xml:space="preserve"> images were co-registered to the corresponding MRI and then the </w:t>
      </w:r>
      <w:proofErr w:type="spellStart"/>
      <w:r w:rsidRPr="00B27A68">
        <w:rPr>
          <w:rFonts w:cs="Times New Roman"/>
          <w:szCs w:val="20"/>
        </w:rPr>
        <w:t>MNI</w:t>
      </w:r>
      <w:proofErr w:type="spellEnd"/>
      <w:r w:rsidRPr="00B27A68">
        <w:rPr>
          <w:rFonts w:cs="Times New Roman"/>
          <w:szCs w:val="20"/>
        </w:rPr>
        <w:t xml:space="preserve">/ICBM template using the transformation matrixes obtained from the previous step. The registered volume–based PVC PET </w:t>
      </w:r>
      <w:proofErr w:type="spellStart"/>
      <w:r w:rsidRPr="00B27A68">
        <w:rPr>
          <w:rFonts w:cs="Times New Roman"/>
          <w:szCs w:val="20"/>
        </w:rPr>
        <w:t>SUVR</w:t>
      </w:r>
      <w:proofErr w:type="spellEnd"/>
      <w:r w:rsidRPr="00B27A68">
        <w:rPr>
          <w:rFonts w:cs="Times New Roman"/>
          <w:szCs w:val="20"/>
        </w:rPr>
        <w:t xml:space="preserve"> images for each individual were sampled onto the cortical surface by mapping the value </w:t>
      </w:r>
      <w:r w:rsidRPr="00B27A68">
        <w:rPr>
          <w:rFonts w:cs="Times New Roman"/>
          <w:szCs w:val="20"/>
        </w:rPr>
        <w:lastRenderedPageBreak/>
        <w:t xml:space="preserve">of the middle point between the inner and outer surfaces of each vertex point via the </w:t>
      </w:r>
      <w:proofErr w:type="spellStart"/>
      <w:r w:rsidRPr="00B27A68">
        <w:rPr>
          <w:rFonts w:cs="Times New Roman"/>
          <w:szCs w:val="20"/>
        </w:rPr>
        <w:t>FreeSurfer</w:t>
      </w:r>
      <w:proofErr w:type="spellEnd"/>
      <w:r w:rsidRPr="00B27A68">
        <w:rPr>
          <w:rFonts w:cs="Times New Roman"/>
          <w:szCs w:val="20"/>
        </w:rPr>
        <w:t xml:space="preserve"> procedure for a vertex-wise group analysis.</w:t>
      </w:r>
    </w:p>
    <w:p w14:paraId="201520D0" w14:textId="77777777" w:rsidR="00B27A68" w:rsidRDefault="00B27A68" w:rsidP="00B27A68">
      <w:pPr>
        <w:wordWrap/>
        <w:spacing w:after="0" w:line="480" w:lineRule="auto"/>
        <w:rPr>
          <w:rFonts w:cs="Times New Roman"/>
          <w:szCs w:val="20"/>
        </w:rPr>
        <w:sectPr w:rsidR="00B27A6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9D51193" w14:textId="6639A1AB" w:rsidR="00B27A68" w:rsidRPr="00B27A68" w:rsidRDefault="00B27A68" w:rsidP="00B27A68">
      <w:pPr>
        <w:wordWrap/>
        <w:spacing w:after="0" w:line="480" w:lineRule="auto"/>
        <w:rPr>
          <w:rFonts w:cs="Times New Roman"/>
          <w:b/>
          <w:bCs/>
          <w:szCs w:val="20"/>
        </w:rPr>
      </w:pPr>
      <w:r w:rsidRPr="00B27A68">
        <w:rPr>
          <w:rFonts w:cs="Times New Roman" w:hint="eastAsia"/>
          <w:b/>
          <w:bCs/>
          <w:szCs w:val="20"/>
        </w:rPr>
        <w:lastRenderedPageBreak/>
        <w:t>R</w:t>
      </w:r>
      <w:r w:rsidRPr="00B27A68">
        <w:rPr>
          <w:rFonts w:cs="Times New Roman"/>
          <w:b/>
          <w:bCs/>
          <w:szCs w:val="20"/>
        </w:rPr>
        <w:t>eferences</w:t>
      </w:r>
    </w:p>
    <w:p w14:paraId="2639A060" w14:textId="659888A1" w:rsidR="00900D13" w:rsidRPr="00B27A68" w:rsidRDefault="00900D13" w:rsidP="00B27A68">
      <w:pPr>
        <w:wordWrap/>
        <w:adjustRightInd w:val="0"/>
        <w:spacing w:after="0" w:line="480" w:lineRule="auto"/>
        <w:ind w:left="200" w:hangingChars="100" w:hanging="200"/>
        <w:jc w:val="left"/>
        <w:rPr>
          <w:rFonts w:eastAsia="AdvP0036" w:cs="Times New Roman"/>
          <w:kern w:val="0"/>
          <w:szCs w:val="20"/>
        </w:rPr>
      </w:pPr>
      <w:r w:rsidRPr="00B27A68">
        <w:rPr>
          <w:rFonts w:eastAsia="AdvP0036" w:cs="Times New Roman"/>
          <w:kern w:val="0"/>
          <w:szCs w:val="20"/>
        </w:rPr>
        <w:t xml:space="preserve">1. Dale AM, </w:t>
      </w:r>
      <w:proofErr w:type="spellStart"/>
      <w:r w:rsidRPr="00B27A68">
        <w:rPr>
          <w:rFonts w:eastAsia="AdvP0036" w:cs="Times New Roman"/>
          <w:kern w:val="0"/>
          <w:szCs w:val="20"/>
        </w:rPr>
        <w:t>Fischl</w:t>
      </w:r>
      <w:proofErr w:type="spellEnd"/>
      <w:r w:rsidRPr="00B27A68">
        <w:rPr>
          <w:rFonts w:eastAsia="AdvP0036" w:cs="Times New Roman"/>
          <w:kern w:val="0"/>
          <w:szCs w:val="20"/>
        </w:rPr>
        <w:t xml:space="preserve"> B, Sereno MI. Cortical surface-based analysis. I. Segmentation and surface reconstruction. Neuroimage. 1999;9(2):179-94.</w:t>
      </w:r>
    </w:p>
    <w:p w14:paraId="0BCA4ABC" w14:textId="48CDA0C0" w:rsidR="00900D13" w:rsidRPr="00B27A68" w:rsidRDefault="00B27A68" w:rsidP="00B27A68">
      <w:pPr>
        <w:wordWrap/>
        <w:adjustRightInd w:val="0"/>
        <w:spacing w:after="0" w:line="480" w:lineRule="auto"/>
        <w:ind w:left="200" w:hangingChars="100" w:hanging="200"/>
        <w:jc w:val="left"/>
        <w:rPr>
          <w:rFonts w:eastAsia="AdvP0036" w:cs="Times New Roman"/>
          <w:kern w:val="0"/>
          <w:szCs w:val="20"/>
        </w:rPr>
      </w:pPr>
      <w:r>
        <w:rPr>
          <w:rFonts w:eastAsia="AdvP0036" w:cs="Times New Roman"/>
          <w:kern w:val="0"/>
          <w:szCs w:val="20"/>
        </w:rPr>
        <w:t>2</w:t>
      </w:r>
      <w:r w:rsidR="00900D13" w:rsidRPr="00B27A68">
        <w:rPr>
          <w:rFonts w:eastAsia="AdvP0036" w:cs="Times New Roman"/>
          <w:kern w:val="0"/>
          <w:szCs w:val="20"/>
        </w:rPr>
        <w:t xml:space="preserve">.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Desikan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RS,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Ségonne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F,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Fischl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B, Quinn BT, Dickerson BC, Blacker D, et al. An automated labeling system for subdividing the human cerebral cortex on MRI scans into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gyral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based regions of interest. Neuroimage. 2006;31(3):968-80.</w:t>
      </w:r>
    </w:p>
    <w:p w14:paraId="1E5FB60E" w14:textId="0181A3FF" w:rsidR="00C102BF" w:rsidRPr="00B27A68" w:rsidRDefault="00B27A68" w:rsidP="00B27A68">
      <w:pPr>
        <w:wordWrap/>
        <w:adjustRightInd w:val="0"/>
        <w:spacing w:after="0" w:line="480" w:lineRule="auto"/>
        <w:ind w:left="200" w:hangingChars="100" w:hanging="200"/>
        <w:jc w:val="left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3. </w:t>
      </w:r>
      <w:proofErr w:type="spellStart"/>
      <w:r w:rsidR="00C102BF" w:rsidRPr="00B27A68">
        <w:rPr>
          <w:rFonts w:cs="Times New Roman"/>
          <w:szCs w:val="20"/>
        </w:rPr>
        <w:t>Ségonne</w:t>
      </w:r>
      <w:proofErr w:type="spellEnd"/>
      <w:r w:rsidR="00C102BF" w:rsidRPr="00B27A68">
        <w:rPr>
          <w:rFonts w:cs="Times New Roman"/>
          <w:szCs w:val="20"/>
        </w:rPr>
        <w:t xml:space="preserve"> F, Dale AM, </w:t>
      </w:r>
      <w:proofErr w:type="spellStart"/>
      <w:r w:rsidR="00C102BF" w:rsidRPr="00B27A68">
        <w:rPr>
          <w:rFonts w:cs="Times New Roman"/>
          <w:szCs w:val="20"/>
        </w:rPr>
        <w:t>Busa</w:t>
      </w:r>
      <w:proofErr w:type="spellEnd"/>
      <w:r w:rsidR="00C102BF" w:rsidRPr="00B27A68">
        <w:rPr>
          <w:rFonts w:cs="Times New Roman"/>
          <w:szCs w:val="20"/>
        </w:rPr>
        <w:t xml:space="preserve"> E, </w:t>
      </w:r>
      <w:proofErr w:type="spellStart"/>
      <w:r w:rsidR="00C102BF" w:rsidRPr="00B27A68">
        <w:rPr>
          <w:rFonts w:cs="Times New Roman"/>
          <w:szCs w:val="20"/>
        </w:rPr>
        <w:t>Glessner</w:t>
      </w:r>
      <w:proofErr w:type="spellEnd"/>
      <w:r w:rsidR="00C102BF" w:rsidRPr="00B27A68">
        <w:rPr>
          <w:rFonts w:cs="Times New Roman"/>
          <w:szCs w:val="20"/>
        </w:rPr>
        <w:t xml:space="preserve"> M, Salat D, Hahn HK, et al. A hybrid approach to the skull stripping problem in MRI. Neuroimage. 2004;22(3):1060-75.</w:t>
      </w:r>
    </w:p>
    <w:p w14:paraId="7BDF6342" w14:textId="281CFEC5" w:rsidR="00900D13" w:rsidRPr="00B27A68" w:rsidRDefault="00B27A68" w:rsidP="00B27A68">
      <w:pPr>
        <w:wordWrap/>
        <w:adjustRightInd w:val="0"/>
        <w:spacing w:after="0" w:line="480" w:lineRule="auto"/>
        <w:ind w:left="200" w:hangingChars="100" w:hanging="200"/>
        <w:jc w:val="left"/>
        <w:rPr>
          <w:rFonts w:eastAsia="AdvP0036" w:cs="Times New Roman"/>
          <w:kern w:val="0"/>
          <w:szCs w:val="20"/>
        </w:rPr>
      </w:pPr>
      <w:r>
        <w:rPr>
          <w:rFonts w:eastAsia="AdvP0036" w:cs="Times New Roman"/>
          <w:kern w:val="0"/>
          <w:szCs w:val="20"/>
        </w:rPr>
        <w:t>4</w:t>
      </w:r>
      <w:r w:rsidR="00900D13" w:rsidRPr="00B27A68">
        <w:rPr>
          <w:rFonts w:eastAsia="AdvP0036" w:cs="Times New Roman"/>
          <w:kern w:val="0"/>
          <w:szCs w:val="20"/>
        </w:rPr>
        <w:t xml:space="preserve">.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Tzourio-Mazoyer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N, Landeau B, Papathanassiou D, Crivello F,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Etard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O, Delcroix N, et al. Automated anatomical labeling of activations in SPM using a macroscopic anatomical parcellation of the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MNI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MRI single-subject brain. Neuroimage. 2002;15(1):273-89.</w:t>
      </w:r>
    </w:p>
    <w:p w14:paraId="59091474" w14:textId="75020099" w:rsidR="00C102BF" w:rsidRPr="00B27A68" w:rsidRDefault="00B27A68" w:rsidP="00B27A68">
      <w:pPr>
        <w:wordWrap/>
        <w:adjustRightInd w:val="0"/>
        <w:spacing w:after="0" w:line="480" w:lineRule="auto"/>
        <w:ind w:left="200" w:hangingChars="100" w:hanging="200"/>
        <w:jc w:val="left"/>
        <w:rPr>
          <w:rFonts w:cs="Times New Roman"/>
          <w:snapToGrid w:val="0"/>
          <w:szCs w:val="20"/>
        </w:rPr>
      </w:pPr>
      <w:r>
        <w:rPr>
          <w:rFonts w:cs="Times New Roman"/>
          <w:snapToGrid w:val="0"/>
          <w:szCs w:val="20"/>
        </w:rPr>
        <w:t xml:space="preserve">5. </w:t>
      </w:r>
      <w:proofErr w:type="spellStart"/>
      <w:r w:rsidR="00C102BF" w:rsidRPr="00B27A68">
        <w:rPr>
          <w:rFonts w:cs="Times New Roman"/>
          <w:snapToGrid w:val="0"/>
          <w:szCs w:val="20"/>
        </w:rPr>
        <w:t>Greve</w:t>
      </w:r>
      <w:proofErr w:type="spellEnd"/>
      <w:r w:rsidR="00C102BF" w:rsidRPr="00B27A68">
        <w:rPr>
          <w:rFonts w:cs="Times New Roman"/>
          <w:snapToGrid w:val="0"/>
          <w:szCs w:val="20"/>
        </w:rPr>
        <w:t xml:space="preserve"> DN, Salat DH, Bowen SL, </w:t>
      </w:r>
      <w:proofErr w:type="spellStart"/>
      <w:r w:rsidR="00C102BF" w:rsidRPr="00B27A68">
        <w:rPr>
          <w:rFonts w:cs="Times New Roman"/>
          <w:snapToGrid w:val="0"/>
          <w:szCs w:val="20"/>
        </w:rPr>
        <w:t>Izquierdo</w:t>
      </w:r>
      <w:proofErr w:type="spellEnd"/>
      <w:r w:rsidR="00C102BF" w:rsidRPr="00B27A68">
        <w:rPr>
          <w:rFonts w:cs="Times New Roman"/>
          <w:snapToGrid w:val="0"/>
          <w:szCs w:val="20"/>
        </w:rPr>
        <w:t xml:space="preserve">-Garcia D, Schultz AP, </w:t>
      </w:r>
      <w:proofErr w:type="spellStart"/>
      <w:r w:rsidR="00C102BF" w:rsidRPr="00B27A68">
        <w:rPr>
          <w:rFonts w:cs="Times New Roman"/>
          <w:snapToGrid w:val="0"/>
          <w:szCs w:val="20"/>
        </w:rPr>
        <w:t>Catana</w:t>
      </w:r>
      <w:proofErr w:type="spellEnd"/>
      <w:r w:rsidR="00C102BF" w:rsidRPr="00B27A68">
        <w:rPr>
          <w:rFonts w:cs="Times New Roman"/>
          <w:snapToGrid w:val="0"/>
          <w:szCs w:val="20"/>
        </w:rPr>
        <w:t xml:space="preserve"> C, et al. Different partial volume correction methods lead to different conclusions: An (18)F-</w:t>
      </w:r>
      <w:proofErr w:type="spellStart"/>
      <w:r w:rsidR="00C102BF" w:rsidRPr="00B27A68">
        <w:rPr>
          <w:rFonts w:cs="Times New Roman"/>
          <w:snapToGrid w:val="0"/>
          <w:szCs w:val="20"/>
        </w:rPr>
        <w:t>FDG</w:t>
      </w:r>
      <w:proofErr w:type="spellEnd"/>
      <w:r w:rsidR="00C102BF" w:rsidRPr="00B27A68">
        <w:rPr>
          <w:rFonts w:cs="Times New Roman"/>
          <w:snapToGrid w:val="0"/>
          <w:szCs w:val="20"/>
        </w:rPr>
        <w:t xml:space="preserve">-PET study of aging. Neuroimage. </w:t>
      </w:r>
      <w:proofErr w:type="gramStart"/>
      <w:r w:rsidR="00C102BF" w:rsidRPr="00B27A68">
        <w:rPr>
          <w:rFonts w:cs="Times New Roman"/>
          <w:snapToGrid w:val="0"/>
          <w:szCs w:val="20"/>
        </w:rPr>
        <w:t>2016;132:334</w:t>
      </w:r>
      <w:proofErr w:type="gramEnd"/>
      <w:r w:rsidR="00C102BF" w:rsidRPr="00B27A68">
        <w:rPr>
          <w:rFonts w:cs="Times New Roman"/>
          <w:snapToGrid w:val="0"/>
          <w:szCs w:val="20"/>
        </w:rPr>
        <w:t>-43.</w:t>
      </w:r>
    </w:p>
    <w:p w14:paraId="6FAF3E91" w14:textId="76D357B6" w:rsidR="00900D13" w:rsidRPr="00B27A68" w:rsidRDefault="00B27A68" w:rsidP="00B27A68">
      <w:pPr>
        <w:wordWrap/>
        <w:adjustRightInd w:val="0"/>
        <w:spacing w:after="0" w:line="480" w:lineRule="auto"/>
        <w:ind w:left="200" w:hangingChars="100" w:hanging="200"/>
        <w:jc w:val="left"/>
        <w:rPr>
          <w:rFonts w:eastAsia="AdvP0036" w:cs="Times New Roman"/>
          <w:kern w:val="0"/>
          <w:szCs w:val="20"/>
        </w:rPr>
      </w:pPr>
      <w:r>
        <w:rPr>
          <w:rFonts w:eastAsia="AdvP0036" w:cs="Times New Roman"/>
          <w:kern w:val="0"/>
          <w:szCs w:val="20"/>
        </w:rPr>
        <w:t>6</w:t>
      </w:r>
      <w:r w:rsidR="00900D13" w:rsidRPr="00B27A68">
        <w:rPr>
          <w:rFonts w:eastAsia="AdvP0036" w:cs="Times New Roman"/>
          <w:kern w:val="0"/>
          <w:szCs w:val="20"/>
        </w:rPr>
        <w:t xml:space="preserve">.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Sepulcre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J,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Grothe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MJ,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d'Oleire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</w:t>
      </w:r>
      <w:proofErr w:type="spellStart"/>
      <w:r w:rsidR="00900D13" w:rsidRPr="00B27A68">
        <w:rPr>
          <w:rFonts w:eastAsia="AdvP0036" w:cs="Times New Roman"/>
          <w:kern w:val="0"/>
          <w:szCs w:val="20"/>
        </w:rPr>
        <w:t>Uquillas</w:t>
      </w:r>
      <w:proofErr w:type="spellEnd"/>
      <w:r w:rsidR="00900D13" w:rsidRPr="00B27A68">
        <w:rPr>
          <w:rFonts w:eastAsia="AdvP0036" w:cs="Times New Roman"/>
          <w:kern w:val="0"/>
          <w:szCs w:val="20"/>
        </w:rPr>
        <w:t xml:space="preserve"> F, Ortiz‐Teran L, Diez I, Yang HS, et al. Neurogenetic contributions to amyloid beta and tau spreading in the human cortex. Nat Med. 2018;24(12):1910-8. </w:t>
      </w:r>
    </w:p>
    <w:p w14:paraId="3DE2B870" w14:textId="5D5DBB6B" w:rsidR="00B27A68" w:rsidRDefault="00B27A68" w:rsidP="00B27A68">
      <w:pPr>
        <w:wordWrap/>
        <w:spacing w:line="480" w:lineRule="auto"/>
        <w:ind w:left="200" w:hangingChars="100" w:hanging="200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7. </w:t>
      </w:r>
      <w:r w:rsidRPr="00B27A68">
        <w:rPr>
          <w:rFonts w:cs="Times New Roman"/>
          <w:szCs w:val="20"/>
        </w:rPr>
        <w:t>Müller-</w:t>
      </w:r>
      <w:proofErr w:type="spellStart"/>
      <w:r w:rsidRPr="00B27A68">
        <w:rPr>
          <w:rFonts w:cs="Times New Roman"/>
          <w:szCs w:val="20"/>
        </w:rPr>
        <w:t>Gärtner</w:t>
      </w:r>
      <w:proofErr w:type="spellEnd"/>
      <w:r w:rsidRPr="00B27A68">
        <w:rPr>
          <w:rFonts w:cs="Times New Roman"/>
          <w:szCs w:val="20"/>
        </w:rPr>
        <w:t xml:space="preserve"> </w:t>
      </w:r>
      <w:proofErr w:type="spellStart"/>
      <w:r w:rsidRPr="00B27A68">
        <w:rPr>
          <w:rFonts w:cs="Times New Roman"/>
          <w:szCs w:val="20"/>
        </w:rPr>
        <w:t>HW</w:t>
      </w:r>
      <w:proofErr w:type="spellEnd"/>
      <w:r w:rsidRPr="00B27A68">
        <w:rPr>
          <w:rFonts w:cs="Times New Roman"/>
          <w:szCs w:val="20"/>
        </w:rPr>
        <w:t xml:space="preserve">, Links JM, Prince </w:t>
      </w:r>
      <w:proofErr w:type="spellStart"/>
      <w:r w:rsidRPr="00B27A68">
        <w:rPr>
          <w:rFonts w:cs="Times New Roman"/>
          <w:szCs w:val="20"/>
        </w:rPr>
        <w:t>JL</w:t>
      </w:r>
      <w:proofErr w:type="spellEnd"/>
      <w:r w:rsidRPr="00B27A68">
        <w:rPr>
          <w:rFonts w:cs="Times New Roman"/>
          <w:szCs w:val="20"/>
        </w:rPr>
        <w:t xml:space="preserve">, Bryan RN, McVeigh E, Leal JP, </w:t>
      </w:r>
      <w:r>
        <w:rPr>
          <w:rFonts w:cs="Times New Roman"/>
          <w:szCs w:val="20"/>
        </w:rPr>
        <w:t>et al</w:t>
      </w:r>
      <w:r w:rsidRPr="00B27A68">
        <w:rPr>
          <w:rFonts w:cs="Times New Roman"/>
          <w:szCs w:val="20"/>
        </w:rPr>
        <w:t>.</w:t>
      </w:r>
      <w:r>
        <w:rPr>
          <w:rFonts w:cs="Times New Roman"/>
          <w:szCs w:val="20"/>
        </w:rPr>
        <w:t xml:space="preserve"> </w:t>
      </w:r>
      <w:r w:rsidRPr="00B27A68">
        <w:rPr>
          <w:rFonts w:cs="Times New Roman"/>
          <w:szCs w:val="20"/>
        </w:rPr>
        <w:t xml:space="preserve">Measurement of radiotracer concentration in brain gray matter using positron emission tomography: MRI-based correction for partial volume effects. J </w:t>
      </w:r>
      <w:proofErr w:type="spellStart"/>
      <w:r w:rsidRPr="00B27A68">
        <w:rPr>
          <w:rFonts w:cs="Times New Roman"/>
          <w:szCs w:val="20"/>
        </w:rPr>
        <w:t>Cereb</w:t>
      </w:r>
      <w:proofErr w:type="spellEnd"/>
      <w:r w:rsidRPr="00B27A68">
        <w:rPr>
          <w:rFonts w:cs="Times New Roman"/>
          <w:szCs w:val="20"/>
        </w:rPr>
        <w:t xml:space="preserve"> Blood Flow </w:t>
      </w:r>
      <w:proofErr w:type="spellStart"/>
      <w:r w:rsidRPr="00B27A68">
        <w:rPr>
          <w:rFonts w:cs="Times New Roman"/>
          <w:szCs w:val="20"/>
        </w:rPr>
        <w:t>Metab</w:t>
      </w:r>
      <w:proofErr w:type="spellEnd"/>
      <w:r w:rsidRPr="00B27A68">
        <w:rPr>
          <w:rFonts w:cs="Times New Roman"/>
          <w:szCs w:val="20"/>
        </w:rPr>
        <w:t>. 1992;12(4):571-83</w:t>
      </w:r>
    </w:p>
    <w:p w14:paraId="6FEBE14B" w14:textId="472EE9E4" w:rsidR="00523810" w:rsidRDefault="00523810" w:rsidP="00B27A68">
      <w:pPr>
        <w:wordWrap/>
        <w:spacing w:line="480" w:lineRule="auto"/>
        <w:ind w:left="200" w:hangingChars="100" w:hanging="200"/>
        <w:rPr>
          <w:rFonts w:cs="Times New Roman"/>
          <w:szCs w:val="20"/>
        </w:rPr>
      </w:pPr>
    </w:p>
    <w:p w14:paraId="64486C3B" w14:textId="77777777" w:rsidR="00523810" w:rsidRDefault="00523810" w:rsidP="00523810">
      <w:pPr>
        <w:wordWrap/>
        <w:spacing w:after="0" w:line="480" w:lineRule="auto"/>
        <w:rPr>
          <w:rFonts w:cs="Times New Roman"/>
          <w:b/>
          <w:bCs/>
          <w:szCs w:val="20"/>
        </w:rPr>
        <w:sectPr w:rsidR="00523810" w:rsidSect="00523810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50A76E12" w14:textId="77777777" w:rsidR="00523810" w:rsidRDefault="00523810" w:rsidP="00523810">
      <w:pPr>
        <w:wordWrap/>
        <w:spacing w:after="0" w:line="480" w:lineRule="auto"/>
        <w:rPr>
          <w:rFonts w:cs="Times New Roman"/>
          <w:b/>
          <w:bCs/>
          <w:szCs w:val="20"/>
        </w:rPr>
      </w:pPr>
      <w:r w:rsidRPr="001C2228">
        <w:rPr>
          <w:rFonts w:cs="Times New Roman"/>
          <w:b/>
          <w:bCs/>
          <w:szCs w:val="20"/>
        </w:rPr>
        <w:lastRenderedPageBreak/>
        <w:t>Supplementary Fig</w:t>
      </w:r>
      <w:r>
        <w:rPr>
          <w:rFonts w:cs="Times New Roman"/>
          <w:b/>
          <w:bCs/>
          <w:szCs w:val="20"/>
        </w:rPr>
        <w:t>.</w:t>
      </w:r>
      <w:r w:rsidRPr="001C2228">
        <w:rPr>
          <w:rFonts w:cs="Times New Roman"/>
          <w:b/>
          <w:bCs/>
          <w:szCs w:val="20"/>
        </w:rPr>
        <w:t xml:space="preserve"> 1</w:t>
      </w:r>
      <w:r w:rsidRPr="001C2228">
        <w:rPr>
          <w:rFonts w:cs="Times New Roman"/>
          <w:szCs w:val="20"/>
        </w:rPr>
        <w:t xml:space="preserve"> Study flowchart</w:t>
      </w:r>
      <w:r w:rsidRPr="001C2228">
        <w:rPr>
          <w:rFonts w:cs="Times New Roman"/>
          <w:b/>
          <w:bCs/>
          <w:szCs w:val="20"/>
        </w:rPr>
        <w:t xml:space="preserve"> </w:t>
      </w:r>
    </w:p>
    <w:p w14:paraId="42368EF7" w14:textId="77777777" w:rsidR="00523810" w:rsidRPr="001C2228" w:rsidRDefault="00523810" w:rsidP="00523810">
      <w:pPr>
        <w:wordWrap/>
        <w:spacing w:after="0" w:line="480" w:lineRule="auto"/>
        <w:rPr>
          <w:rFonts w:cs="Times New Roman"/>
          <w:szCs w:val="20"/>
        </w:rPr>
      </w:pPr>
      <w:r w:rsidRPr="00435006">
        <w:rPr>
          <w:rFonts w:cs="Times New Roman"/>
          <w:i/>
          <w:iCs/>
          <w:szCs w:val="20"/>
        </w:rPr>
        <w:t xml:space="preserve">APOE4 </w:t>
      </w:r>
      <w:r w:rsidRPr="001C2228">
        <w:rPr>
          <w:rFonts w:cs="Times New Roman"/>
          <w:szCs w:val="20"/>
        </w:rPr>
        <w:t>apolipoprotein epsilon 4</w:t>
      </w:r>
    </w:p>
    <w:p w14:paraId="42177F2F" w14:textId="77777777" w:rsidR="00523810" w:rsidRPr="001C2228" w:rsidRDefault="00523810" w:rsidP="00523810">
      <w:pPr>
        <w:wordWrap/>
        <w:spacing w:after="0" w:line="480" w:lineRule="auto"/>
        <w:rPr>
          <w:rFonts w:cs="Times New Roman"/>
          <w:szCs w:val="20"/>
        </w:rPr>
      </w:pPr>
    </w:p>
    <w:p w14:paraId="1A7705AB" w14:textId="77777777" w:rsidR="00523810" w:rsidRDefault="00523810" w:rsidP="00523810">
      <w:pPr>
        <w:wordWrap/>
        <w:spacing w:after="0" w:line="480" w:lineRule="auto"/>
        <w:rPr>
          <w:rFonts w:cs="Times New Roman"/>
          <w:b/>
          <w:bCs/>
          <w:szCs w:val="20"/>
        </w:rPr>
        <w:sectPr w:rsidR="00523810" w:rsidSect="00523810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6321318F" w14:textId="77777777" w:rsidR="00523810" w:rsidRDefault="00523810" w:rsidP="00523810">
      <w:pPr>
        <w:wordWrap/>
        <w:spacing w:after="0" w:line="480" w:lineRule="auto"/>
        <w:rPr>
          <w:rFonts w:cs="Times New Roman"/>
          <w:szCs w:val="20"/>
        </w:rPr>
      </w:pPr>
      <w:r w:rsidRPr="001C2228">
        <w:rPr>
          <w:rFonts w:cs="Times New Roman"/>
          <w:b/>
          <w:bCs/>
          <w:szCs w:val="20"/>
        </w:rPr>
        <w:lastRenderedPageBreak/>
        <w:t>Supplementary Fig</w:t>
      </w:r>
      <w:r>
        <w:rPr>
          <w:rFonts w:cs="Times New Roman"/>
          <w:b/>
          <w:bCs/>
          <w:szCs w:val="20"/>
        </w:rPr>
        <w:t>.</w:t>
      </w:r>
      <w:r w:rsidRPr="001C2228">
        <w:rPr>
          <w:rFonts w:cs="Times New Roman"/>
          <w:b/>
          <w:bCs/>
          <w:szCs w:val="20"/>
        </w:rPr>
        <w:t xml:space="preserve"> 2</w:t>
      </w:r>
      <w:r w:rsidRPr="001C2228">
        <w:rPr>
          <w:rFonts w:cs="Times New Roman"/>
          <w:szCs w:val="20"/>
        </w:rPr>
        <w:t xml:space="preserve"> Vertex-wise group comparisons of the biomarkers </w:t>
      </w:r>
    </w:p>
    <w:p w14:paraId="0B771CE2" w14:textId="77777777" w:rsidR="00523810" w:rsidRDefault="00523810" w:rsidP="00523810">
      <w:pPr>
        <w:wordWrap/>
        <w:spacing w:after="0" w:line="480" w:lineRule="auto"/>
        <w:rPr>
          <w:rFonts w:cs="Times New Roman"/>
          <w:szCs w:val="20"/>
        </w:rPr>
      </w:pPr>
      <w:r w:rsidRPr="001C2228">
        <w:rPr>
          <w:rFonts w:cs="Times New Roman"/>
          <w:szCs w:val="20"/>
        </w:rPr>
        <w:t xml:space="preserve">Surface-based group differences were partial volume corrected while controlling for age, sex, and education. The color bars indicate the T-value, with warm colors indicating a high burden/cortical thickness and cool colors indicating low burden/cortical thinning. </w:t>
      </w:r>
    </w:p>
    <w:p w14:paraId="739BCD16" w14:textId="77777777" w:rsidR="00523810" w:rsidRPr="001C2228" w:rsidRDefault="00523810" w:rsidP="00523810">
      <w:pPr>
        <w:wordWrap/>
        <w:spacing w:after="0" w:line="480" w:lineRule="auto"/>
        <w:rPr>
          <w:rFonts w:cs="Times New Roman"/>
          <w:szCs w:val="20"/>
        </w:rPr>
      </w:pPr>
      <w:r w:rsidRPr="001C2228">
        <w:rPr>
          <w:rFonts w:cs="Times New Roman"/>
          <w:szCs w:val="20"/>
        </w:rPr>
        <w:t xml:space="preserve">A. Aβ+ vs. Aβ- (FBP 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 (left; FDR 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>&lt;0.05), tau-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 (mid; FDR 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 xml:space="preserve">&lt;0.05), and cortical thickness (right; uncorrected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 xml:space="preserve">&lt;0.05)); B. Aβ+APOE4+ vs. Aβ- (FBP 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 (left; FDR 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>&lt;0.05), tau-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 (mid; uncorrected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>&lt;0.05), and cortical thickness (</w:t>
      </w:r>
      <w:proofErr w:type="spellStart"/>
      <w:r>
        <w:rPr>
          <w:rFonts w:cs="Times New Roman"/>
          <w:szCs w:val="20"/>
        </w:rPr>
        <w:t>CTh</w:t>
      </w:r>
      <w:proofErr w:type="spellEnd"/>
      <w:r>
        <w:rPr>
          <w:rFonts w:cs="Times New Roman"/>
          <w:szCs w:val="20"/>
        </w:rPr>
        <w:t xml:space="preserve">, </w:t>
      </w:r>
      <w:r w:rsidRPr="001C2228">
        <w:rPr>
          <w:rFonts w:cs="Times New Roman"/>
          <w:szCs w:val="20"/>
        </w:rPr>
        <w:t xml:space="preserve">right; uncorrected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 xml:space="preserve">&lt;0.05)); C. Aβ+ APOE4- vs. Aβ- (FBP 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 (left; FDR 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>&lt;0.05), tau-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 (mid; FDR 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 xml:space="preserve">&lt;0.05), and cortical thickness (right; uncorrected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 xml:space="preserve">&lt;0.05)); D. Aβ+APOE4+ vs. Aβ+APOE4- (FBP 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 (left; uncorrected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>&lt;0.05), tau-</w:t>
      </w:r>
      <w:proofErr w:type="spellStart"/>
      <w:r w:rsidRPr="001C2228">
        <w:rPr>
          <w:rFonts w:cs="Times New Roman"/>
          <w:szCs w:val="20"/>
        </w:rPr>
        <w:t>SUVR</w:t>
      </w:r>
      <w:proofErr w:type="spellEnd"/>
      <w:r w:rsidRPr="001C2228">
        <w:rPr>
          <w:rFonts w:cs="Times New Roman"/>
          <w:szCs w:val="20"/>
        </w:rPr>
        <w:t xml:space="preserve"> (mid; uncorrected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 xml:space="preserve">&lt;0.05), and cortical thickness (rt; uncorrected </w:t>
      </w:r>
      <w:r w:rsidRPr="0023081A">
        <w:rPr>
          <w:rFonts w:cs="Times New Roman"/>
          <w:i/>
          <w:iCs/>
          <w:szCs w:val="20"/>
        </w:rPr>
        <w:t>p</w:t>
      </w:r>
      <w:r w:rsidRPr="001C2228">
        <w:rPr>
          <w:rFonts w:cs="Times New Roman"/>
          <w:szCs w:val="20"/>
        </w:rPr>
        <w:t>&lt;0.05))</w:t>
      </w:r>
    </w:p>
    <w:p w14:paraId="6DCF9C2D" w14:textId="77777777" w:rsidR="00523810" w:rsidRPr="00523810" w:rsidRDefault="00523810" w:rsidP="00B27A68">
      <w:pPr>
        <w:wordWrap/>
        <w:spacing w:line="480" w:lineRule="auto"/>
        <w:ind w:left="200" w:hangingChars="100" w:hanging="200"/>
        <w:rPr>
          <w:rFonts w:cs="Times New Roman" w:hint="eastAsia"/>
          <w:szCs w:val="20"/>
        </w:rPr>
      </w:pPr>
    </w:p>
    <w:sectPr w:rsidR="00523810" w:rsidRPr="005238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B1B6A" w14:textId="77777777" w:rsidR="00900D13" w:rsidRDefault="00900D13" w:rsidP="00900D13">
      <w:pPr>
        <w:spacing w:after="0" w:line="240" w:lineRule="auto"/>
      </w:pPr>
      <w:r>
        <w:separator/>
      </w:r>
    </w:p>
  </w:endnote>
  <w:endnote w:type="continuationSeparator" w:id="0">
    <w:p w14:paraId="75BBE947" w14:textId="77777777" w:rsidR="00900D13" w:rsidRDefault="00900D13" w:rsidP="0090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0036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16CDF" w14:textId="77777777" w:rsidR="00900D13" w:rsidRDefault="00900D13" w:rsidP="00900D13">
      <w:pPr>
        <w:spacing w:after="0" w:line="240" w:lineRule="auto"/>
      </w:pPr>
      <w:r>
        <w:separator/>
      </w:r>
    </w:p>
  </w:footnote>
  <w:footnote w:type="continuationSeparator" w:id="0">
    <w:p w14:paraId="492C998E" w14:textId="77777777" w:rsidR="00900D13" w:rsidRDefault="00900D13" w:rsidP="00900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AD"/>
    <w:rsid w:val="00307DA6"/>
    <w:rsid w:val="00523810"/>
    <w:rsid w:val="00900D13"/>
    <w:rsid w:val="00B27A68"/>
    <w:rsid w:val="00C102BF"/>
    <w:rsid w:val="00C16E18"/>
    <w:rsid w:val="00CA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F5ED46"/>
  <w15:chartTrackingRefBased/>
  <w15:docId w15:val="{31EDC69B-CF66-4A79-88E5-FCBBC069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AD"/>
    <w:pPr>
      <w:widowControl w:val="0"/>
      <w:wordWrap w:val="0"/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2AD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900D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0D13"/>
    <w:rPr>
      <w:rFonts w:ascii="Times New Roman" w:hAnsi="Times New Roman"/>
    </w:rPr>
  </w:style>
  <w:style w:type="paragraph" w:styleId="a5">
    <w:name w:val="footer"/>
    <w:basedOn w:val="a"/>
    <w:link w:val="Char0"/>
    <w:uiPriority w:val="99"/>
    <w:unhideWhenUsed/>
    <w:rsid w:val="00900D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0D13"/>
    <w:rPr>
      <w:rFonts w:ascii="Times New Roman" w:hAnsi="Times New Roman"/>
    </w:rPr>
  </w:style>
  <w:style w:type="character" w:styleId="a6">
    <w:name w:val="Unresolved Mention"/>
    <w:basedOn w:val="a0"/>
    <w:uiPriority w:val="99"/>
    <w:semiHidden/>
    <w:unhideWhenUsed/>
    <w:rsid w:val="00900D13"/>
    <w:rPr>
      <w:color w:val="605E5C"/>
      <w:shd w:val="clear" w:color="auto" w:fill="E1DFDD"/>
    </w:rPr>
  </w:style>
  <w:style w:type="character" w:styleId="a7">
    <w:name w:val="line number"/>
    <w:basedOn w:val="a0"/>
    <w:uiPriority w:val="99"/>
    <w:semiHidden/>
    <w:unhideWhenUsed/>
    <w:rsid w:val="00523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fer.nmr.mgh.harvard.edu/fswikiPetSurf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sl.fmrib.ox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rfer.nmr.mgh.harvard.ed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Yun Jeong</dc:creator>
  <cp:keywords/>
  <dc:description/>
  <cp:lastModifiedBy>Hong Yun Jeong</cp:lastModifiedBy>
  <cp:revision>4</cp:revision>
  <dcterms:created xsi:type="dcterms:W3CDTF">2022-04-14T14:51:00Z</dcterms:created>
  <dcterms:modified xsi:type="dcterms:W3CDTF">2022-05-07T14:56:00Z</dcterms:modified>
</cp:coreProperties>
</file>