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tbl>
      <w:tblPr>
        <w:tblStyle w:val="6"/>
        <w:tblpPr w:leftFromText="180" w:rightFromText="180" w:vertAnchor="text" w:horzAnchor="page" w:tblpX="1652" w:tblpY="487"/>
        <w:tblOverlap w:val="never"/>
        <w:tblW w:w="946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0"/>
        <w:gridCol w:w="1450"/>
        <w:gridCol w:w="1485"/>
        <w:gridCol w:w="1480"/>
        <w:gridCol w:w="1505"/>
        <w:gridCol w:w="15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460" w:type="dxa"/>
            <w:gridSpan w:val="6"/>
            <w:tcBorders>
              <w:top w:val="nil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b w:val="0"/>
                <w:bCs/>
                <w:sz w:val="24"/>
                <w:szCs w:val="21"/>
                <w:lang w:val="en-US" w:eastAsia="zh-CN"/>
              </w:rPr>
              <w:t xml:space="preserve">Supplementary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Table 1. Baseline Characteristics of Enrolled Patients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145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Total</w:t>
            </w:r>
          </w:p>
        </w:tc>
        <w:tc>
          <w:tcPr>
            <w:tcW w:w="148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ICI + Sunitinib</w:t>
            </w:r>
          </w:p>
        </w:tc>
        <w:tc>
          <w:tcPr>
            <w:tcW w:w="14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Sunitinib alone</w:t>
            </w:r>
          </w:p>
        </w:tc>
        <w:tc>
          <w:tcPr>
            <w:tcW w:w="15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ICI alone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Negative Control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Sex, Male / Female</w:t>
            </w:r>
          </w:p>
        </w:tc>
        <w:tc>
          <w:tcPr>
            <w:tcW w:w="145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135 / 157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23 / 30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26 /31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22 / 21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64 / 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Age, Mean 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59.14 (14.29)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58.45 (13.95)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55.61 (12.80)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58.56 (16.48)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61.04 (14.11)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Pathology type, SCC / adenoCA / UD</w:t>
            </w:r>
          </w:p>
        </w:tc>
        <w:tc>
          <w:tcPr>
            <w:tcW w:w="145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91 / 102 / 99 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14 / 19 / 20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19 / 22 / 16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16 / 13 / 14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42 / 48 / 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Chemotherapy, paclitaxel / pt /combined</w:t>
            </w:r>
          </w:p>
        </w:tc>
        <w:tc>
          <w:tcPr>
            <w:tcW w:w="145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100 / 105 / 87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18 / 14 / 21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22 / 22 13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11 / 17 / 15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49 / 52 / 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4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ECOG-PS,</w:t>
            </w:r>
          </w:p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/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/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/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5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39 / 69 / 96 / 88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 / 11 / 17 / 22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 / 11 / 23 / 20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 / 8 / 19 / 11</w:t>
            </w:r>
          </w:p>
        </w:tc>
        <w:tc>
          <w:tcPr>
            <w:tcW w:w="15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28 / 39 / 37 / 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/>
                <w:color w:val="auto"/>
                <w:sz w:val="24"/>
                <w:szCs w:val="21"/>
              </w:rPr>
              <w:t>W</w:t>
            </w:r>
            <w:r>
              <w:rPr>
                <w:rFonts w:hint="eastAsia" w:ascii="Times" w:hAnsi="Times"/>
                <w:color w:val="auto"/>
                <w:sz w:val="24"/>
                <w:szCs w:val="21"/>
              </w:rPr>
              <w:t>TLG</w:t>
            </w:r>
            <w:r>
              <w:rPr>
                <w:rFonts w:ascii="Times" w:hAnsi="Times"/>
                <w:color w:val="auto"/>
                <w:sz w:val="24"/>
                <w:szCs w:val="21"/>
              </w:rPr>
              <w:t>, Mean (</w:t>
            </w:r>
            <w:r>
              <w:rPr>
                <w:rFonts w:hint="eastAsia" w:ascii="Times" w:hAnsi="Times" w:eastAsia="宋体"/>
                <w:color w:val="auto"/>
                <w:sz w:val="24"/>
                <w:szCs w:val="21"/>
                <w:lang w:val="en-US" w:eastAsia="zh-CN"/>
              </w:rPr>
              <w:t>SD</w:t>
            </w:r>
            <w:r>
              <w:rPr>
                <w:rFonts w:ascii="Times" w:hAnsi="Times"/>
                <w:color w:val="auto"/>
                <w:sz w:val="24"/>
                <w:szCs w:val="21"/>
              </w:rPr>
              <w:t>)</w:t>
            </w:r>
          </w:p>
        </w:tc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301.03 (77.55)</w:t>
            </w:r>
          </w:p>
        </w:tc>
        <w:tc>
          <w:tcPr>
            <w:tcW w:w="1485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297.60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75.22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480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306.09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73.15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505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309.79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72.37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500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297.56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82.05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04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" w:hAnsi="Times"/>
                <w:color w:val="auto"/>
                <w:sz w:val="24"/>
                <w:szCs w:val="21"/>
              </w:rPr>
              <w:t xml:space="preserve">WMTV, Mean </w:t>
            </w:r>
            <w:r>
              <w:rPr>
                <w:rFonts w:ascii="Times" w:hAnsi="Times"/>
                <w:color w:val="auto"/>
                <w:sz w:val="24"/>
                <w:szCs w:val="21"/>
              </w:rPr>
              <w:t>(</w:t>
            </w:r>
            <w:r>
              <w:rPr>
                <w:rFonts w:hint="eastAsia" w:ascii="Times" w:hAnsi="Times" w:eastAsia="宋体"/>
                <w:color w:val="auto"/>
                <w:sz w:val="24"/>
                <w:szCs w:val="21"/>
                <w:lang w:val="en-US" w:eastAsia="zh-CN"/>
              </w:rPr>
              <w:t>SD</w:t>
            </w:r>
            <w:r>
              <w:rPr>
                <w:rFonts w:ascii="Times" w:hAnsi="Times"/>
                <w:color w:val="auto"/>
                <w:sz w:val="24"/>
                <w:szCs w:val="21"/>
              </w:rPr>
              <w:t>)</w:t>
            </w:r>
          </w:p>
        </w:tc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56.97 (23.70)</w:t>
            </w:r>
          </w:p>
        </w:tc>
        <w:tc>
          <w:tcPr>
            <w:tcW w:w="1485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58.66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24.44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480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54.68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21.94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505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62.09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24.10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500" w:type="dxa"/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55.68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23.96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4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/>
                <w:color w:val="auto"/>
                <w:sz w:val="24"/>
                <w:szCs w:val="21"/>
              </w:rPr>
              <w:t>HSUV, Mean (</w:t>
            </w:r>
            <w:r>
              <w:rPr>
                <w:rFonts w:hint="eastAsia" w:ascii="Times" w:hAnsi="Times" w:eastAsia="宋体"/>
                <w:color w:val="auto"/>
                <w:sz w:val="24"/>
                <w:szCs w:val="21"/>
                <w:lang w:val="en-US" w:eastAsia="zh-CN"/>
              </w:rPr>
              <w:t>SD</w:t>
            </w:r>
            <w:r>
              <w:rPr>
                <w:rFonts w:ascii="Times" w:hAnsi="Times"/>
                <w:color w:val="auto"/>
                <w:sz w:val="24"/>
                <w:szCs w:val="21"/>
              </w:rPr>
              <w:t>)</w:t>
            </w:r>
          </w:p>
        </w:tc>
        <w:tc>
          <w:tcPr>
            <w:tcW w:w="1450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18.34 (4.57)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17.08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4.55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480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18.65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4.56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505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19.58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5.10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shd w:val="clear" w:color="auto" w:fill="FFFFFF" w:themeFill="background1"/>
            <w:vAlign w:val="top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18.30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4.33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460" w:type="dxa"/>
            <w:gridSpan w:val="6"/>
            <w:tcBorders>
              <w:top w:val="single" w:color="auto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 xml:space="preserve">ICI, Immune Checkpoint Inhibitors; </w:t>
            </w:r>
            <w:r>
              <w:rPr>
                <w:rFonts w:ascii="Times" w:hAnsi="Times"/>
                <w:sz w:val="18"/>
                <w:szCs w:val="15"/>
              </w:rPr>
              <w:t>E</w:t>
            </w:r>
            <w:r>
              <w:rPr>
                <w:rFonts w:hint="eastAsia" w:ascii="Times" w:hAnsi="Times"/>
                <w:sz w:val="18"/>
                <w:szCs w:val="15"/>
              </w:rPr>
              <w:t>COG</w:t>
            </w:r>
            <w:r>
              <w:rPr>
                <w:rFonts w:ascii="Times" w:hAnsi="Times"/>
                <w:sz w:val="18"/>
                <w:szCs w:val="15"/>
              </w:rPr>
              <w:t>-P</w:t>
            </w:r>
            <w:r>
              <w:rPr>
                <w:rFonts w:hint="eastAsia" w:ascii="Times" w:hAnsi="Times"/>
                <w:sz w:val="18"/>
                <w:szCs w:val="15"/>
              </w:rPr>
              <w:t>S</w:t>
            </w:r>
            <w:r>
              <w:rPr>
                <w:rFonts w:ascii="Times" w:hAnsi="Times"/>
                <w:sz w:val="18"/>
                <w:szCs w:val="15"/>
              </w:rPr>
              <w:t>, Eastern Cooperative Oncology Group Performance Score</w:t>
            </w:r>
            <w:r>
              <w:rPr>
                <w:rFonts w:hint="eastAsia" w:ascii="Times" w:hAnsi="Times"/>
                <w:sz w:val="18"/>
                <w:szCs w:val="15"/>
              </w:rPr>
              <w:t>；</w:t>
            </w:r>
            <w:r>
              <w:rPr>
                <w:rFonts w:ascii="Times" w:hAnsi="Times"/>
                <w:sz w:val="18"/>
                <w:szCs w:val="15"/>
              </w:rPr>
              <w:t xml:space="preserve">WTLG,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W</w:t>
            </w:r>
            <w:r>
              <w:rPr>
                <w:rFonts w:ascii="Times" w:hAnsi="Times"/>
                <w:sz w:val="18"/>
                <w:szCs w:val="15"/>
              </w:rPr>
              <w:t xml:space="preserve">hole-body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T</w:t>
            </w:r>
            <w:r>
              <w:rPr>
                <w:rFonts w:ascii="Times" w:hAnsi="Times"/>
                <w:sz w:val="18"/>
                <w:szCs w:val="15"/>
              </w:rPr>
              <w:t xml:space="preserve">otal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L</w:t>
            </w:r>
            <w:r>
              <w:rPr>
                <w:rFonts w:ascii="Times" w:hAnsi="Times"/>
                <w:sz w:val="18"/>
                <w:szCs w:val="15"/>
              </w:rPr>
              <w:t xml:space="preserve">esion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G</w:t>
            </w:r>
            <w:r>
              <w:rPr>
                <w:rFonts w:ascii="Times" w:hAnsi="Times"/>
                <w:sz w:val="18"/>
                <w:szCs w:val="15"/>
              </w:rPr>
              <w:t xml:space="preserve">lycolysis; WMTV,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W</w:t>
            </w:r>
            <w:r>
              <w:rPr>
                <w:rFonts w:ascii="Times" w:hAnsi="Times"/>
                <w:sz w:val="18"/>
                <w:szCs w:val="15"/>
              </w:rPr>
              <w:t xml:space="preserve">hole-body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M</w:t>
            </w:r>
            <w:r>
              <w:rPr>
                <w:rFonts w:ascii="Times" w:hAnsi="Times"/>
                <w:sz w:val="18"/>
                <w:szCs w:val="15"/>
              </w:rPr>
              <w:t xml:space="preserve">etabolic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T</w:t>
            </w:r>
            <w:r>
              <w:rPr>
                <w:rFonts w:ascii="Times" w:hAnsi="Times"/>
                <w:sz w:val="18"/>
                <w:szCs w:val="15"/>
              </w:rPr>
              <w:t xml:space="preserve">umor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V</w:t>
            </w:r>
            <w:r>
              <w:rPr>
                <w:rFonts w:ascii="Times" w:hAnsi="Times"/>
                <w:sz w:val="18"/>
                <w:szCs w:val="15"/>
              </w:rPr>
              <w:t xml:space="preserve">olume; HSUV,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H</w:t>
            </w:r>
            <w:r>
              <w:rPr>
                <w:rFonts w:ascii="Times" w:hAnsi="Times"/>
                <w:sz w:val="18"/>
                <w:szCs w:val="15"/>
              </w:rPr>
              <w:t>ighest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 xml:space="preserve"> S</w:t>
            </w:r>
            <w:r>
              <w:rPr>
                <w:rFonts w:ascii="Times" w:hAnsi="Times"/>
                <w:sz w:val="18"/>
                <w:szCs w:val="15"/>
              </w:rPr>
              <w:t xml:space="preserve">tandardized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U</w:t>
            </w:r>
            <w:r>
              <w:rPr>
                <w:rFonts w:ascii="Times" w:hAnsi="Times"/>
                <w:sz w:val="18"/>
                <w:szCs w:val="15"/>
              </w:rPr>
              <w:t xml:space="preserve">ptake 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V</w:t>
            </w:r>
            <w:r>
              <w:rPr>
                <w:rFonts w:ascii="Times" w:hAnsi="Times"/>
                <w:sz w:val="18"/>
                <w:szCs w:val="15"/>
              </w:rPr>
              <w:t>alue</w:t>
            </w:r>
            <w:r>
              <w:rPr>
                <w:rFonts w:hint="eastAsia" w:ascii="Times" w:hAnsi="Times" w:eastAsia="宋体"/>
                <w:sz w:val="18"/>
                <w:szCs w:val="15"/>
                <w:lang w:val="en-US" w:eastAsia="zh-CN"/>
              </w:rPr>
              <w:t>; pt, Platinum-based Chemotherapy; SCC, Squamous Cell Carcinoma; UD, Undifferentiated Tumor; adenoCA, adenocarcinoma.</w:t>
            </w:r>
          </w:p>
        </w:tc>
      </w:tr>
    </w:tbl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tbl>
      <w:tblPr>
        <w:tblStyle w:val="6"/>
        <w:tblpPr w:leftFromText="180" w:rightFromText="180" w:vertAnchor="text" w:horzAnchor="page" w:tblpX="1652" w:tblpY="272"/>
        <w:tblOverlap w:val="never"/>
        <w:tblW w:w="847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14"/>
        <w:gridCol w:w="2373"/>
        <w:gridCol w:w="1713"/>
        <w:gridCol w:w="7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470" w:type="dxa"/>
            <w:gridSpan w:val="4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" w:hAnsi="Times" w:eastAsia="宋体" w:cstheme="minorBidi"/>
                <w:b/>
                <w:color w:val="000000"/>
                <w:sz w:val="24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" w:hAnsi="Times" w:eastAsia="宋体"/>
                <w:b w:val="0"/>
                <w:bCs/>
                <w:sz w:val="24"/>
                <w:szCs w:val="21"/>
                <w:lang w:val="en-US" w:eastAsia="zh-CN"/>
              </w:rPr>
              <w:t>Supplementary Table 2. Propensity Score-matched Comparison Results of Combined Therapy and Control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Factor</w:t>
            </w:r>
          </w:p>
        </w:tc>
        <w:tc>
          <w:tcPr>
            <w:tcW w:w="237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  <w:t>ICI + Sunitinib</w:t>
            </w:r>
          </w:p>
        </w:tc>
        <w:tc>
          <w:tcPr>
            <w:tcW w:w="171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  <w:t>Control</w:t>
            </w:r>
          </w:p>
        </w:tc>
        <w:tc>
          <w:tcPr>
            <w:tcW w:w="7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70" w:type="dxa"/>
            <w:gridSpan w:val="4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Baseline Characteristics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Sex, Male / Female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22 / 29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23 / 28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Age, Mean 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59.14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13.74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58.33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14.50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Pathology type, SCC / adenoCA / UD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13 / 18 / 20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17 / 14 / 20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Chemotherapy, paclitaxel / pt /combined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17 / 14 / 20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13 / 22 / 16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ascii="Times" w:hAnsi="Times"/>
                <w:sz w:val="24"/>
                <w:szCs w:val="24"/>
              </w:rPr>
              <w:t>E</w:t>
            </w:r>
            <w:r>
              <w:rPr>
                <w:rFonts w:hint="eastAsia" w:ascii="Times" w:hAnsi="Times"/>
                <w:sz w:val="24"/>
                <w:szCs w:val="24"/>
              </w:rPr>
              <w:t>COG</w:t>
            </w:r>
            <w:r>
              <w:rPr>
                <w:rFonts w:ascii="Times" w:hAnsi="Times"/>
                <w:sz w:val="24"/>
                <w:szCs w:val="24"/>
              </w:rPr>
              <w:t>-P</w:t>
            </w:r>
            <w:r>
              <w:rPr>
                <w:rFonts w:hint="eastAsia" w:ascii="Times" w:hAnsi="Times"/>
                <w:sz w:val="24"/>
                <w:szCs w:val="24"/>
              </w:rPr>
              <w:t>S</w:t>
            </w:r>
            <w:r>
              <w:rPr>
                <w:rFonts w:ascii="Times" w:hAnsi="Times"/>
                <w:sz w:val="24"/>
                <w:szCs w:val="24"/>
              </w:rPr>
              <w:t xml:space="preserve">, 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4 / 3 / 2 / 1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3 / 11 / 17 / 20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2 / 13 / 18 / 18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W</w:t>
            </w:r>
            <w:r>
              <w:rPr>
                <w:rFonts w:hint="eastAsia" w:ascii="Times" w:hAnsi="Times"/>
                <w:sz w:val="24"/>
                <w:szCs w:val="24"/>
              </w:rPr>
              <w:t>TLG</w:t>
            </w:r>
            <w:r>
              <w:rPr>
                <w:rFonts w:ascii="Times" w:hAnsi="Times"/>
                <w:sz w:val="24"/>
                <w:szCs w:val="24"/>
              </w:rPr>
              <w:t>, Mean 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298.41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74.01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297.49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81.93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 xml:space="preserve">WMTV, Mean </w:t>
            </w:r>
            <w:r>
              <w:rPr>
                <w:rFonts w:ascii="Times" w:hAnsi="Times"/>
                <w:sz w:val="24"/>
                <w:szCs w:val="24"/>
              </w:rPr>
              <w:t>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58.76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24.74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61.25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23.87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4" w:type="dxa"/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HSUVmax, Mean 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237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17.27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4.52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17.69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4.53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70" w:type="dxa"/>
            <w:gridSpan w:val="4"/>
            <w:tcBorders>
              <w:top w:val="single" w:color="000000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 w:cstheme="minorBidi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 xml:space="preserve">SD, standard deviation; ICI, immune checkpoint inhibitors; </w:t>
            </w:r>
            <w:r>
              <w:rPr>
                <w:rFonts w:ascii="Times" w:hAnsi="Times"/>
                <w:sz w:val="20"/>
                <w:szCs w:val="16"/>
              </w:rPr>
              <w:t>E</w:t>
            </w:r>
            <w:r>
              <w:rPr>
                <w:rFonts w:hint="eastAsia" w:ascii="Times" w:hAnsi="Times"/>
                <w:sz w:val="20"/>
                <w:szCs w:val="16"/>
              </w:rPr>
              <w:t>COG</w:t>
            </w:r>
            <w:r>
              <w:rPr>
                <w:rFonts w:ascii="Times" w:hAnsi="Times"/>
                <w:sz w:val="20"/>
                <w:szCs w:val="16"/>
              </w:rPr>
              <w:t>-P</w:t>
            </w:r>
            <w:r>
              <w:rPr>
                <w:rFonts w:hint="eastAsia" w:ascii="Times" w:hAnsi="Times"/>
                <w:sz w:val="20"/>
                <w:szCs w:val="16"/>
              </w:rPr>
              <w:t>S</w:t>
            </w:r>
            <w:r>
              <w:rPr>
                <w:rFonts w:ascii="Times" w:hAnsi="Times"/>
                <w:sz w:val="20"/>
                <w:szCs w:val="16"/>
              </w:rPr>
              <w:t>, Eastern Cooperative Oncology Group Performance Score</w:t>
            </w:r>
            <w:r>
              <w:rPr>
                <w:rFonts w:hint="eastAsia" w:ascii="Times" w:hAnsi="Times"/>
                <w:sz w:val="20"/>
                <w:szCs w:val="16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0"/>
                <w:szCs w:val="16"/>
                <w:lang w:val="en-US" w:eastAsia="zh-CN"/>
              </w:rPr>
              <w:t>△</w:t>
            </w:r>
            <w:r>
              <w:rPr>
                <w:rFonts w:hint="eastAsia" w:ascii="Times New Roman" w:hAnsi="Times New Roman" w:eastAsia="宋体" w:cs="Times New Roman"/>
                <w:sz w:val="20"/>
                <w:szCs w:val="16"/>
                <w:lang w:val="en-US" w:eastAsia="zh-CN"/>
              </w:rPr>
              <w:t xml:space="preserve">, Improvement; </w:t>
            </w:r>
            <w:r>
              <w:rPr>
                <w:rFonts w:ascii="Times" w:hAnsi="Times"/>
                <w:sz w:val="20"/>
                <w:szCs w:val="16"/>
              </w:rPr>
              <w:t>WTLG, whole-body total lesion glycolysis; WMTV, whole-body metabolic tumor volume; HSUV, highes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>t</w:t>
            </w:r>
            <w:r>
              <w:rPr>
                <w:rFonts w:ascii="Times" w:hAnsi="Times"/>
                <w:sz w:val="20"/>
                <w:szCs w:val="16"/>
              </w:rPr>
              <w:t xml:space="preserve"> standardized uptake value.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 xml:space="preserve"> </w:t>
            </w:r>
          </w:p>
        </w:tc>
      </w:tr>
    </w:tbl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495"/>
        </w:tabs>
        <w:bidi w:val="0"/>
        <w:jc w:val="left"/>
        <w:rPr>
          <w:rFonts w:hint="eastAsia"/>
          <w:lang w:eastAsia="zh-CN"/>
        </w:rPr>
      </w:pPr>
    </w:p>
    <w:p>
      <w:pPr>
        <w:bidi w:val="0"/>
        <w:rPr>
          <w:rFonts w:hint="eastAsia" w:ascii="MingLiU" w:hAnsi="MingLiU" w:eastAsia="MingLiU"/>
          <w:color w:val="000000"/>
          <w:sz w:val="20"/>
          <w:szCs w:val="24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tabs>
          <w:tab w:val="left" w:pos="1165"/>
        </w:tabs>
        <w:bidi w:val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</w:p>
    <w:p>
      <w:pPr>
        <w:tabs>
          <w:tab w:val="left" w:pos="1165"/>
        </w:tabs>
        <w:bidi w:val="0"/>
        <w:jc w:val="left"/>
        <w:rPr>
          <w:rFonts w:hint="eastAsia"/>
          <w:lang w:eastAsia="zh-CN"/>
        </w:rPr>
      </w:pPr>
    </w:p>
    <w:tbl>
      <w:tblPr>
        <w:tblStyle w:val="6"/>
        <w:tblpPr w:leftFromText="180" w:rightFromText="180" w:vertAnchor="text" w:horzAnchor="page" w:tblpX="2243" w:tblpY="575"/>
        <w:tblOverlap w:val="never"/>
        <w:tblW w:w="712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5"/>
        <w:gridCol w:w="1855"/>
        <w:gridCol w:w="1710"/>
        <w:gridCol w:w="8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24" w:type="dxa"/>
            <w:gridSpan w:val="4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1"/>
              </w:rPr>
            </w:pPr>
            <w:r>
              <w:rPr>
                <w:rFonts w:hint="eastAsia" w:ascii="Times" w:hAnsi="Times" w:eastAsia="宋体"/>
                <w:b w:val="0"/>
                <w:bCs/>
                <w:sz w:val="24"/>
                <w:szCs w:val="21"/>
                <w:lang w:val="en-US" w:eastAsia="zh-CN"/>
              </w:rPr>
              <w:t>Supplementary Table 3. Propensity Score-matched Comparison Results of Sunitinib Therapy and Control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18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Sunitinib</w:t>
            </w:r>
          </w:p>
        </w:tc>
        <w:tc>
          <w:tcPr>
            <w:tcW w:w="17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Control</w:t>
            </w:r>
          </w:p>
        </w:tc>
        <w:tc>
          <w:tcPr>
            <w:tcW w:w="8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24" w:type="dxa"/>
            <w:gridSpan w:val="4"/>
            <w:tcBorders>
              <w:top w:val="single" w:color="auto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 w:cstheme="minorBid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Baseline Characteristics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Sex, Male / Female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24 / 30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23 / 31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Age, Mean 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56.22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12.87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54.46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13.20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Pathology type, SCC / adenoCA / UD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18 / 20 / 16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21 / 17 / 16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Chemotherapy, paclitaxel / pt /combined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19 / 22 / 13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19 / 23 /12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ECOG-PS,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/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/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/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 / 11 / 22 / 18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8 / 12 / 16 / 18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WTLG, Mean 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304.04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74.12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306.72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74.04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WMTV, Mean 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54.37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21.86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53.50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23.38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HSUVmax, Mean 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18.78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4.56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19.24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4.57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24" w:type="dxa"/>
            <w:gridSpan w:val="4"/>
            <w:tcBorders>
              <w:top w:val="single" w:color="000000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 w:cstheme="minorBidi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 xml:space="preserve">SD, standard deviation; </w:t>
            </w:r>
            <w:r>
              <w:rPr>
                <w:rFonts w:ascii="Times" w:hAnsi="Times"/>
                <w:sz w:val="20"/>
                <w:szCs w:val="16"/>
              </w:rPr>
              <w:t>E</w:t>
            </w:r>
            <w:r>
              <w:rPr>
                <w:rFonts w:hint="eastAsia" w:ascii="Times" w:hAnsi="Times"/>
                <w:sz w:val="20"/>
                <w:szCs w:val="16"/>
              </w:rPr>
              <w:t>COG</w:t>
            </w:r>
            <w:r>
              <w:rPr>
                <w:rFonts w:ascii="Times" w:hAnsi="Times"/>
                <w:sz w:val="20"/>
                <w:szCs w:val="16"/>
              </w:rPr>
              <w:t>-P</w:t>
            </w:r>
            <w:r>
              <w:rPr>
                <w:rFonts w:hint="eastAsia" w:ascii="Times" w:hAnsi="Times"/>
                <w:sz w:val="20"/>
                <w:szCs w:val="16"/>
              </w:rPr>
              <w:t>S</w:t>
            </w:r>
            <w:r>
              <w:rPr>
                <w:rFonts w:ascii="Times" w:hAnsi="Times"/>
                <w:sz w:val="20"/>
                <w:szCs w:val="16"/>
              </w:rPr>
              <w:t>, Eastern Cooperative Oncology Group Performance Score</w:t>
            </w:r>
            <w:r>
              <w:rPr>
                <w:rFonts w:hint="eastAsia" w:ascii="Times" w:hAnsi="Times"/>
                <w:sz w:val="20"/>
                <w:szCs w:val="16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0"/>
                <w:szCs w:val="16"/>
                <w:lang w:val="en-US" w:eastAsia="zh-CN"/>
              </w:rPr>
              <w:t>△</w:t>
            </w:r>
            <w:r>
              <w:rPr>
                <w:rFonts w:hint="eastAsia" w:ascii="Times New Roman" w:hAnsi="Times New Roman" w:eastAsia="宋体" w:cs="Times New Roman"/>
                <w:sz w:val="20"/>
                <w:szCs w:val="16"/>
                <w:lang w:val="en-US" w:eastAsia="zh-CN"/>
              </w:rPr>
              <w:t xml:space="preserve">, Improvement; </w:t>
            </w:r>
            <w:r>
              <w:rPr>
                <w:rFonts w:ascii="Times" w:hAnsi="Times"/>
                <w:sz w:val="20"/>
                <w:szCs w:val="16"/>
              </w:rPr>
              <w:t>WTLG, whole-body total lesion glycolysis; WMTV, whole-body metabolic tumor volume; HSUV, highes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>t</w:t>
            </w:r>
            <w:r>
              <w:rPr>
                <w:rFonts w:ascii="Times" w:hAnsi="Times"/>
                <w:sz w:val="20"/>
                <w:szCs w:val="16"/>
              </w:rPr>
              <w:t xml:space="preserve"> standardized uptake value.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 xml:space="preserve"> </w:t>
            </w:r>
          </w:p>
        </w:tc>
      </w:tr>
    </w:tbl>
    <w:p>
      <w:pPr>
        <w:tabs>
          <w:tab w:val="left" w:pos="116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1475"/>
        </w:tabs>
        <w:bidi w:val="0"/>
        <w:jc w:val="left"/>
        <w:rPr>
          <w:rFonts w:hint="eastAsia" w:ascii="MingLiU" w:hAnsi="MingLiU" w:eastAsia="MingLiU"/>
          <w:color w:val="000000"/>
          <w:sz w:val="20"/>
          <w:szCs w:val="24"/>
          <w:lang w:eastAsia="zh-CN"/>
        </w:rPr>
      </w:pPr>
      <w:r>
        <w:rPr>
          <w:rFonts w:hint="eastAsia"/>
          <w:color w:val="000000"/>
          <w:sz w:val="20"/>
          <w:szCs w:val="24"/>
          <w:lang w:eastAsia="zh-CN"/>
        </w:rPr>
        <w:tab/>
      </w:r>
    </w:p>
    <w:p>
      <w:pPr>
        <w:tabs>
          <w:tab w:val="left" w:pos="1475"/>
        </w:tabs>
        <w:bidi w:val="0"/>
        <w:jc w:val="left"/>
        <w:rPr>
          <w:rFonts w:hint="eastAsia" w:ascii="MingLiU" w:hAnsi="MingLiU" w:eastAsia="MingLiU"/>
          <w:color w:val="000000"/>
          <w:sz w:val="20"/>
          <w:szCs w:val="24"/>
          <w:lang w:eastAsia="zh-CN"/>
        </w:rPr>
      </w:pPr>
    </w:p>
    <w:p>
      <w:pPr>
        <w:bidi w:val="0"/>
        <w:rPr>
          <w:rFonts w:hint="eastAsia" w:ascii="MingLiU" w:hAnsi="MingLiU" w:eastAsia="MingLiU"/>
          <w:color w:val="000000"/>
          <w:sz w:val="20"/>
          <w:szCs w:val="24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tbl>
      <w:tblPr>
        <w:tblStyle w:val="6"/>
        <w:tblpPr w:leftFromText="180" w:rightFromText="180" w:vertAnchor="text" w:horzAnchor="page" w:tblpX="2243" w:tblpY="558"/>
        <w:tblOverlap w:val="never"/>
        <w:tblW w:w="71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5"/>
        <w:gridCol w:w="1855"/>
        <w:gridCol w:w="1710"/>
        <w:gridCol w:w="8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7124" w:type="dxa"/>
            <w:gridSpan w:val="4"/>
            <w:tcBorders>
              <w:bottom w:val="single" w:color="000000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hint="eastAsia" w:ascii="Times" w:hAnsi="Times" w:eastAsia="宋体"/>
                <w:b w:val="0"/>
                <w:bCs/>
                <w:sz w:val="24"/>
                <w:szCs w:val="24"/>
                <w:lang w:val="en-US" w:eastAsia="zh-CN"/>
              </w:rPr>
              <w:t>Supplementary Table 4. Propensity Score-matched Comparison Results of ICI Therapy and Control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Factor</w:t>
            </w:r>
          </w:p>
        </w:tc>
        <w:tc>
          <w:tcPr>
            <w:tcW w:w="1855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  <w:t>ICI</w:t>
            </w:r>
          </w:p>
        </w:tc>
        <w:tc>
          <w:tcPr>
            <w:tcW w:w="1710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  <w:t>Control</w:t>
            </w:r>
          </w:p>
        </w:tc>
        <w:tc>
          <w:tcPr>
            <w:tcW w:w="884" w:type="dxa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4"/>
                <w:lang w:val="en-US" w:eastAsia="zh-CN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24" w:type="dxa"/>
            <w:gridSpan w:val="4"/>
            <w:tcBorders>
              <w:top w:val="single" w:color="000000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 w:cstheme="minorBid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Baseline Characteristics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Sex, Male / Female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21 / 21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20 / 22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Age, Mean 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58.31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16.60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57.76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14.04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Pathology type, SCC / adenoCA / UD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15 / 13 / 14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16 / 13 / 13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Chemotherapy, paclitaxel / pt /combined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11 / 17 / 14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10 / 20 / 12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ascii="Times" w:hAnsi="Times"/>
                <w:sz w:val="24"/>
                <w:szCs w:val="24"/>
              </w:rPr>
              <w:t>E</w:t>
            </w:r>
            <w:r>
              <w:rPr>
                <w:rFonts w:hint="eastAsia" w:ascii="Times" w:hAnsi="Times"/>
                <w:sz w:val="24"/>
                <w:szCs w:val="24"/>
              </w:rPr>
              <w:t>COG</w:t>
            </w:r>
            <w:r>
              <w:rPr>
                <w:rFonts w:ascii="Times" w:hAnsi="Times"/>
                <w:sz w:val="24"/>
                <w:szCs w:val="24"/>
              </w:rPr>
              <w:t>-P</w:t>
            </w:r>
            <w:r>
              <w:rPr>
                <w:rFonts w:hint="eastAsia" w:ascii="Times" w:hAnsi="Times"/>
                <w:sz w:val="24"/>
                <w:szCs w:val="24"/>
              </w:rPr>
              <w:t>S</w:t>
            </w:r>
            <w:r>
              <w:rPr>
                <w:rFonts w:ascii="Times" w:hAnsi="Times"/>
                <w:sz w:val="24"/>
                <w:szCs w:val="24"/>
              </w:rPr>
              <w:t xml:space="preserve">, 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4 / 3 / 2 / 1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5 / 8 / 19 / 10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7 / 11 / 14 / 10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W</w:t>
            </w:r>
            <w:r>
              <w:rPr>
                <w:rFonts w:hint="eastAsia" w:ascii="Times" w:hAnsi="Times"/>
                <w:sz w:val="24"/>
                <w:szCs w:val="24"/>
              </w:rPr>
              <w:t>TLG</w:t>
            </w:r>
            <w:r>
              <w:rPr>
                <w:rFonts w:ascii="Times" w:hAnsi="Times"/>
                <w:sz w:val="24"/>
                <w:szCs w:val="24"/>
              </w:rPr>
              <w:t>, Mean 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311.05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72.77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316.71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78.81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hint="eastAsia" w:ascii="Times" w:hAnsi="Times"/>
                <w:sz w:val="24"/>
                <w:szCs w:val="24"/>
              </w:rPr>
              <w:t xml:space="preserve">WMTV, Mean </w:t>
            </w:r>
            <w:r>
              <w:rPr>
                <w:rFonts w:ascii="Times" w:hAnsi="Times"/>
                <w:sz w:val="24"/>
                <w:szCs w:val="24"/>
              </w:rPr>
              <w:t>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62.17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24.39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57.12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22.84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HSUVmax, Mean (</w:t>
            </w: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SD</w:t>
            </w:r>
            <w:r>
              <w:rPr>
                <w:rFonts w:ascii="Times" w:hAnsi="Times"/>
                <w:sz w:val="24"/>
                <w:szCs w:val="24"/>
              </w:rPr>
              <w:t>)</w:t>
            </w:r>
          </w:p>
        </w:tc>
        <w:tc>
          <w:tcPr>
            <w:tcW w:w="185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19.40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5.03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19.62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4.72</w:t>
            </w:r>
            <w:r>
              <w:rPr>
                <w:rFonts w:hint="eastAsia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8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4"/>
                <w:lang w:val="en-US" w:eastAsia="zh-CN"/>
              </w:rPr>
              <w:t>0.84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24" w:type="dxa"/>
            <w:gridSpan w:val="4"/>
            <w:tcBorders>
              <w:top w:val="single" w:color="000000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" w:hAnsi="Times" w:eastAsia="宋体"/>
                <w:sz w:val="20"/>
                <w:szCs w:val="20"/>
                <w:lang w:val="en-US" w:eastAsia="zh-CN"/>
              </w:rPr>
              <w:t xml:space="preserve">SD, standard deviation; ICI, immune checkpoint inhibitors; </w:t>
            </w:r>
            <w:r>
              <w:rPr>
                <w:rFonts w:ascii="Times" w:hAnsi="Times"/>
                <w:sz w:val="20"/>
                <w:szCs w:val="20"/>
              </w:rPr>
              <w:t>E</w:t>
            </w:r>
            <w:r>
              <w:rPr>
                <w:rFonts w:hint="eastAsia" w:ascii="Times" w:hAnsi="Times"/>
                <w:sz w:val="20"/>
                <w:szCs w:val="20"/>
              </w:rPr>
              <w:t>COG</w:t>
            </w:r>
            <w:r>
              <w:rPr>
                <w:rFonts w:ascii="Times" w:hAnsi="Times"/>
                <w:sz w:val="20"/>
                <w:szCs w:val="20"/>
              </w:rPr>
              <w:t>-P</w:t>
            </w:r>
            <w:r>
              <w:rPr>
                <w:rFonts w:hint="eastAsia" w:ascii="Times" w:hAnsi="Times"/>
                <w:sz w:val="20"/>
                <w:szCs w:val="20"/>
              </w:rPr>
              <w:t>S</w:t>
            </w:r>
            <w:r>
              <w:rPr>
                <w:rFonts w:ascii="Times" w:hAnsi="Times"/>
                <w:sz w:val="20"/>
                <w:szCs w:val="20"/>
              </w:rPr>
              <w:t>, Eastern Cooperative Oncology Group Performance Score</w:t>
            </w:r>
            <w:r>
              <w:rPr>
                <w:rFonts w:hint="eastAsia" w:ascii="Times" w:hAnsi="Times"/>
                <w:sz w:val="20"/>
                <w:szCs w:val="20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△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, Improvement; </w:t>
            </w:r>
            <w:r>
              <w:rPr>
                <w:rFonts w:ascii="Times" w:hAnsi="Times"/>
                <w:sz w:val="20"/>
                <w:szCs w:val="20"/>
              </w:rPr>
              <w:t>WTLG, whole-body total lesion glycolysis; WMTV, whole-body metabolic tumor volume; HSUV, highes</w:t>
            </w:r>
            <w:r>
              <w:rPr>
                <w:rFonts w:hint="eastAsia" w:ascii="Times" w:hAnsi="Times" w:eastAsia="宋体"/>
                <w:sz w:val="20"/>
                <w:szCs w:val="20"/>
                <w:lang w:val="en-US" w:eastAsia="zh-CN"/>
              </w:rPr>
              <w:t>t</w:t>
            </w:r>
            <w:r>
              <w:rPr>
                <w:rFonts w:ascii="Times" w:hAnsi="Times"/>
                <w:sz w:val="20"/>
                <w:szCs w:val="20"/>
              </w:rPr>
              <w:t xml:space="preserve"> standardized uptake value.</w:t>
            </w:r>
            <w:r>
              <w:rPr>
                <w:rFonts w:hint="eastAsia" w:ascii="Times" w:hAnsi="Times" w:eastAsia="宋体"/>
                <w:sz w:val="20"/>
                <w:szCs w:val="20"/>
                <w:lang w:val="en-US" w:eastAsia="zh-CN"/>
              </w:rPr>
              <w:t xml:space="preserve"> </w:t>
            </w:r>
          </w:p>
        </w:tc>
      </w:tr>
    </w:tbl>
    <w:p>
      <w:pPr>
        <w:tabs>
          <w:tab w:val="left" w:pos="1455"/>
        </w:tabs>
        <w:bidi w:val="0"/>
        <w:jc w:val="left"/>
        <w:rPr>
          <w:rFonts w:hint="eastAsia"/>
          <w:lang w:eastAsia="zh-CN"/>
        </w:rPr>
      </w:pPr>
    </w:p>
    <w:p>
      <w:pPr>
        <w:bidi w:val="0"/>
        <w:rPr>
          <w:rFonts w:hint="eastAsia" w:ascii="MingLiU" w:hAnsi="MingLiU" w:eastAsia="MingLiU"/>
          <w:color w:val="000000"/>
          <w:sz w:val="20"/>
          <w:szCs w:val="24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tbl>
      <w:tblPr>
        <w:tblStyle w:val="6"/>
        <w:tblpPr w:leftFromText="180" w:rightFromText="180" w:vertAnchor="text" w:horzAnchor="page" w:tblpX="3332" w:tblpY="514"/>
        <w:tblOverlap w:val="never"/>
        <w:tblW w:w="689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960"/>
        <w:gridCol w:w="870"/>
        <w:gridCol w:w="1930"/>
        <w:gridCol w:w="7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90" w:type="dxa"/>
            <w:gridSpan w:val="5"/>
            <w:tcBorders>
              <w:top w:val="nil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 w:val="0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 w:val="0"/>
                <w:bCs/>
                <w:sz w:val="24"/>
                <w:szCs w:val="21"/>
                <w:lang w:val="en-US" w:eastAsia="zh-CN"/>
              </w:rPr>
              <w:t>Supplementary Table 5. Survival Analysis of PET/CT and Pathological Biomarkers in Combined Treatment Arm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b/>
                <w:sz w:val="24"/>
                <w:szCs w:val="21"/>
              </w:rPr>
            </w:pPr>
            <w:r>
              <w:rPr>
                <w:rFonts w:ascii="Times" w:hAnsi="Times"/>
                <w:b/>
                <w:sz w:val="24"/>
                <w:szCs w:val="21"/>
              </w:rPr>
              <w:t>Factor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 xml:space="preserve">Univariate 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>p</w:t>
            </w:r>
          </w:p>
        </w:tc>
        <w:tc>
          <w:tcPr>
            <w:tcW w:w="19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 xml:space="preserve">Multivariate </w:t>
            </w:r>
          </w:p>
        </w:tc>
        <w:tc>
          <w:tcPr>
            <w:tcW w:w="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Age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0.98 (0.95 - 1.01)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0.11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Gender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0.77 (0.35 - 1.73)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0.53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Chemotherapy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1.10 (0.71 - 1.69)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0.68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ECOG-PS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1.16 (0.76 - 1.77)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0.50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Pathology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(0.62 - 1.63 )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0.99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CAIX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0.63 (2.52 - 1.58)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0.33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mTOR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0.67 (0.29 - 1.56)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0.36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MVD + / -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3.99 (1.44 - 11.07)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2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.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32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 xml:space="preserve"> (0.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74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 xml:space="preserve"> - 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7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.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3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0)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PDGFR + / -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0.20 (0.07 - 0.57)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0.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88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 xml:space="preserve"> (0.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25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 xml:space="preserve">- 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3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.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14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)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PD-L1 + / -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0.15 (0.05 - 0.40)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0.18 (0.05 - 0.6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4</w:t>
            </w: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)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KDR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0.13 (0.05 - 0.37)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  <w:t>0.37 (0.10 - 1.36)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VEGF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2.72 (1.16 - 6.43)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0.02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1"/>
              </w:rPr>
            </w:pPr>
            <w:r>
              <w:rPr>
                <w:rFonts w:hint="eastAsia" w:ascii="Times" w:hAnsi="Times"/>
                <w:sz w:val="24"/>
                <w:szCs w:val="21"/>
              </w:rPr>
              <w:t>0.93 (0.29 - 3.02)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HSUV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1.02 (0.93 - 1.11)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0.67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WMTV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(0.99 - 1.02)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0.83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WTLG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(0.99 - 1.00)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0.25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/>
                <w:sz w:val="24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△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HSUV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0.94 (0.83 - 1.06)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0.32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△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WMTV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0.98 (0.92 - 1.04)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0.57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△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WTLG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0.94 (0.92 - 0.97)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" w:hAnsi="Times"/>
                <w:sz w:val="24"/>
                <w:szCs w:val="21"/>
              </w:rPr>
            </w:pPr>
            <w:r>
              <w:rPr>
                <w:rFonts w:hint="eastAsia" w:ascii="Times" w:hAnsi="Times"/>
                <w:sz w:val="24"/>
                <w:szCs w:val="21"/>
              </w:rPr>
              <w:t>0.96 (0.9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2</w:t>
            </w:r>
            <w:r>
              <w:rPr>
                <w:rFonts w:hint="eastAsia" w:ascii="Times" w:hAnsi="Times"/>
                <w:sz w:val="24"/>
                <w:szCs w:val="21"/>
              </w:rPr>
              <w:t xml:space="preserve"> - 0.99)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890" w:type="dxa"/>
            <w:gridSpan w:val="5"/>
            <w:tcBorders>
              <w:top w:val="single" w:color="auto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ascii="Times" w:hAnsi="Times"/>
                <w:sz w:val="20"/>
                <w:szCs w:val="16"/>
              </w:rPr>
              <w:t>E</w:t>
            </w:r>
            <w:r>
              <w:rPr>
                <w:rFonts w:hint="eastAsia" w:ascii="Times" w:hAnsi="Times"/>
                <w:sz w:val="20"/>
                <w:szCs w:val="16"/>
              </w:rPr>
              <w:t>COG</w:t>
            </w:r>
            <w:r>
              <w:rPr>
                <w:rFonts w:ascii="Times" w:hAnsi="Times"/>
                <w:sz w:val="20"/>
                <w:szCs w:val="16"/>
              </w:rPr>
              <w:t>-P</w:t>
            </w:r>
            <w:r>
              <w:rPr>
                <w:rFonts w:hint="eastAsia" w:ascii="Times" w:hAnsi="Times"/>
                <w:sz w:val="20"/>
                <w:szCs w:val="16"/>
              </w:rPr>
              <w:t>S</w:t>
            </w:r>
            <w:r>
              <w:rPr>
                <w:rFonts w:ascii="Times" w:hAnsi="Times"/>
                <w:sz w:val="20"/>
                <w:szCs w:val="16"/>
              </w:rPr>
              <w:t>, Eastern Cooperative Oncology Group Performance Score</w:t>
            </w:r>
            <w:r>
              <w:rPr>
                <w:rFonts w:hint="eastAsia" w:ascii="Times" w:hAnsi="Times"/>
                <w:sz w:val="20"/>
                <w:szCs w:val="16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0"/>
                <w:szCs w:val="16"/>
                <w:lang w:val="en-US" w:eastAsia="zh-CN"/>
              </w:rPr>
              <w:t>△</w:t>
            </w:r>
            <w:r>
              <w:rPr>
                <w:rFonts w:hint="eastAsia" w:ascii="Times New Roman" w:hAnsi="Times New Roman" w:eastAsia="宋体" w:cs="Times New Roman"/>
                <w:sz w:val="20"/>
                <w:szCs w:val="16"/>
                <w:lang w:val="en-US" w:eastAsia="zh-CN"/>
              </w:rPr>
              <w:t xml:space="preserve">, Improvement; </w:t>
            </w:r>
            <w:r>
              <w:rPr>
                <w:rFonts w:ascii="Times" w:hAnsi="Times"/>
                <w:sz w:val="20"/>
                <w:szCs w:val="16"/>
              </w:rPr>
              <w:t>WTLG, whole-body total lesion glycolysis; WMTV, whole-body metabolic tumor volume; HSUV, highes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>t</w:t>
            </w:r>
            <w:r>
              <w:rPr>
                <w:rFonts w:ascii="Times" w:hAnsi="Times"/>
                <w:sz w:val="20"/>
                <w:szCs w:val="16"/>
              </w:rPr>
              <w:t xml:space="preserve"> standardized uptake value.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 xml:space="preserve"> </w:t>
            </w:r>
          </w:p>
        </w:tc>
      </w:tr>
    </w:tbl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tbl>
      <w:tblPr>
        <w:tblStyle w:val="6"/>
        <w:tblpPr w:leftFromText="180" w:rightFromText="180" w:vertAnchor="text" w:horzAnchor="page" w:tblpX="3343" w:tblpY="143"/>
        <w:tblOverlap w:val="never"/>
        <w:tblW w:w="71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960"/>
        <w:gridCol w:w="870"/>
        <w:gridCol w:w="1930"/>
        <w:gridCol w:w="10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180" w:type="dxa"/>
            <w:gridSpan w:val="5"/>
            <w:tcBorders>
              <w:top w:val="nil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 w:cstheme="minorBidi"/>
                <w:b w:val="0"/>
                <w:bCs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 w:val="0"/>
                <w:bCs/>
                <w:sz w:val="24"/>
                <w:szCs w:val="21"/>
                <w:lang w:val="en-US" w:eastAsia="zh-CN"/>
              </w:rPr>
              <w:t>Supplementary Table 6. Survival Analysis of PET/CT and Pathological Biomarkers in Sunitinib Treatment Arm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b/>
                <w:sz w:val="24"/>
                <w:szCs w:val="21"/>
              </w:rPr>
            </w:pPr>
            <w:r>
              <w:rPr>
                <w:rFonts w:ascii="Times" w:hAnsi="Times"/>
                <w:b/>
                <w:sz w:val="24"/>
                <w:szCs w:val="21"/>
              </w:rPr>
              <w:t>Factor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 xml:space="preserve">Univariate 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>p</w:t>
            </w:r>
          </w:p>
        </w:tc>
        <w:tc>
          <w:tcPr>
            <w:tcW w:w="19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 xml:space="preserve">Multivariate </w:t>
            </w: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Age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1.01 (0.99 - 1.03)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0.43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Gender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0.93 (0.55 - 1.56)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0.78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Chemotherapy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0.99 (0.70 - 1.39)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0.94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ECOG-PS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0.81 (0.59 - 1.11)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0.20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Pathology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0.92 (0.66 - 1.28)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CAIX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1.48 (0.81 - 2.69)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0.20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mTOR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0.97 (0.58 - 1.64)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MVD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0.89 (0.50 - 1.56)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0.68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PDGFR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0.58 (0.30 - 1.10)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  <w:t>0.10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PD-L1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0.80 (0.47 - 1.38)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0.42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KDR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0.18 (0.09 - 0.38)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0.27 (0.12 - 0.59)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VEGF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5.89 (2.95 - 11.76)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3.63 (1.78 - 7.42)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HSUV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(0.94 - 1.06)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0.93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WMTV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(0.99 - 1.01)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WTLG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(1.00 - 1.01)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0.25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△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HSUV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0.99 (0.93 - 1.05)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0.63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△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WMTV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(0.97 - 1.02)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△</w:t>
            </w: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WTLG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0.98 (0.97 - 0.99)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0.98 (0.96 - 0.99)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0" w:type="dxa"/>
            <w:gridSpan w:val="5"/>
            <w:tcBorders>
              <w:top w:val="single" w:color="auto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ascii="Times" w:hAnsi="Times"/>
                <w:sz w:val="20"/>
                <w:szCs w:val="16"/>
              </w:rPr>
              <w:t>E</w:t>
            </w:r>
            <w:r>
              <w:rPr>
                <w:rFonts w:hint="eastAsia" w:ascii="Times" w:hAnsi="Times"/>
                <w:sz w:val="20"/>
                <w:szCs w:val="16"/>
              </w:rPr>
              <w:t>COG</w:t>
            </w:r>
            <w:r>
              <w:rPr>
                <w:rFonts w:ascii="Times" w:hAnsi="Times"/>
                <w:sz w:val="20"/>
                <w:szCs w:val="16"/>
              </w:rPr>
              <w:t>-P</w:t>
            </w:r>
            <w:r>
              <w:rPr>
                <w:rFonts w:hint="eastAsia" w:ascii="Times" w:hAnsi="Times"/>
                <w:sz w:val="20"/>
                <w:szCs w:val="16"/>
              </w:rPr>
              <w:t>S</w:t>
            </w:r>
            <w:r>
              <w:rPr>
                <w:rFonts w:ascii="Times" w:hAnsi="Times"/>
                <w:sz w:val="20"/>
                <w:szCs w:val="16"/>
              </w:rPr>
              <w:t>, Eastern Cooperative Oncology Group Performance Score</w:t>
            </w:r>
            <w:r>
              <w:rPr>
                <w:rFonts w:hint="eastAsia" w:ascii="Times" w:hAnsi="Times"/>
                <w:sz w:val="20"/>
                <w:szCs w:val="16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0"/>
                <w:szCs w:val="16"/>
                <w:lang w:val="en-US" w:eastAsia="zh-CN"/>
              </w:rPr>
              <w:t>△</w:t>
            </w:r>
            <w:r>
              <w:rPr>
                <w:rFonts w:hint="eastAsia" w:ascii="Times New Roman" w:hAnsi="Times New Roman" w:eastAsia="宋体" w:cs="Times New Roman"/>
                <w:sz w:val="20"/>
                <w:szCs w:val="16"/>
                <w:lang w:val="en-US" w:eastAsia="zh-CN"/>
              </w:rPr>
              <w:t xml:space="preserve">, Improvement; </w:t>
            </w:r>
            <w:r>
              <w:rPr>
                <w:rFonts w:ascii="Times" w:hAnsi="Times"/>
                <w:sz w:val="20"/>
                <w:szCs w:val="16"/>
              </w:rPr>
              <w:t>WTLG, whole-body total lesion glycolysis; WMTV, whole-body metabolic tumor volume; HSUV, highes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>t</w:t>
            </w:r>
            <w:r>
              <w:rPr>
                <w:rFonts w:ascii="Times" w:hAnsi="Times"/>
                <w:sz w:val="20"/>
                <w:szCs w:val="16"/>
              </w:rPr>
              <w:t xml:space="preserve"> standardized uptake value.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 xml:space="preserve"> </w:t>
            </w:r>
          </w:p>
        </w:tc>
      </w:tr>
    </w:tbl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>
      <w:pPr>
        <w:spacing w:beforeLines="0" w:afterLines="0"/>
        <w:rPr>
          <w:rFonts w:hint="default"/>
          <w:sz w:val="24"/>
          <w:szCs w:val="24"/>
        </w:rPr>
      </w:pPr>
    </w:p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tbl>
      <w:tblPr>
        <w:tblStyle w:val="6"/>
        <w:tblpPr w:leftFromText="180" w:rightFromText="180" w:vertAnchor="text" w:horzAnchor="page" w:tblpX="3342" w:tblpY="102"/>
        <w:tblOverlap w:val="never"/>
        <w:tblW w:w="71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960"/>
        <w:gridCol w:w="870"/>
        <w:gridCol w:w="1930"/>
        <w:gridCol w:w="10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7180" w:type="dxa"/>
            <w:gridSpan w:val="5"/>
            <w:tcBorders>
              <w:top w:val="nil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Supplementary Table 7. Survival Analysis of PET/CT and Pathological Biomarkers in ICI Treatment Arm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Factor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 xml:space="preserve">Univariate 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p</w:t>
            </w:r>
          </w:p>
        </w:tc>
        <w:tc>
          <w:tcPr>
            <w:tcW w:w="19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 xml:space="preserve">Multivariate </w:t>
            </w: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0.96 (0.95 - 0.99)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.97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 xml:space="preserve"> (0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.94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1.0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10205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10205"/>
                <w:sz w:val="24"/>
                <w:szCs w:val="24"/>
                <w:lang w:val="en-US" w:eastAsia="zh-CN"/>
              </w:rPr>
              <w:t>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Gender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0.83 (0.26 - 2.67)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0.32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Chemotherapy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0.91 (0.54 - 1.52)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0.72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ECOG-PS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0.92 (0.58 - 1.45)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0.71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Pathology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1.01 (0.65 - 1.58)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0.97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CAIX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1.12 (0.51 - 2.50)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0.77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mTOR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0.59 (0.26 - 1.32)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0.20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MVD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0.94 (0.42 -2.12)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0.88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PDGFR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2.12 (0.93 - 4.82)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0.07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PD-L1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0.25 (0.08 - 0.77)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0.23 (0.07 - 0.78)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KDR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1.21 (0.55 - 2.66)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0.64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VEGF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2.79 (0.98 - 7.90)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0.05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HSUV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0.95 (0.88 - 1.03)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0.19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WMTV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1.01 (0.97 - 1.03)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0.26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WTLG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1.00 (0.99 - 1.00)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0.34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△HSUV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1.00 (0.88 - 1.12)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0.94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△WMTV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1.00 (0.98 - 1.02)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0.18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△WTLG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0.96 (0.93 - 0.99)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0.96 (0.92-1.00)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0" w:type="dxa"/>
            <w:gridSpan w:val="5"/>
            <w:tcBorders>
              <w:top w:val="single" w:color="auto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ECOG-PS, Eastern Cooperative Oncology Group Performance Score；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△, Improvement;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WTLG, whole-body total lesion glycolysis; WMTV, whole-body metabolic tumor volume; HSUV, highes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standardized uptake value.</w:t>
            </w: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</w:p>
        </w:tc>
      </w:tr>
    </w:tbl>
    <w:p>
      <w:pPr>
        <w:tabs>
          <w:tab w:val="left" w:pos="3625"/>
        </w:tabs>
        <w:bidi w:val="0"/>
        <w:jc w:val="left"/>
        <w:rPr>
          <w:rFonts w:hint="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tbl>
      <w:tblPr>
        <w:tblStyle w:val="6"/>
        <w:tblpPr w:leftFromText="180" w:rightFromText="180" w:vertAnchor="text" w:horzAnchor="page" w:tblpX="3343" w:tblpY="133"/>
        <w:tblOverlap w:val="never"/>
        <w:tblW w:w="71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960"/>
        <w:gridCol w:w="870"/>
        <w:gridCol w:w="1930"/>
        <w:gridCol w:w="10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0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 w:val="0"/>
                <w:bCs/>
                <w:sz w:val="24"/>
                <w:szCs w:val="21"/>
                <w:lang w:val="en-US" w:eastAsia="zh-CN"/>
              </w:rPr>
              <w:t>Supplementary Table 8. Survival Analysis of PET/CT and Pathological Biomarkers in Negative Control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" w:hAnsi="Times"/>
                <w:b/>
                <w:sz w:val="24"/>
                <w:szCs w:val="21"/>
              </w:rPr>
            </w:pPr>
            <w:r>
              <w:rPr>
                <w:rFonts w:ascii="Times" w:hAnsi="Times"/>
                <w:b/>
                <w:sz w:val="24"/>
                <w:szCs w:val="21"/>
              </w:rPr>
              <w:t>Factor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 xml:space="preserve">Univariate 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>p</w:t>
            </w:r>
          </w:p>
        </w:tc>
        <w:tc>
          <w:tcPr>
            <w:tcW w:w="193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 xml:space="preserve">Multivariate </w:t>
            </w:r>
          </w:p>
        </w:tc>
        <w:tc>
          <w:tcPr>
            <w:tcW w:w="100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b/>
                <w:sz w:val="24"/>
                <w:szCs w:val="21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Age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(0.99 - 1.00)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0.59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Gender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1.244 (0.89 - 1.74)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0.20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Chemotherapy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0.81 (0.65 - 1.01)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0.06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ECOG-PS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1.03 (0.88 - 1.20)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0.74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Pathology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  <w:t>0.90 (0.74 - 1.10)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  <w:t>0.31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CAIX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0.71 (0.50 - 1.01)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0.06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mTOR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1.08 (0.76 - 1.55)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0.66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MVD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1.21 (0.84 - 1.76)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0.30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PDGFR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1.35 (0.96 - 1.91)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color w:val="000000"/>
                <w:sz w:val="24"/>
                <w:szCs w:val="21"/>
                <w:lang w:val="en-US" w:eastAsia="zh-CN"/>
              </w:rPr>
              <w:t>0.08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PD-L1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1.03 (0.74 - 1.45)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0.86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ind w:left="51" w:leftChars="-32" w:hanging="115" w:hangingChars="48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KDR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0.96 (0.69 - 1.35)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0.82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VEGF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1.32 (0.93 - 1.88)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0.13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HSUV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0.98 (0.94 - 1.01)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0.21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WMTV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1.00 (0.99 - 1.00)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0.86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1"/>
                <w:lang w:val="en-US" w:eastAsia="zh-CN"/>
              </w:rPr>
              <w:t>—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20" w:type="dxa"/>
            <w:shd w:val="clear" w:color="auto" w:fill="FFFFFF" w:themeFill="background1"/>
            <w:vAlign w:val="center"/>
          </w:tcPr>
          <w:p>
            <w:pPr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WTLG</w:t>
            </w:r>
          </w:p>
        </w:tc>
        <w:tc>
          <w:tcPr>
            <w:tcW w:w="196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0.99 (0.99 - 0.99)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  <w:tc>
          <w:tcPr>
            <w:tcW w:w="193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0.99 (0.99 - 0.99)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" w:hAnsi="Times" w:eastAsia="宋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Times" w:hAnsi="Times" w:eastAsia="宋体"/>
                <w:sz w:val="24"/>
                <w:szCs w:val="21"/>
                <w:lang w:val="en-US" w:eastAsia="zh-CN"/>
              </w:rPr>
              <w:t>&lt; 0.01</w:t>
            </w:r>
          </w:p>
        </w:tc>
      </w:tr>
    </w:tbl>
    <w:tbl>
      <w:tblPr>
        <w:tblStyle w:val="6"/>
        <w:tblpPr w:leftFromText="180" w:rightFromText="180" w:vertAnchor="text" w:horzAnchor="page" w:tblpX="3342" w:tblpY="116"/>
        <w:tblOverlap w:val="never"/>
        <w:tblW w:w="71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0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</w:pPr>
            <w:r>
              <w:rPr>
                <w:rFonts w:ascii="Times" w:hAnsi="Times"/>
                <w:sz w:val="20"/>
                <w:szCs w:val="16"/>
              </w:rPr>
              <w:t>E</w:t>
            </w:r>
            <w:r>
              <w:rPr>
                <w:rFonts w:hint="eastAsia" w:ascii="Times" w:hAnsi="Times"/>
                <w:sz w:val="20"/>
                <w:szCs w:val="16"/>
              </w:rPr>
              <w:t>COG</w:t>
            </w:r>
            <w:r>
              <w:rPr>
                <w:rFonts w:ascii="Times" w:hAnsi="Times"/>
                <w:sz w:val="20"/>
                <w:szCs w:val="16"/>
              </w:rPr>
              <w:t>-P</w:t>
            </w:r>
            <w:r>
              <w:rPr>
                <w:rFonts w:hint="eastAsia" w:ascii="Times" w:hAnsi="Times"/>
                <w:sz w:val="20"/>
                <w:szCs w:val="16"/>
              </w:rPr>
              <w:t>S</w:t>
            </w:r>
            <w:r>
              <w:rPr>
                <w:rFonts w:ascii="Times" w:hAnsi="Times"/>
                <w:sz w:val="20"/>
                <w:szCs w:val="16"/>
              </w:rPr>
              <w:t>, Eastern Cooperative Oncology Group Performance Score</w:t>
            </w:r>
            <w:r>
              <w:rPr>
                <w:rFonts w:hint="eastAsia" w:ascii="Times" w:hAnsi="Times"/>
                <w:sz w:val="20"/>
                <w:szCs w:val="16"/>
              </w:rPr>
              <w:t>；</w:t>
            </w:r>
            <w:r>
              <w:rPr>
                <w:rFonts w:hint="default" w:ascii="Times New Roman" w:hAnsi="Times New Roman" w:eastAsia="宋体" w:cs="Times New Roman"/>
                <w:sz w:val="20"/>
                <w:szCs w:val="16"/>
                <w:lang w:val="en-US" w:eastAsia="zh-CN"/>
              </w:rPr>
              <w:t>△</w:t>
            </w:r>
            <w:r>
              <w:rPr>
                <w:rFonts w:hint="eastAsia" w:ascii="Times New Roman" w:hAnsi="Times New Roman" w:eastAsia="宋体" w:cs="Times New Roman"/>
                <w:sz w:val="20"/>
                <w:szCs w:val="16"/>
                <w:lang w:val="en-US" w:eastAsia="zh-CN"/>
              </w:rPr>
              <w:t xml:space="preserve">, Improvement; </w:t>
            </w:r>
            <w:r>
              <w:rPr>
                <w:rFonts w:ascii="Times" w:hAnsi="Times"/>
                <w:sz w:val="20"/>
                <w:szCs w:val="16"/>
              </w:rPr>
              <w:t>WTLG, whole-body total lesion glycolysis; WMTV, whole-body metabolic tumor volume; HSUV, highes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>t</w:t>
            </w:r>
            <w:r>
              <w:rPr>
                <w:rFonts w:ascii="Times" w:hAnsi="Times"/>
                <w:sz w:val="20"/>
                <w:szCs w:val="16"/>
              </w:rPr>
              <w:t xml:space="preserve"> standardized uptake value.</w:t>
            </w:r>
            <w:r>
              <w:rPr>
                <w:rFonts w:hint="eastAsia" w:ascii="Times" w:hAnsi="Times" w:eastAsia="宋体"/>
                <w:sz w:val="20"/>
                <w:szCs w:val="16"/>
                <w:lang w:val="en-US" w:eastAsia="zh-CN"/>
              </w:rPr>
              <w:t xml:space="preserve"> 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sectPr>
      <w:pgSz w:w="12242" w:h="15842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337769"/>
    <w:rsid w:val="01AF64AF"/>
    <w:rsid w:val="01BA77AD"/>
    <w:rsid w:val="028449D1"/>
    <w:rsid w:val="03863027"/>
    <w:rsid w:val="03D77FB6"/>
    <w:rsid w:val="03DA647A"/>
    <w:rsid w:val="07B51908"/>
    <w:rsid w:val="0B0252B9"/>
    <w:rsid w:val="0B4E23FA"/>
    <w:rsid w:val="0B5226A3"/>
    <w:rsid w:val="0E9A1E6A"/>
    <w:rsid w:val="0F093562"/>
    <w:rsid w:val="0F862794"/>
    <w:rsid w:val="1002099C"/>
    <w:rsid w:val="126F5D9D"/>
    <w:rsid w:val="1310527C"/>
    <w:rsid w:val="13FF4BAD"/>
    <w:rsid w:val="14C20E9F"/>
    <w:rsid w:val="14C84064"/>
    <w:rsid w:val="1631047C"/>
    <w:rsid w:val="16391419"/>
    <w:rsid w:val="177B7BC7"/>
    <w:rsid w:val="1C2150F6"/>
    <w:rsid w:val="1C3422C1"/>
    <w:rsid w:val="1DCE2B88"/>
    <w:rsid w:val="1E776EC0"/>
    <w:rsid w:val="1F3846A7"/>
    <w:rsid w:val="202156AE"/>
    <w:rsid w:val="20594044"/>
    <w:rsid w:val="21926468"/>
    <w:rsid w:val="21E769DB"/>
    <w:rsid w:val="21E95996"/>
    <w:rsid w:val="254765F4"/>
    <w:rsid w:val="254D7C5D"/>
    <w:rsid w:val="25762106"/>
    <w:rsid w:val="25CC3BBF"/>
    <w:rsid w:val="260F695F"/>
    <w:rsid w:val="264753E1"/>
    <w:rsid w:val="28060838"/>
    <w:rsid w:val="28537E77"/>
    <w:rsid w:val="2B50772F"/>
    <w:rsid w:val="2B9078F8"/>
    <w:rsid w:val="2BA56658"/>
    <w:rsid w:val="2C995CF0"/>
    <w:rsid w:val="2DFC6B53"/>
    <w:rsid w:val="2E153800"/>
    <w:rsid w:val="2E2137E5"/>
    <w:rsid w:val="2FAC06DB"/>
    <w:rsid w:val="305E03E2"/>
    <w:rsid w:val="311F5344"/>
    <w:rsid w:val="31542D16"/>
    <w:rsid w:val="32F72DBE"/>
    <w:rsid w:val="33D45D4A"/>
    <w:rsid w:val="33ED4EE1"/>
    <w:rsid w:val="33FF55AD"/>
    <w:rsid w:val="34A768D9"/>
    <w:rsid w:val="35175BB9"/>
    <w:rsid w:val="36A95246"/>
    <w:rsid w:val="392D7D09"/>
    <w:rsid w:val="3A9022C8"/>
    <w:rsid w:val="3B086D1C"/>
    <w:rsid w:val="3D12129C"/>
    <w:rsid w:val="3D797E6A"/>
    <w:rsid w:val="3DD62B10"/>
    <w:rsid w:val="3E3D7FB1"/>
    <w:rsid w:val="3F4026AB"/>
    <w:rsid w:val="3FC878D0"/>
    <w:rsid w:val="41150CFF"/>
    <w:rsid w:val="413D28BF"/>
    <w:rsid w:val="43D61217"/>
    <w:rsid w:val="46415233"/>
    <w:rsid w:val="467D7EAF"/>
    <w:rsid w:val="467F4C2B"/>
    <w:rsid w:val="46B8126F"/>
    <w:rsid w:val="47706394"/>
    <w:rsid w:val="48A70854"/>
    <w:rsid w:val="491508F0"/>
    <w:rsid w:val="49343D5D"/>
    <w:rsid w:val="4B6A4B1A"/>
    <w:rsid w:val="4E492044"/>
    <w:rsid w:val="508A04BE"/>
    <w:rsid w:val="521A7F2C"/>
    <w:rsid w:val="52AE7CE3"/>
    <w:rsid w:val="52E45BCC"/>
    <w:rsid w:val="52E759A9"/>
    <w:rsid w:val="537E754F"/>
    <w:rsid w:val="556E3115"/>
    <w:rsid w:val="56CA6F98"/>
    <w:rsid w:val="57B33EB3"/>
    <w:rsid w:val="57C67763"/>
    <w:rsid w:val="580D35FA"/>
    <w:rsid w:val="59033C18"/>
    <w:rsid w:val="59045736"/>
    <w:rsid w:val="59060E91"/>
    <w:rsid w:val="595F14F5"/>
    <w:rsid w:val="5A875BE1"/>
    <w:rsid w:val="5AA10ADD"/>
    <w:rsid w:val="5B092C32"/>
    <w:rsid w:val="5E7E0660"/>
    <w:rsid w:val="5EBE6F45"/>
    <w:rsid w:val="5ED94C6E"/>
    <w:rsid w:val="6010096C"/>
    <w:rsid w:val="611067D0"/>
    <w:rsid w:val="62C91FF6"/>
    <w:rsid w:val="63315EDE"/>
    <w:rsid w:val="635E1578"/>
    <w:rsid w:val="63AE4E07"/>
    <w:rsid w:val="63FB3267"/>
    <w:rsid w:val="65D30309"/>
    <w:rsid w:val="663301C0"/>
    <w:rsid w:val="663C0B5B"/>
    <w:rsid w:val="69A17559"/>
    <w:rsid w:val="6C3F6E18"/>
    <w:rsid w:val="6D627242"/>
    <w:rsid w:val="6F371278"/>
    <w:rsid w:val="6F51212E"/>
    <w:rsid w:val="6FA41B85"/>
    <w:rsid w:val="723F7DCE"/>
    <w:rsid w:val="758E7BFD"/>
    <w:rsid w:val="7655568F"/>
    <w:rsid w:val="774A23E4"/>
    <w:rsid w:val="77545774"/>
    <w:rsid w:val="7A70234D"/>
    <w:rsid w:val="7B3E6E01"/>
    <w:rsid w:val="7D7B2DCC"/>
    <w:rsid w:val="7D913D86"/>
    <w:rsid w:val="7DA4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qFormat="1" w:uiPriority="99" w:semiHidden="0" w:name="heading 1"/>
    <w:lsdException w:qFormat="1"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color w:val="000000"/>
      <w:sz w:val="20"/>
      <w:szCs w:val="24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32"/>
      <w:szCs w:val="24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i/>
      <w:color w:val="000000"/>
      <w:sz w:val="28"/>
      <w:szCs w:val="24"/>
    </w:rPr>
  </w:style>
  <w:style w:type="paragraph" w:styleId="4">
    <w:name w:val="heading 3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theme="minorBidi"/>
      <w:b/>
      <w:color w:val="000000"/>
      <w:sz w:val="26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2021-06-09T06:49:00Z</dcterms:created>
  <dc:creator>Administrator</dc:creator>
  <cp:lastModifiedBy>Administrator</cp:lastModifiedBy>
  <dcterms:modified xsi:type="dcterms:W3CDTF">2021-06-19T13:45:33Z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CB1242A6C3D54B8882475282B1D31414</vt:lpwstr>
  </property>
</Properties>
</file>