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b/>
          <w:bCs/>
        </w:rPr>
      </w:pPr>
      <w:r>
        <w:rPr>
          <w:rFonts w:hint="eastAsia"/>
          <w:b/>
          <w:bCs/>
        </w:rPr>
        <w:t>Inclusion Criteria</w:t>
      </w:r>
    </w:p>
    <w:p>
      <w:r>
        <w:t xml:space="preserve">Patients must have had thorough clinical, endoscopic, and radiological investigations without any clue as to the site of primary lesion. </w:t>
      </w:r>
      <w:r>
        <w:rPr>
          <w:rFonts w:hint="eastAsia"/>
        </w:rPr>
        <w:t>Patients with one lymph node lesion w</w:t>
      </w:r>
      <w:r>
        <w:t>ere</w:t>
      </w:r>
      <w:r>
        <w:rPr>
          <w:rFonts w:hint="eastAsia"/>
        </w:rPr>
        <w:t xml:space="preserve"> excluded (n = 4). By means of surgical biopsy, t</w:t>
      </w:r>
      <w:r>
        <w:t xml:space="preserve">he pathological lesion of the </w:t>
      </w:r>
      <w:r>
        <w:rPr>
          <w:rFonts w:hint="eastAsia"/>
        </w:rPr>
        <w:t>visceral, bone</w:t>
      </w:r>
      <w:r>
        <w:t>,</w:t>
      </w:r>
      <w:r>
        <w:rPr>
          <w:rFonts w:hint="eastAsia"/>
        </w:rPr>
        <w:t xml:space="preserve"> or lymph nodes</w:t>
      </w:r>
      <w:r>
        <w:t xml:space="preserve"> was used to confirm the diagnosis of cancer of unknown primary (CUP).</w:t>
      </w:r>
      <w:r>
        <w:rPr>
          <w:rFonts w:hint="eastAsia"/>
        </w:rPr>
        <w:t xml:space="preserve"> </w:t>
      </w:r>
      <w:bookmarkStart w:id="0" w:name="_GoBack"/>
      <w:bookmarkEnd w:id="0"/>
    </w:p>
    <w:p>
      <w:r>
        <w:rPr>
          <w:rFonts w:hint="eastAsia"/>
          <w:b/>
          <w:bCs/>
        </w:rPr>
        <w:t>Immunohistochemistry</w:t>
      </w:r>
    </w:p>
    <w:p>
      <w:r>
        <w:rPr>
          <w:rFonts w:hint="eastAsia"/>
        </w:rPr>
        <w:t>The expression of potential sunitinib and ICI biomarkers w</w:t>
      </w:r>
      <w:r>
        <w:t>ere</w:t>
      </w:r>
      <w:r>
        <w:rPr>
          <w:rFonts w:hint="eastAsia"/>
        </w:rPr>
        <w:t xml:space="preserve"> assessed by immunohistochemistry, including VEGF, VEGF receptor-2 (KDR), PDGFR, carbonic anhydrase IX (CAIX), mTOR, CD31. KDR was involved in analysis because of high vascularity as consulted with the pathologists, and CD31 was used as the scale to delineate microvascular density (MVD) according to Gunde</w:t>
      </w:r>
      <w:r>
        <w:t>r</w:t>
      </w:r>
      <w:r>
        <w:rPr>
          <w:rFonts w:hint="eastAsia"/>
        </w:rPr>
        <w:t>sen et al</w:t>
      </w:r>
      <w:r>
        <w:fldChar w:fldCharType="begin"/>
      </w:r>
      <w:r>
        <w:instrText xml:space="preserve"> ADDIN EN.CITE &lt;EndNote&gt;&lt;Cite&gt;&lt;Author&gt;Gundersen&lt;/Author&gt;&lt;Year&gt;1988&lt;/Year&gt;&lt;RecNum&gt;50&lt;/RecNum&gt;&lt;DisplayText&gt;&lt;style face="superscript"&gt;1&lt;/style&gt;&lt;/DisplayText&gt;&lt;record&gt;&lt;rec-number&gt;50&lt;/rec-number&gt;&lt;foreign-keys&gt;&lt;key app="EN" db-id="d2zrd2rr3559xye5rpzvatzjsszwwsrpazvt" timestamp="1624092443"&gt;50&lt;/key&gt;&lt;/foreign-keys&gt;&lt;ref-type name="Journal Article"&gt;17&lt;/ref-type&gt;&lt;contributors&gt;&lt;authors&gt;&lt;author&gt;Gundersen, H. J.&lt;/author&gt;&lt;author&gt;Bendtsen, T. F.&lt;/author&gt;&lt;author&gt;Korbo, L.&lt;/author&gt;&lt;author&gt;Marcussen, N.&lt;/author&gt;&lt;author&gt;Møller, A.&lt;/author&gt;&lt;author&gt;Nielsen, K.&lt;/author&gt;&lt;author&gt;Nyengaard, J. R.&lt;/author&gt;&lt;author&gt;Pakkenberg, B.&lt;/author&gt;&lt;author&gt;Sørensen, F. B.&lt;/author&gt;&lt;author&gt;Vesterby, A.&lt;/author&gt;&lt;/authors&gt;&lt;/contributors&gt;&lt;auth-address&gt;Stereological Research Laboratory, University Institute of Pathology, Arhus, Denmark.&lt;/auth-address&gt;&lt;titles&gt;&lt;title&gt;Some new, simple and efficient stereological methods and their use in pathological research and diagnosis&lt;/title&gt;&lt;secondary-title&gt;Apmis&lt;/secondary-title&gt;&lt;alt-title&gt;APMIS : acta pathologica, microbiologica, et immunologica Scandinavica&lt;/alt-title&gt;&lt;/titles&gt;&lt;periodical&gt;&lt;full-title&gt;Apmis&lt;/full-title&gt;&lt;abbr-1&gt;APMIS : acta pathologica, microbiologica, et immunologica Scandinavica&lt;/abbr-1&gt;&lt;/periodical&gt;&lt;alt-periodical&gt;&lt;full-title&gt;Apmis&lt;/full-title&gt;&lt;abbr-1&gt;APMIS : acta pathologica, microbiologica, et immunologica Scandinavica&lt;/abbr-1&gt;&lt;/alt-periodical&gt;&lt;pages&gt;379-94&lt;/pages&gt;&lt;volume&gt;96&lt;/volume&gt;&lt;number&gt;5&lt;/number&gt;&lt;dates&gt;&lt;year&gt;1988&lt;/year&gt;&lt;pub-dates&gt;&lt;date&gt;May&lt;/date&gt;&lt;/pub-dates&gt;&lt;/dates&gt;&lt;isbn&gt;0903-4641&lt;/isbn&gt;&lt;accession-num&gt;3288247&lt;/accession-num&gt;&lt;urls&gt;&lt;/urls&gt;&lt;electronic-resource-num&gt;10.1111/j.1699-0463.1988.tb05320.x&lt;/electronic-resource-num&gt;&lt;remote-database-provider&gt;NLM&lt;/remote-database-provider&gt;&lt;language&gt;eng&lt;/language&gt;&lt;/record&gt;&lt;/Cite&gt;&lt;/EndNote&gt;</w:instrText>
      </w:r>
      <w:r>
        <w:fldChar w:fldCharType="separate"/>
      </w:r>
      <w:r>
        <w:rPr>
          <w:vertAlign w:val="superscript"/>
        </w:rPr>
        <w:t>1</w:t>
      </w:r>
      <w:r>
        <w:fldChar w:fldCharType="end"/>
      </w:r>
      <w:r>
        <w:rPr>
          <w:rFonts w:hint="eastAsia"/>
        </w:rPr>
        <w:t>. Microvessels were counted in five different fields with vascularity at 250 times of magnification. One CD31-positive vessel corresponded to one group of positive endothelial cells</w:t>
      </w:r>
      <w:r>
        <w:fldChar w:fldCharType="begin">
          <w:fldData xml:space="preserve">PEVuZE5vdGU+PENpdGU+PEF1dGhvcj5kZWwgUHVlcnRvLU5ldmFkbzwvQXV0aG9yPjxZZWFyPjIw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</w:fldData>
        </w:fldChar>
      </w:r>
      <w:r>
        <w:instrText xml:space="preserve"> ADDIN EN.CITE </w:instrText>
      </w:r>
      <w:r>
        <w:fldChar w:fldCharType="begin">
          <w:fldData xml:space="preserve">PEVuZE5vdGU+PENpdGU+PEF1dGhvcj5kZWwgUHVlcnRvLU5ldmFkbzwvQXV0aG9yPjxZZWFyPjIw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</w:fldData>
        </w:fldChar>
      </w:r>
      <w:r>
        <w:instrText xml:space="preserve"> ADDIN EN.CITE.DATA </w:instrText>
      </w:r>
      <w:r>
        <w:fldChar w:fldCharType="end"/>
      </w:r>
      <w:r>
        <w:fldChar w:fldCharType="separate"/>
      </w:r>
      <w:r>
        <w:rPr>
          <w:vertAlign w:val="superscript"/>
        </w:rPr>
        <w:t>2</w:t>
      </w:r>
      <w:r>
        <w:fldChar w:fldCharType="end"/>
      </w:r>
      <w:r>
        <w:rPr>
          <w:rFonts w:hint="eastAsia"/>
        </w:rPr>
        <w:t xml:space="preserve">. </w:t>
      </w:r>
    </w:p>
    <w:p>
      <w:r>
        <w:t>Tumor PD-L1 protein expression was assessed with the use of an automated immunohistochemical</w:t>
      </w:r>
      <w:r>
        <w:rPr>
          <w:rFonts w:hint="eastAsia"/>
        </w:rPr>
        <w:t xml:space="preserve"> </w:t>
      </w:r>
      <w:r>
        <w:t xml:space="preserve">assay </w:t>
      </w:r>
      <w:r>
        <w:rPr>
          <w:rFonts w:hint="eastAsia"/>
        </w:rPr>
        <w:t xml:space="preserve">kit </w:t>
      </w:r>
      <w:r>
        <w:t>(</w:t>
      </w:r>
      <w:r>
        <w:rPr>
          <w:rFonts w:hint="eastAsia"/>
        </w:rPr>
        <w:t>Dako</w:t>
      </w:r>
      <w:r>
        <w:t xml:space="preserve">) </w:t>
      </w:r>
      <w:r>
        <w:rPr>
          <w:rFonts w:hint="eastAsia"/>
        </w:rPr>
        <w:t>applying</w:t>
      </w:r>
      <w:r>
        <w:t xml:space="preserve"> rabbit antihuman PD-L1 antibody (</w:t>
      </w:r>
      <w:r>
        <w:rPr>
          <w:rFonts w:hint="eastAsia"/>
        </w:rPr>
        <w:t xml:space="preserve">clone 28-8 and 22C3, </w:t>
      </w:r>
      <w:r>
        <w:t>Epitomics). PD-L1</w:t>
      </w:r>
      <w:r>
        <w:rPr>
          <w:rFonts w:hint="eastAsia"/>
        </w:rPr>
        <w:t xml:space="preserve"> +</w:t>
      </w:r>
      <w:r>
        <w:t xml:space="preserve"> was confirmed when membrane</w:t>
      </w:r>
      <w:r>
        <w:rPr>
          <w:rFonts w:hint="eastAsia"/>
        </w:rPr>
        <w:t xml:space="preserve"> staining</w:t>
      </w:r>
      <w:r>
        <w:t xml:space="preserve"> </w:t>
      </w:r>
      <w:r>
        <w:rPr>
          <w:rFonts w:hint="eastAsia"/>
        </w:rPr>
        <w:t>of any intensity</w:t>
      </w:r>
      <w:r>
        <w:t xml:space="preserve"> was observed at levels of 1% or higher, 5% or higher, and 10% or higher in a section </w:t>
      </w:r>
      <w:r>
        <w:rPr>
          <w:rFonts w:hint="eastAsia"/>
        </w:rPr>
        <w:t>including &gt;</w:t>
      </w:r>
      <w:r>
        <w:t xml:space="preserve"> 100 tumor cells that could be evaluated.</w:t>
      </w:r>
    </w:p>
    <w:p>
      <w:pPr>
        <w:rPr>
          <w:b/>
          <w:bCs/>
        </w:rPr>
      </w:pPr>
      <w:r>
        <w:rPr>
          <w:rFonts w:hint="eastAsia"/>
          <w:b/>
          <w:bCs/>
        </w:rPr>
        <w:t>PET/CT imaging and analysis</w:t>
      </w:r>
    </w:p>
    <w:p>
      <w:pPr>
        <w:rPr>
          <w:rFonts w:ascii="Calibri" w:hAnsi="Calibri" w:cs="Calibri"/>
        </w:rPr>
      </w:pPr>
      <w:r>
        <w:rPr>
          <w:rFonts w:ascii="Calibri" w:hAnsi="Calibri" w:cs="Calibri"/>
        </w:rPr>
        <w:t>18F-FDG-PET/CT was performed 0</w:t>
      </w:r>
      <w:r>
        <w:rPr>
          <w:rFonts w:hint="eastAsia" w:ascii="Calibri" w:hAnsi="Calibri" w:cs="Calibri"/>
        </w:rPr>
        <w:t xml:space="preserve"> </w:t>
      </w:r>
      <w:r>
        <w:rPr>
          <w:rFonts w:ascii="Calibri" w:hAnsi="Calibri" w:cs="Calibri"/>
        </w:rPr>
        <w:t>–</w:t>
      </w:r>
      <w:r>
        <w:rPr>
          <w:rFonts w:hint="eastAsia" w:ascii="Calibri" w:hAnsi="Calibri" w:cs="Calibri"/>
        </w:rPr>
        <w:t xml:space="preserve"> 20</w:t>
      </w:r>
      <w:r>
        <w:rPr>
          <w:rFonts w:ascii="Calibri" w:hAnsi="Calibri" w:cs="Calibri"/>
        </w:rPr>
        <w:t xml:space="preserve"> days (median</w:t>
      </w:r>
      <w:r>
        <w:rPr>
          <w:rFonts w:hint="eastAsia" w:ascii="Calibri" w:hAnsi="Calibri" w:cs="Calibri"/>
        </w:rPr>
        <w:t xml:space="preserve"> =</w:t>
      </w:r>
      <w:r>
        <w:rPr>
          <w:rFonts w:ascii="Calibri" w:hAnsi="Calibri" w:cs="Calibri"/>
        </w:rPr>
        <w:t xml:space="preserve"> </w:t>
      </w:r>
      <w:r>
        <w:rPr>
          <w:rFonts w:hint="eastAsia" w:ascii="Calibri" w:hAnsi="Calibri" w:cs="Calibri"/>
        </w:rPr>
        <w:t xml:space="preserve">7 </w:t>
      </w:r>
      <w:r>
        <w:rPr>
          <w:rFonts w:ascii="Calibri" w:hAnsi="Calibri" w:cs="Calibri"/>
        </w:rPr>
        <w:t>day)</w:t>
      </w:r>
      <w:r>
        <w:rPr>
          <w:rFonts w:hint="eastAsia" w:ascii="Calibri" w:hAnsi="Calibri" w:cs="Calibri"/>
        </w:rPr>
        <w:t xml:space="preserve"> </w:t>
      </w:r>
      <w:r>
        <w:rPr>
          <w:rFonts w:ascii="Calibri" w:hAnsi="Calibri" w:cs="Calibri"/>
        </w:rPr>
        <w:t xml:space="preserve">before therapy. The second scan was performed </w:t>
      </w:r>
      <w:r>
        <w:rPr>
          <w:rFonts w:hint="eastAsia" w:ascii="Calibri" w:hAnsi="Calibri" w:cs="Calibri"/>
        </w:rPr>
        <w:t>12</w:t>
      </w:r>
      <w:r>
        <w:rPr>
          <w:rFonts w:ascii="Calibri" w:hAnsi="Calibri" w:cs="Calibri"/>
        </w:rPr>
        <w:t xml:space="preserve"> to</w:t>
      </w:r>
      <w:r>
        <w:rPr>
          <w:rFonts w:hint="eastAsia" w:ascii="Calibri" w:hAnsi="Calibri" w:cs="Calibri"/>
        </w:rPr>
        <w:t xml:space="preserve"> 19</w:t>
      </w:r>
      <w:r>
        <w:rPr>
          <w:rFonts w:ascii="Calibri" w:hAnsi="Calibri" w:cs="Calibri"/>
        </w:rPr>
        <w:t xml:space="preserve"> days (median 10 days) after cycles 2</w:t>
      </w:r>
      <w:r>
        <w:rPr>
          <w:rFonts w:hint="eastAsia" w:ascii="Calibri" w:hAnsi="Calibri" w:cs="Calibri"/>
        </w:rPr>
        <w:t xml:space="preserve"> to 4 </w:t>
      </w:r>
      <w:r>
        <w:rPr>
          <w:rFonts w:ascii="Calibri" w:hAnsi="Calibri" w:cs="Calibri"/>
        </w:rPr>
        <w:t>(week 12</w:t>
      </w:r>
      <w:r>
        <w:rPr>
          <w:rFonts w:hint="eastAsia" w:ascii="Calibri" w:hAnsi="Calibri" w:cs="Calibri"/>
        </w:rPr>
        <w:t xml:space="preserve"> or 24</w:t>
      </w:r>
      <w:r>
        <w:rPr>
          <w:rFonts w:ascii="Calibri" w:hAnsi="Calibri" w:cs="Calibri"/>
        </w:rPr>
        <w:t>)</w:t>
      </w:r>
      <w:r>
        <w:rPr>
          <w:rFonts w:hint="eastAsia" w:ascii="Calibri" w:hAnsi="Calibri" w:cs="Calibri"/>
        </w:rPr>
        <w:t>. if the patient discontinued the treatment,</w:t>
      </w:r>
      <w:r>
        <w:rPr>
          <w:rFonts w:ascii="Calibri" w:hAnsi="Calibri" w:cs="Calibri"/>
        </w:rPr>
        <w:t xml:space="preserve"> </w:t>
      </w:r>
      <w:r>
        <w:rPr>
          <w:rFonts w:hint="eastAsia" w:ascii="Calibri" w:hAnsi="Calibri" w:cs="Calibri"/>
        </w:rPr>
        <w:t xml:space="preserve">the PET/CT scan was performed after </w:t>
      </w:r>
      <w:r>
        <w:rPr>
          <w:rFonts w:ascii="Calibri" w:hAnsi="Calibri" w:cs="Calibri"/>
        </w:rPr>
        <w:t xml:space="preserve">the last drug dose. The control cohort was </w:t>
      </w:r>
      <w:r>
        <w:rPr>
          <w:rFonts w:hint="eastAsia" w:ascii="Calibri" w:hAnsi="Calibri" w:cs="Calibri"/>
        </w:rPr>
        <w:t>scanned</w:t>
      </w:r>
      <w:r>
        <w:rPr>
          <w:rFonts w:ascii="Calibri" w:hAnsi="Calibri" w:cs="Calibri"/>
        </w:rPr>
        <w:t xml:space="preserve"> with</w:t>
      </w:r>
      <w:r>
        <w:rPr>
          <w:rFonts w:hint="eastAsia" w:ascii="Calibri" w:hAnsi="Calibri" w:cs="Calibri"/>
        </w:rPr>
        <w:t xml:space="preserve"> </w:t>
      </w:r>
      <w:r>
        <w:rPr>
          <w:rFonts w:ascii="Calibri" w:hAnsi="Calibri" w:cs="Calibri"/>
        </w:rPr>
        <w:t xml:space="preserve">PET/CT </w:t>
      </w:r>
      <w:r>
        <w:rPr>
          <w:rFonts w:hint="eastAsia" w:ascii="Calibri" w:hAnsi="Calibri" w:cs="Calibri"/>
        </w:rPr>
        <w:t xml:space="preserve">only </w:t>
      </w:r>
      <w:r>
        <w:rPr>
          <w:rFonts w:ascii="Calibri" w:hAnsi="Calibri" w:cs="Calibri"/>
        </w:rPr>
        <w:t>at baselin</w:t>
      </w:r>
      <w:r>
        <w:rPr>
          <w:rFonts w:hint="eastAsia" w:ascii="Calibri" w:hAnsi="Calibri" w:cs="Calibri"/>
        </w:rPr>
        <w:t>e to test the imaging signature sensitivity in association with survival</w:t>
      </w:r>
      <w:r>
        <w:rPr>
          <w:rFonts w:ascii="Calibri" w:hAnsi="Calibri" w:cs="Calibri"/>
        </w:rPr>
        <w:t xml:space="preserve">. </w:t>
      </w:r>
    </w:p>
    <w:p>
      <w:r>
        <w:rPr>
          <w:rFonts w:hint="eastAsia"/>
        </w:rPr>
        <w:t xml:space="preserve">Sixty minutes following injection of 370MBq of 18F-FDG after 5 to 9 hours of fasting, patients were scanned with PET/CT scanners (Biograph, Siemens, combined with CT). those with hyperglycemia were not scanned until </w:t>
      </w:r>
      <w:r>
        <w:t xml:space="preserve">the </w:t>
      </w:r>
      <w:r>
        <w:rPr>
          <w:rFonts w:hint="eastAsia"/>
        </w:rPr>
        <w:t xml:space="preserve">next time when </w:t>
      </w:r>
      <w:r>
        <w:t xml:space="preserve">the </w:t>
      </w:r>
      <w:r>
        <w:rPr>
          <w:rFonts w:hint="eastAsia"/>
        </w:rPr>
        <w:t>value o</w:t>
      </w:r>
      <w:r>
        <w:t>f</w:t>
      </w:r>
      <w:r>
        <w:rPr>
          <w:rFonts w:hint="eastAsia"/>
        </w:rPr>
        <w:t xml:space="preserve"> glucometers w</w:t>
      </w:r>
      <w:r>
        <w:t>as</w:t>
      </w:r>
      <w:r>
        <w:rPr>
          <w:rFonts w:hint="eastAsia"/>
        </w:rPr>
        <w:t xml:space="preserve"> within </w:t>
      </w:r>
      <w:r>
        <w:t xml:space="preserve">the </w:t>
      </w:r>
      <w:r>
        <w:rPr>
          <w:rFonts w:hint="eastAsia"/>
        </w:rPr>
        <w:t xml:space="preserve">normal range. The images were reconstructed with </w:t>
      </w:r>
      <w:r>
        <w:t xml:space="preserve">a </w:t>
      </w:r>
      <w:r>
        <w:rPr>
          <w:rFonts w:hint="eastAsia"/>
        </w:rPr>
        <w:t>maximization algorithm of standard ordered subset expectation. Patients in both medical centers were scanned with scanners of the same algorithm, procedures</w:t>
      </w:r>
      <w:r>
        <w:t>,</w:t>
      </w:r>
      <w:r>
        <w:rPr>
          <w:rFonts w:hint="eastAsia"/>
        </w:rPr>
        <w:t xml:space="preserve"> and machine batch.</w:t>
      </w:r>
    </w:p>
    <w:p>
      <w:r>
        <w:rPr>
          <w:rFonts w:hint="eastAsia"/>
        </w:rPr>
        <w:t xml:space="preserve">For imaging masking and parameter analysis, E-soft (4.0, Siemens Medical Solutions) was applied for each whole-body image. The threshold of 50% was applied in the delineation of tumor contours. </w:t>
      </w:r>
      <w:r>
        <w:t>The h</w:t>
      </w:r>
      <w:r>
        <w:rPr>
          <w:rFonts w:hint="eastAsia"/>
        </w:rPr>
        <w:t xml:space="preserve">ighest standard uptake value (HSUV) was defined as the highest SUV of all lesions in the whole-body imaging analysis. Whole-body metabolic tumor volume was defined as the summation of metabolic tumor volumes of all lesions on PET images, which has been reported as a quantitative measurement of tumor cells with high metabolic activity. To simultaneously assess the 18-F FDG uptake and tumor volume, the total lesion glycolysis (TLG) was calculated as the product of MTV and average SUV. Whole-body TLG (WTLG) was the summation of TLG of all lesions in the images. </w:t>
      </w:r>
      <w:r>
        <w:rPr>
          <w:rFonts w:hint="eastAsia" w:ascii="Calibri" w:hAnsi="Calibri" w:cs="Calibri"/>
        </w:rPr>
        <w:t xml:space="preserve">Changes </w:t>
      </w:r>
      <w:r>
        <w:rPr>
          <w:rFonts w:ascii="Calibri" w:hAnsi="Calibri" w:cs="Calibri"/>
        </w:rPr>
        <w:t>(△</w:t>
      </w:r>
      <w:r>
        <w:rPr>
          <w:rFonts w:hint="eastAsia" w:ascii="Calibri" w:hAnsi="Calibri" w:cs="Calibri"/>
        </w:rPr>
        <w:t>) in WTLG, WMTV</w:t>
      </w:r>
      <w:r>
        <w:rPr>
          <w:rFonts w:ascii="Calibri" w:hAnsi="Calibri" w:cs="Calibri"/>
        </w:rPr>
        <w:t>,</w:t>
      </w:r>
      <w:r>
        <w:rPr>
          <w:rFonts w:hint="eastAsia" w:ascii="Calibri" w:hAnsi="Calibri" w:cs="Calibri"/>
        </w:rPr>
        <w:t xml:space="preserve"> and HSUV were defined as baseline parameters minus the follow-up parameters of each patient (</w:t>
      </w:r>
      <w:r>
        <w:rPr>
          <w:rFonts w:ascii="Calibri" w:hAnsi="Calibri" w:cs="Calibri"/>
        </w:rPr>
        <w:t>△</w:t>
      </w:r>
      <w:r>
        <w:rPr>
          <w:rFonts w:hint="eastAsia" w:ascii="Calibri" w:hAnsi="Calibri" w:cs="Calibri"/>
        </w:rPr>
        <w:t xml:space="preserve">WTLG, </w:t>
      </w:r>
      <w:r>
        <w:rPr>
          <w:rFonts w:ascii="Calibri" w:hAnsi="Calibri" w:cs="Calibri"/>
        </w:rPr>
        <w:t>△</w:t>
      </w:r>
      <w:r>
        <w:rPr>
          <w:rFonts w:hint="eastAsia" w:ascii="Calibri" w:hAnsi="Calibri" w:cs="Calibri"/>
        </w:rPr>
        <w:t>WMTV</w:t>
      </w:r>
      <w:r>
        <w:rPr>
          <w:rFonts w:ascii="Calibri" w:hAnsi="Calibri" w:cs="Calibri"/>
        </w:rPr>
        <w:t>,</w:t>
      </w:r>
      <w:r>
        <w:rPr>
          <w:rFonts w:hint="eastAsia" w:ascii="Calibri" w:hAnsi="Calibri" w:cs="Calibri"/>
        </w:rPr>
        <w:t xml:space="preserve"> and </w:t>
      </w:r>
      <w:r>
        <w:rPr>
          <w:rFonts w:ascii="Calibri" w:hAnsi="Calibri" w:cs="Calibri"/>
        </w:rPr>
        <w:t>△</w:t>
      </w:r>
      <w:r>
        <w:rPr>
          <w:rFonts w:hint="eastAsia" w:ascii="Calibri" w:hAnsi="Calibri" w:cs="Calibri"/>
        </w:rPr>
        <w:t>HSUV).</w:t>
      </w:r>
    </w:p>
    <w:p>
      <w:pPr>
        <w:rPr>
          <w:rFonts w:ascii="Calibri" w:hAnsi="Calibri" w:cs="Calibri"/>
        </w:rPr>
      </w:pPr>
    </w:p>
    <w:p>
      <w:pPr>
        <w:rPr>
          <w:rFonts w:ascii="Calibri" w:hAnsi="Calibri" w:cs="Calibri"/>
        </w:rPr>
      </w:pPr>
    </w:p>
    <w:p>
      <w:pPr>
        <w:pStyle w:val="11"/>
        <w:ind w:left="720" w:hanging="720"/>
      </w:pPr>
      <w:r>
        <w:fldChar w:fldCharType="begin"/>
      </w:r>
      <w:r>
        <w:instrText xml:space="preserve"> ADDIN EN.REFLIST </w:instrText>
      </w:r>
      <w:r>
        <w:fldChar w:fldCharType="separate"/>
      </w:r>
      <w:r>
        <w:t xml:space="preserve">1. Gundersen HJ, Bendtsen TF, Korbo L, et al. Some new, simple and efficient stereological methods and their use in pathological research and diagnosis. </w:t>
      </w:r>
      <w:r>
        <w:rPr>
          <w:i/>
        </w:rPr>
        <w:t>APMIS : acta pathologica, microbiologica, et immunologica Scandinavica</w:t>
      </w:r>
      <w:r>
        <w:t xml:space="preserve"> 1988;96(5):379-94. doi: 10.1111/j.1699-0463.1988.tb05320.x</w:t>
      </w:r>
    </w:p>
    <w:p>
      <w:pPr>
        <w:pStyle w:val="11"/>
        <w:ind w:left="720" w:hanging="720"/>
      </w:pPr>
      <w:r>
        <w:t xml:space="preserve">2. del Puerto-Nevado L, Rojo F, Zazo S, et al. Active angiogenesis in metastatic renal cell carcinoma predicts clinical benefit to sunitinib-based therapy. </w:t>
      </w:r>
      <w:r>
        <w:rPr>
          <w:i/>
        </w:rPr>
        <w:t>British journal of cancer</w:t>
      </w:r>
      <w:r>
        <w:t xml:space="preserve"> 2014;110(11):2700-7. doi: 10.1038/bjc.2014.225</w:t>
      </w:r>
    </w:p>
    <w:p>
      <w:pPr>
        <w:rPr>
          <w:rFonts w:ascii="Calibri" w:hAnsi="Calibri" w:cs="Calibri"/>
        </w:rPr>
      </w:pPr>
      <w:r>
        <w:rPr>
          <w:rFonts w:ascii="Calibri" w:hAnsi="Calibri" w:cs="Calibri"/>
        </w:rPr>
        <w:fldChar w:fldCharType="end"/>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trackRevisions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szA1M7U0NTMzNzUzMTVT0lEKTi0uzszPAykwqgUArE3atywAAAA="/>
    <w:docVar w:name="EN.InstantFormat" w:val="&lt;ENInstantFormat&gt;&lt;Enabled&gt;1&lt;/Enabled&gt;&lt;ScanUnformatted&gt;1&lt;/ScanUnformatted&gt;&lt;ScanChanges&gt;1&lt;/ScanChanges&gt;&lt;Suspended&gt;0&lt;/Suspended&gt;&lt;/ENInstantFormat&gt;"/>
    <w:docVar w:name="EN.Layout" w:val="&lt;ENLayout&gt;&lt;Style&gt;BMJ&lt;/Style&gt;&lt;LeftDelim&gt;{&lt;/LeftDelim&gt;&lt;RightDelim&gt;}&lt;/RightDelim&gt;&lt;FontName&gt;Calibri&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d2zrd2rr3559xye5rpzvatzjsszwwsrpazvt&quot;&gt;My EndNote Library&lt;record-ids&gt;&lt;item&gt;50&lt;/item&gt;&lt;item&gt;51&lt;/item&gt;&lt;/record-ids&gt;&lt;/item&gt;&lt;/Libraries&gt;"/>
  </w:docVars>
  <w:rsids>
    <w:rsidRoot w:val="001238E5"/>
    <w:rsid w:val="001238E5"/>
    <w:rsid w:val="001F304E"/>
    <w:rsid w:val="00956302"/>
    <w:rsid w:val="00C279AB"/>
    <w:rsid w:val="00D10DD9"/>
    <w:rsid w:val="00D15FA4"/>
    <w:rsid w:val="00E026B0"/>
    <w:rsid w:val="00F101ED"/>
    <w:rsid w:val="05C4777D"/>
    <w:rsid w:val="06680FB1"/>
    <w:rsid w:val="07255F13"/>
    <w:rsid w:val="078A4153"/>
    <w:rsid w:val="07EE7045"/>
    <w:rsid w:val="09F77146"/>
    <w:rsid w:val="0A0D43CF"/>
    <w:rsid w:val="0A561671"/>
    <w:rsid w:val="0A587F14"/>
    <w:rsid w:val="0B395F07"/>
    <w:rsid w:val="0B964992"/>
    <w:rsid w:val="0DBD20C5"/>
    <w:rsid w:val="0E4D66D8"/>
    <w:rsid w:val="10036EE8"/>
    <w:rsid w:val="101E4292"/>
    <w:rsid w:val="105B3353"/>
    <w:rsid w:val="11B717C5"/>
    <w:rsid w:val="1334323D"/>
    <w:rsid w:val="13CF7C72"/>
    <w:rsid w:val="13FE05D8"/>
    <w:rsid w:val="14CC3E06"/>
    <w:rsid w:val="16DD73E7"/>
    <w:rsid w:val="171E3C64"/>
    <w:rsid w:val="1A0956DC"/>
    <w:rsid w:val="1E8023FC"/>
    <w:rsid w:val="1FA51293"/>
    <w:rsid w:val="20BA6774"/>
    <w:rsid w:val="218A6854"/>
    <w:rsid w:val="21F35DCB"/>
    <w:rsid w:val="23C43651"/>
    <w:rsid w:val="25617ADF"/>
    <w:rsid w:val="260F60BE"/>
    <w:rsid w:val="29277F81"/>
    <w:rsid w:val="2B043EE3"/>
    <w:rsid w:val="2B4B5B11"/>
    <w:rsid w:val="32C33A90"/>
    <w:rsid w:val="339A5FC6"/>
    <w:rsid w:val="354A25AE"/>
    <w:rsid w:val="378C51F7"/>
    <w:rsid w:val="38E20F5C"/>
    <w:rsid w:val="393A259D"/>
    <w:rsid w:val="3A2A09EA"/>
    <w:rsid w:val="3A58023C"/>
    <w:rsid w:val="3ACE3EDD"/>
    <w:rsid w:val="3B656189"/>
    <w:rsid w:val="3D6C146C"/>
    <w:rsid w:val="3F030CDE"/>
    <w:rsid w:val="3F5464E5"/>
    <w:rsid w:val="3F654809"/>
    <w:rsid w:val="41005BF1"/>
    <w:rsid w:val="416A377B"/>
    <w:rsid w:val="4290666C"/>
    <w:rsid w:val="433F1964"/>
    <w:rsid w:val="4459724D"/>
    <w:rsid w:val="478B503F"/>
    <w:rsid w:val="47B8359E"/>
    <w:rsid w:val="4BC615F8"/>
    <w:rsid w:val="4C1859DD"/>
    <w:rsid w:val="4C8309BE"/>
    <w:rsid w:val="4E2166BD"/>
    <w:rsid w:val="51D21F39"/>
    <w:rsid w:val="54724C8A"/>
    <w:rsid w:val="54922C71"/>
    <w:rsid w:val="54E23CB2"/>
    <w:rsid w:val="55034002"/>
    <w:rsid w:val="57964C2E"/>
    <w:rsid w:val="581561A5"/>
    <w:rsid w:val="594F5A17"/>
    <w:rsid w:val="5AE12EF3"/>
    <w:rsid w:val="5FDF6564"/>
    <w:rsid w:val="61733625"/>
    <w:rsid w:val="625563F6"/>
    <w:rsid w:val="62961283"/>
    <w:rsid w:val="62BF4071"/>
    <w:rsid w:val="64AE1151"/>
    <w:rsid w:val="66F036DB"/>
    <w:rsid w:val="675E5D5E"/>
    <w:rsid w:val="680F2ED3"/>
    <w:rsid w:val="682A25BB"/>
    <w:rsid w:val="69384271"/>
    <w:rsid w:val="6AC6070C"/>
    <w:rsid w:val="6BC862F2"/>
    <w:rsid w:val="6C41180B"/>
    <w:rsid w:val="6CD738CA"/>
    <w:rsid w:val="6E54336D"/>
    <w:rsid w:val="6E9922F2"/>
    <w:rsid w:val="6F930587"/>
    <w:rsid w:val="6FC17094"/>
    <w:rsid w:val="707B1095"/>
    <w:rsid w:val="733533CF"/>
    <w:rsid w:val="735F5F45"/>
    <w:rsid w:val="73F74D07"/>
    <w:rsid w:val="74BA20A3"/>
    <w:rsid w:val="772F24F1"/>
    <w:rsid w:val="77622E4F"/>
    <w:rsid w:val="77B37656"/>
    <w:rsid w:val="78AF68C0"/>
    <w:rsid w:val="78BA6792"/>
    <w:rsid w:val="799D062E"/>
    <w:rsid w:val="79F96721"/>
    <w:rsid w:val="7A366A14"/>
    <w:rsid w:val="7A6F702D"/>
    <w:rsid w:val="7ACD5C7B"/>
    <w:rsid w:val="7D1128AC"/>
    <w:rsid w:val="7E5C466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qFormat/>
    <w:uiPriority w:val="0"/>
    <w:pPr>
      <w:tabs>
        <w:tab w:val="center" w:pos="4153"/>
        <w:tab w:val="right" w:pos="8306"/>
      </w:tabs>
      <w:snapToGrid w:val="0"/>
      <w:jc w:val="left"/>
    </w:pPr>
    <w:rPr>
      <w:sz w:val="18"/>
      <w:szCs w:val="18"/>
    </w:rPr>
  </w:style>
  <w:style w:type="paragraph" w:styleId="3">
    <w:name w:val="header"/>
    <w:basedOn w:val="1"/>
    <w:link w:val="7"/>
    <w:qFormat/>
    <w:uiPriority w:val="0"/>
    <w:pPr>
      <w:pBdr>
        <w:bottom w:val="single" w:color="auto" w:sz="6" w:space="1"/>
      </w:pBdr>
      <w:tabs>
        <w:tab w:val="center" w:pos="4153"/>
        <w:tab w:val="right" w:pos="8306"/>
      </w:tabs>
      <w:snapToGrid w:val="0"/>
      <w:jc w:val="center"/>
    </w:pPr>
    <w:rPr>
      <w:sz w:val="18"/>
      <w:szCs w:val="18"/>
    </w:rPr>
  </w:style>
  <w:style w:type="table" w:styleId="5">
    <w:name w:val="Table Grid"/>
    <w:basedOn w:val="4"/>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7">
    <w:name w:val="页眉 字符"/>
    <w:basedOn w:val="6"/>
    <w:link w:val="3"/>
    <w:qFormat/>
    <w:uiPriority w:val="0"/>
    <w:rPr>
      <w:rFonts w:asciiTheme="minorHAnsi" w:hAnsiTheme="minorHAnsi" w:eastAsiaTheme="minorEastAsia" w:cstheme="minorBidi"/>
      <w:kern w:val="2"/>
      <w:sz w:val="18"/>
      <w:szCs w:val="18"/>
    </w:rPr>
  </w:style>
  <w:style w:type="character" w:customStyle="1" w:styleId="8">
    <w:name w:val="页脚 字符"/>
    <w:basedOn w:val="6"/>
    <w:link w:val="2"/>
    <w:qFormat/>
    <w:uiPriority w:val="0"/>
    <w:rPr>
      <w:rFonts w:asciiTheme="minorHAnsi" w:hAnsiTheme="minorHAnsi" w:eastAsiaTheme="minorEastAsia" w:cstheme="minorBidi"/>
      <w:kern w:val="2"/>
      <w:sz w:val="18"/>
      <w:szCs w:val="18"/>
    </w:rPr>
  </w:style>
  <w:style w:type="paragraph" w:customStyle="1" w:styleId="9">
    <w:name w:val="EndNote Bibliography Title"/>
    <w:basedOn w:val="1"/>
    <w:link w:val="10"/>
    <w:qFormat/>
    <w:uiPriority w:val="0"/>
    <w:pPr>
      <w:jc w:val="center"/>
    </w:pPr>
    <w:rPr>
      <w:rFonts w:ascii="Calibri" w:hAnsi="Calibri" w:cs="Calibri"/>
      <w:sz w:val="20"/>
    </w:rPr>
  </w:style>
  <w:style w:type="character" w:customStyle="1" w:styleId="10">
    <w:name w:val="EndNote Bibliography Title 字符"/>
    <w:basedOn w:val="6"/>
    <w:link w:val="9"/>
    <w:qFormat/>
    <w:uiPriority w:val="0"/>
    <w:rPr>
      <w:rFonts w:ascii="Calibri" w:hAnsi="Calibri" w:cs="Calibri" w:eastAsiaTheme="minorEastAsia"/>
      <w:kern w:val="2"/>
      <w:szCs w:val="24"/>
    </w:rPr>
  </w:style>
  <w:style w:type="paragraph" w:customStyle="1" w:styleId="11">
    <w:name w:val="EndNote Bibliography"/>
    <w:basedOn w:val="1"/>
    <w:link w:val="12"/>
    <w:qFormat/>
    <w:uiPriority w:val="0"/>
    <w:rPr>
      <w:rFonts w:ascii="Calibri" w:hAnsi="Calibri" w:cs="Calibri"/>
      <w:sz w:val="20"/>
    </w:rPr>
  </w:style>
  <w:style w:type="character" w:customStyle="1" w:styleId="12">
    <w:name w:val="EndNote Bibliography 字符"/>
    <w:basedOn w:val="6"/>
    <w:link w:val="11"/>
    <w:qFormat/>
    <w:uiPriority w:val="0"/>
    <w:rPr>
      <w:rFonts w:ascii="Calibri" w:hAnsi="Calibri" w:cs="Calibri" w:eastAsiaTheme="minorEastAsia"/>
      <w:kern w:val="2"/>
      <w:szCs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Pages>
  <Words>831</Words>
  <Characters>4737</Characters>
  <Lines>39</Lines>
  <Paragraphs>11</Paragraphs>
  <TotalTime>2</TotalTime>
  <ScaleCrop>false</ScaleCrop>
  <LinksUpToDate>false</LinksUpToDate>
  <CharactersWithSpaces>5557</CharactersWithSpaces>
  <Application>WPS Office_11.1.0.10577_F1E327BC-269C-435d-A152-05C5408002CA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2021-06-19T09:21:00Z</dcterms:created>
  <dc:creator>Administrator</dc:creator>
  <cp:lastModifiedBy>Administrator</cp:lastModifiedBy>
  <dcterms:modified xsi:type="dcterms:W3CDTF">2021-06-30T13:07:35Z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2052-11.1.0.10577</vt:lpwstr>
  </property>
  <property fmtid="{D5CDD505-2E9C-101B-9397-08002B2CF9AE}" pid="3" name="ICV">
    <vt:lpwstr>003C05C0AC564BAB9972F0F15C736557</vt:lpwstr>
  </property>
</Properties>
</file>