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i w:val="0"/>
          <w:sz w:val="32"/>
          <w:szCs w:val="32"/>
        </w:rPr>
      </w:pPr>
      <w:r>
        <w:rPr>
          <w:rFonts w:hint="eastAsia" w:ascii="Arial" w:hAnsi="Arial" w:cs="Arial"/>
          <w:b/>
          <w:bCs/>
          <w:i w:val="0"/>
          <w:sz w:val="32"/>
          <w:szCs w:val="32"/>
          <w:lang w:val="en-US" w:eastAsia="zh-CN"/>
        </w:rPr>
        <w:t>S</w:t>
      </w:r>
      <w:r>
        <w:rPr>
          <w:rFonts w:ascii="Arial" w:hAnsi="Arial" w:cs="Arial"/>
          <w:b/>
          <w:bCs/>
          <w:i w:val="0"/>
          <w:sz w:val="32"/>
          <w:szCs w:val="32"/>
        </w:rPr>
        <w:t>upporting information</w:t>
      </w:r>
    </w:p>
    <w:tbl>
      <w:tblPr>
        <w:tblW w:w="726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0"/>
        <w:gridCol w:w="1340"/>
        <w:gridCol w:w="260"/>
        <w:gridCol w:w="3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7260" w:type="dxa"/>
            <w:gridSpan w:val="4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color="auto" w:sz="0" w:space="0"/>
              </w:rPr>
              <w:t>Supplemental Table 1. Primers in This Study.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Gene name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Primer name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Sequences (5' to 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7260" w:type="dxa"/>
            <w:gridSpan w:val="4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  <w:bdr w:val="none" w:color="auto" w:sz="0" w:space="0"/>
              </w:rPr>
              <w:t>qRT-PCR assays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2200" w:type="dxa"/>
            <w:vMerge w:val="restart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i/>
                <w:iCs/>
                <w:color w:val="000000"/>
                <w:sz w:val="20"/>
                <w:szCs w:val="20"/>
                <w:bdr w:val="none" w:color="auto" w:sz="0" w:space="0"/>
              </w:rPr>
              <w:t>Lgals1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Lgals1-F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ascii="Calibri" w:hAnsi="Calibri" w:cs="Calibri"/>
                <w:color w:val="000000"/>
                <w:sz w:val="24"/>
                <w:szCs w:val="24"/>
                <w:bdr w:val="none" w:color="auto" w:sz="0" w:space="0"/>
              </w:rPr>
              <w:t>TCAAACCTGGAGAGTGCCTT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2200" w:type="dxa"/>
            <w:vMerge w:val="continue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Lgals1-R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bdr w:val="none" w:color="auto" w:sz="0" w:space="0"/>
              </w:rPr>
              <w:t>CACACCTCTGCAACACTTCC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vMerge w:val="restart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i/>
                <w:iCs/>
                <w:color w:val="000000"/>
                <w:sz w:val="20"/>
                <w:szCs w:val="20"/>
                <w:bdr w:val="none" w:color="auto" w:sz="0" w:space="0"/>
              </w:rPr>
              <w:t>LMP1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LMP1-F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CTGCTGGAAATGATGGAGGC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vMerge w:val="continue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LMP1-R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AGAAGAACCCAAAAGCAGCG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vMerge w:val="restart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i/>
                <w:iCs/>
                <w:color w:val="000000"/>
                <w:sz w:val="20"/>
                <w:szCs w:val="20"/>
                <w:bdr w:val="none" w:color="auto" w:sz="0" w:space="0"/>
              </w:rPr>
              <w:t>PD-L1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PD-L1-F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GTGCCGACTACAAGCGAATT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2200" w:type="dxa"/>
            <w:vMerge w:val="continue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PD-L1-R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bdr w:val="none" w:color="auto" w:sz="0" w:space="0"/>
              </w:rPr>
              <w:t>CTTGGAATTGGTGGTGGTGG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2200" w:type="dxa"/>
            <w:vMerge w:val="restart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i/>
                <w:iCs/>
                <w:color w:val="000000"/>
                <w:sz w:val="20"/>
                <w:szCs w:val="20"/>
                <w:bdr w:val="none" w:color="auto" w:sz="0" w:space="0"/>
              </w:rPr>
              <w:t>IRF-1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IRF-1-F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bdr w:val="none" w:color="auto" w:sz="0" w:space="0"/>
              </w:rPr>
              <w:t>ATGCTTCCACCTCTCACCAA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CellSpacing w:w="0" w:type="dxa"/>
        </w:trPr>
        <w:tc>
          <w:tcPr>
            <w:tcW w:w="2200" w:type="dxa"/>
            <w:vMerge w:val="continue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IRF-1-R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bdr w:val="none" w:color="auto" w:sz="0" w:space="0"/>
              </w:rPr>
              <w:t>TGTAGCTGCTGTGGTCATCA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vMerge w:val="restart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i/>
                <w:iCs/>
                <w:color w:val="000000"/>
                <w:sz w:val="20"/>
                <w:szCs w:val="20"/>
                <w:bdr w:val="none" w:color="auto" w:sz="0" w:space="0"/>
              </w:rPr>
              <w:t>β-actin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β-actin-F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GAAGAGCTACGAGCTGCCTGA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CellSpacing w:w="0" w:type="dxa"/>
        </w:trPr>
        <w:tc>
          <w:tcPr>
            <w:tcW w:w="2200" w:type="dxa"/>
            <w:vMerge w:val="continue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β-actin-R</w:t>
            </w:r>
          </w:p>
        </w:tc>
        <w:tc>
          <w:tcPr>
            <w:tcW w:w="26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3440" w:type="dxa"/>
            <w:tcBorders>
              <w:bottom w:val="single" w:color="000000" w:sz="4" w:space="0"/>
            </w:tcBorders>
            <w:shd w:val="clear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CAGACAGCACTGTGTTGGCG</w:t>
            </w:r>
          </w:p>
        </w:tc>
      </w:tr>
    </w:tbl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64910" cy="252730"/>
                <wp:effectExtent l="0" t="0" r="0" b="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hAnsiTheme="minorBidi" w:eastAsiaTheme="minorEastAsia"/>
                                <w:b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Supplemental Table 2</w:t>
                            </w:r>
                            <w:r>
                              <w:rPr>
                                <w:rFonts w:ascii="Arial" w:hAnsi="Arial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 General information and clinical characteristics of patients.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0pt;margin-top:0pt;height:19.9pt;width:493.3pt;z-index:251659264;mso-width-relative:page;mso-height-relative:page;" filled="f" stroked="f" coordsize="21600,21600" o:gfxdata="UEsDBAoAAAAAAIdO4kAAAAAAAAAAAAAAAAAEAAAAZHJzL1BLAwQUAAAACACHTuJAeEr9o9MAAAAE&#10;AQAADwAAAGRycy9kb3ducmV2LnhtbE2PwU7DMBBE70j8g7VIvVE7IKI0xKkQUIkDF0q4u/ESR8Tr&#10;KN426d9juMBlpdGMZt5W28UP4oRT7ANpyNYKBFIbbE+dhuZ9d12AiGzImiEQajhjhG19eVGZ0oaZ&#10;3vC0506kEoql0eCYx1LK2Dr0Jq7DiJS8zzB5w0lOnbSTmVO5H+SNUrn0pqe04MyIjw7br/3Ra2C2&#10;D9m5efbx5WN5fZqdau9Mo/XqKlP3IBgX/gvDD35ChzoxHcKRbBSDhvQI/97kbYo8B3HQcLspQNaV&#10;/A9ffwNQSwMEFAAAAAgAh07iQN/DBHzDAQAAcwMAAA4AAABkcnMvZTJvRG9jLnhtbK1TS44TMRDd&#10;I3EHy3vSSUMyTCvOCBQNGwRIAwdw3Hbakn+4nHTnAnADVmzYc66cg7K7J4OGzSzYuO36vKr3qnp9&#10;M1hDjjKC9o7RxWxOiXTCt9rtGf3y+fbFa0ogcddy451k9CSB3myeP1v3oZG177xpZSQI4qDpA6Nd&#10;SqGpKhCdtBxmPkiHTuWj5QmfcV+1kfeIbk1Vz+erqvexDdELCYDW7eikE2J8CqBXSgu59eJgpUsj&#10;apSGJ6QEnQ5AN6VbpaRIH5UCmYhhFJmmcmIRvO/yWW3WvNlHHjotphb4U1p4xMly7bDoBWrLEyeH&#10;qP+BslpED16lmfC2GokURZDFYv5Im7uOB1m4oNQQLqLD/4MVH46fItEto1eUOG5x4Ocf388/f59/&#10;fSOrLE8foMGou4BxaXjrB1yaezugMbMeVLT5i3wI+lHc00VcOSQi0LiqV6+uF+gS6KuX9dXLon71&#10;kB0ipHfSW5IvjEYcXtGUH99Dwk4w9D4kF3P+VhtTBmgc6Rm9XtbLknDxYIZxmJg5jL3mWxp2w0Rs&#10;59sT8upxARiFrwces94cg98cEuKXsjlnDJygcBalm2lv8rD/fpeoh39l8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4Sv2j0wAAAAQBAAAPAAAAAAAAAAEAIAAAACIAAABkcnMvZG93bnJldi54bWxQ&#10;SwECFAAUAAAACACHTuJA38MEfMMBAABzAwAADgAAAAAAAAABACAAAAAi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 w:firstLine="0"/>
                        <w:jc w:val="left"/>
                      </w:pPr>
                      <w:r>
                        <w:rPr>
                          <w:rFonts w:ascii="Arial" w:hAnsiTheme="minorBidi" w:eastAsiaTheme="minorEastAsia"/>
                          <w:b/>
                          <w:color w:val="000000"/>
                          <w:kern w:val="24"/>
                          <w:sz w:val="21"/>
                          <w:szCs w:val="21"/>
                        </w:rPr>
                        <w:t>Supplemental Table 2</w:t>
                      </w:r>
                      <w:r>
                        <w:rPr>
                          <w:rFonts w:ascii="Arial" w:hAnsi="Arial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 General information and clinical characteristics of patients.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575310</wp:posOffset>
            </wp:positionH>
            <wp:positionV relativeFrom="paragraph">
              <wp:posOffset>312420</wp:posOffset>
            </wp:positionV>
            <wp:extent cx="4290695" cy="5651500"/>
            <wp:effectExtent l="0" t="0" r="1905" b="0"/>
            <wp:wrapNone/>
            <wp:docPr id="1" name="tab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1013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3999865</wp:posOffset>
                </wp:positionV>
                <wp:extent cx="4276090" cy="2837815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090" cy="283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Times New Roman" w:hAnsi="Times New Roman" w:eastAsia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Abbreviations: EBV, Epstein-Barrvirus; M metastasis; N, node; T, tumor.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45.9pt;margin-top:314.95pt;height:223.45pt;width:336.7pt;z-index:251661312;mso-width-relative:page;mso-height-relative:page;" filled="f" stroked="f" coordsize="21600,21600" o:gfxdata="UEsDBAoAAAAAAIdO4kAAAAAAAAAAAAAAAAAEAAAAZHJzL1BLAwQUAAAACACHTuJAPG2dxNkAAAAL&#10;AQAADwAAAGRycy9kb3ducmV2LnhtbE2Py07DMBBF90j8gzWV2FE7kZo2IU6FeEgs2FDCfhoPSdR4&#10;HMVuk/49ZgXL0T2690y5X+wgLjT53rGGZK1AEDfO9NxqqD9f73cgfEA2ODgmDVfysK9ub0osjJv5&#10;gy6H0IpYwr5ADV0IYyGlbzqy6NduJI7Zt5sshnhOrTQTzrHcDjJVKpMWe44LHY701FFzOpythhDM&#10;Y3KtX6x/+1ren+dONRustb5bJeoBRKAl/MHwqx/VoYpOR3dm48WgIU+iedCQpXkOIgLbbJOCOEZS&#10;bbMdyKqU/3+ofgBQSwMEFAAAAAgAh07iQMoqu3nEAQAAdAMAAA4AAABkcnMvZTJvRG9jLnhtbK1T&#10;S27bMBDdF+gdCO5ryWqdOILlIIWRboq2QNoD0BRpEeCvHNqSL9DeoKtuuu+5fI4MKcUp0k0W2VDk&#10;zOObeW+o1fVgNDmIAMrZhs5nJSXCctcqu2vot6+3b5aUQGS2ZdpZ0dCjAHq9fv1q1ftaVK5zuhWB&#10;IImFuvcN7WL0dVEA74RhMHNeWExKFwyLeAy7og2sR3aji6osL4rehdYHxwUARjdjkk6M4TmETkrF&#10;xcbxvRE2jqxBaBZREnTKA13nbqUUPH6WEkQkuqGoNOYVi+B+m9ZivWL1LjDfKT61wJ7TwhNNhimL&#10;Rc9UGxYZ2Qf1H5VRPDhwMs64M8UoJDuCKublE2/uOuZF1oJWgz+bDi9Hyz8dvgSi2oZeUWKZwYGf&#10;fv08/f57+vODLJM9vYcaUXcecXF47wZ8NA9xwGBSPchg0hf1EMyjucezuWKIhGPwXXV5UV5himOu&#10;Wr69XM4Xiad4vO4DxA/CGZI2DQ04vWwqO3yEOEIfIKmadbdK6zxBbUmPEhbVIl84Z5BcW6yRRIzN&#10;pl0ctsOkbOvaIwrr8QU0FL7vWUiGMwTf7CPy57LpzgicqHAYufHp4aRp/3vOqMefZX0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G2dxNkAAAALAQAADwAAAAAAAAABACAAAAAiAAAAZHJzL2Rvd25y&#10;ZXYueG1sUEsBAhQAFAAAAAgAh07iQMoqu3nEAQAAd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 w:firstLine="0"/>
                        <w:jc w:val="left"/>
                      </w:pP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/>
                          <w:kern w:val="24"/>
                          <w:sz w:val="21"/>
                          <w:szCs w:val="21"/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Times New Roman" w:hAnsi="Times New Roman" w:eastAsia="宋体"/>
                          <w:color w:val="000000" w:themeColor="text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Abbreviations: EBV, Epstein-Barrvirus; M metastasis; N, node; T, tumor.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</w:p>
    <w:p>
      <w:pPr>
        <w:jc w:val="both"/>
        <w:rPr>
          <w:rFonts w:ascii="Arial" w:hAnsi="Arial" w:cs="Arial"/>
          <w:b/>
          <w:bCs/>
          <w:i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52C60"/>
    <w:rsid w:val="3D3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2022-03-22T03:20:00Z</dcterms:created>
  <dc:creator>Doctor Cai</dc:creator>
  <cp:lastModifiedBy>Doctor Cai</cp:lastModifiedBy>
  <dcterms:modified xsi:type="dcterms:W3CDTF">2022-03-22T03:23:38Z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63A2C5CEC8B04689B5EF3421E57440BC</vt:lpwstr>
  </property>
</Properties>
</file>