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21B2C2" w14:textId="77777777" w:rsidR="00CB59DD" w:rsidRPr="00535962" w:rsidRDefault="00CB59DD" w:rsidP="00CB59DD">
      <w:pPr>
        <w:spacing w:line="480" w:lineRule="auto"/>
        <w:rPr>
          <w:rFonts w:ascii="Times New Roman" w:hAnsi="Times New Roman" w:cs="Times New Roman"/>
          <w:szCs w:val="21"/>
        </w:rPr>
      </w:pPr>
      <w:r w:rsidRPr="00535962">
        <w:rPr>
          <w:rFonts w:ascii="Times New Roman" w:hAnsi="Times New Roman" w:cs="Times New Roman"/>
          <w:szCs w:val="21"/>
        </w:rPr>
        <w:t>Establishment and assessment of an amplicon sequencing method targeting the 16S-ITS-23S rRNA operon for analysis of the equine gut microbiome</w:t>
      </w:r>
    </w:p>
    <w:p w14:paraId="5ED36FA7" w14:textId="77777777" w:rsidR="00CB59DD" w:rsidRPr="00535962" w:rsidRDefault="00CB59DD" w:rsidP="00CB59DD">
      <w:pPr>
        <w:spacing w:line="480" w:lineRule="auto"/>
        <w:rPr>
          <w:rFonts w:ascii="Times New Roman" w:hAnsi="Times New Roman" w:cs="Times New Roman"/>
          <w:szCs w:val="21"/>
        </w:rPr>
      </w:pPr>
    </w:p>
    <w:p w14:paraId="706F35D4" w14:textId="57384408" w:rsidR="00CB59DD" w:rsidRPr="00535962" w:rsidRDefault="00CB59DD" w:rsidP="00CB59DD">
      <w:pPr>
        <w:pStyle w:val="Authors"/>
        <w:spacing w:line="480" w:lineRule="auto"/>
        <w:jc w:val="both"/>
        <w:rPr>
          <w:sz w:val="21"/>
          <w:szCs w:val="21"/>
        </w:rPr>
      </w:pPr>
      <w:r w:rsidRPr="00535962">
        <w:rPr>
          <w:sz w:val="21"/>
          <w:szCs w:val="21"/>
        </w:rPr>
        <w:t>Yuta KINOSHITA</w:t>
      </w:r>
      <w:r w:rsidRPr="00535962">
        <w:rPr>
          <w:sz w:val="21"/>
          <w:szCs w:val="21"/>
          <w:vertAlign w:val="superscript"/>
        </w:rPr>
        <w:t>1,</w:t>
      </w:r>
      <w:bookmarkStart w:id="0" w:name="_Hlk62805513"/>
      <w:r w:rsidR="006D1F3C">
        <w:rPr>
          <w:rFonts w:hint="eastAsia"/>
          <w:sz w:val="21"/>
          <w:szCs w:val="21"/>
          <w:vertAlign w:val="superscript"/>
          <w:lang w:eastAsia="ja-JP"/>
        </w:rPr>
        <w:t>＊</w:t>
      </w:r>
      <w:bookmarkEnd w:id="0"/>
      <w:r w:rsidRPr="00535962">
        <w:rPr>
          <w:sz w:val="21"/>
          <w:szCs w:val="21"/>
        </w:rPr>
        <w:t xml:space="preserve">, </w:t>
      </w:r>
      <w:proofErr w:type="spellStart"/>
      <w:r w:rsidRPr="00535962">
        <w:rPr>
          <w:sz w:val="21"/>
          <w:szCs w:val="21"/>
        </w:rPr>
        <w:t>Hidekazu</w:t>
      </w:r>
      <w:proofErr w:type="spellEnd"/>
      <w:r w:rsidRPr="00535962">
        <w:rPr>
          <w:sz w:val="21"/>
          <w:szCs w:val="21"/>
        </w:rPr>
        <w:t xml:space="preserve"> NIWA</w:t>
      </w:r>
      <w:r w:rsidRPr="00535962">
        <w:rPr>
          <w:sz w:val="21"/>
          <w:szCs w:val="21"/>
          <w:vertAlign w:val="superscript"/>
        </w:rPr>
        <w:t>1</w:t>
      </w:r>
      <w:r w:rsidRPr="00535962">
        <w:rPr>
          <w:sz w:val="21"/>
          <w:szCs w:val="21"/>
        </w:rPr>
        <w:t>, Eri UCHIDA-FUJII</w:t>
      </w:r>
      <w:r w:rsidRPr="00535962">
        <w:rPr>
          <w:sz w:val="21"/>
          <w:szCs w:val="21"/>
          <w:vertAlign w:val="superscript"/>
        </w:rPr>
        <w:t>1</w:t>
      </w:r>
      <w:r w:rsidRPr="00535962">
        <w:rPr>
          <w:sz w:val="21"/>
          <w:szCs w:val="21"/>
        </w:rPr>
        <w:t>, Toshio NUKADA</w:t>
      </w:r>
      <w:r w:rsidRPr="00535962">
        <w:rPr>
          <w:sz w:val="21"/>
          <w:szCs w:val="21"/>
          <w:vertAlign w:val="superscript"/>
        </w:rPr>
        <w:t>1</w:t>
      </w:r>
    </w:p>
    <w:p w14:paraId="7570EFE3" w14:textId="77777777" w:rsidR="00CB59DD" w:rsidRPr="00535962" w:rsidRDefault="00CB59DD" w:rsidP="00CB59DD">
      <w:pPr>
        <w:pStyle w:val="Authors"/>
        <w:spacing w:line="480" w:lineRule="auto"/>
        <w:jc w:val="both"/>
        <w:rPr>
          <w:sz w:val="21"/>
          <w:szCs w:val="21"/>
        </w:rPr>
      </w:pPr>
    </w:p>
    <w:p w14:paraId="08AFCAA2" w14:textId="77777777" w:rsidR="00CB59DD" w:rsidRPr="00535962" w:rsidRDefault="00CB59DD" w:rsidP="00CB59DD">
      <w:pPr>
        <w:pStyle w:val="Address"/>
        <w:spacing w:line="480" w:lineRule="auto"/>
        <w:jc w:val="both"/>
        <w:rPr>
          <w:sz w:val="21"/>
          <w:szCs w:val="21"/>
        </w:rPr>
      </w:pPr>
      <w:r w:rsidRPr="00535962">
        <w:rPr>
          <w:sz w:val="21"/>
          <w:szCs w:val="21"/>
          <w:vertAlign w:val="superscript"/>
        </w:rPr>
        <w:t>1</w:t>
      </w:r>
      <w:r w:rsidRPr="00535962">
        <w:rPr>
          <w:sz w:val="21"/>
          <w:szCs w:val="21"/>
        </w:rPr>
        <w:t xml:space="preserve">Microbiology Division, Equine Research Institute, Japan Racing Association, 1400-4 Shiba, </w:t>
      </w:r>
      <w:proofErr w:type="spellStart"/>
      <w:r w:rsidRPr="00535962">
        <w:rPr>
          <w:sz w:val="21"/>
          <w:szCs w:val="21"/>
        </w:rPr>
        <w:t>Shimotsuke</w:t>
      </w:r>
      <w:proofErr w:type="spellEnd"/>
      <w:r w:rsidRPr="00535962">
        <w:rPr>
          <w:sz w:val="21"/>
          <w:szCs w:val="21"/>
        </w:rPr>
        <w:t>, Tochigi 329-0412, Japan</w:t>
      </w:r>
    </w:p>
    <w:p w14:paraId="5AFD635F" w14:textId="77777777" w:rsidR="00CB59DD" w:rsidRPr="00535962" w:rsidRDefault="00CB59DD" w:rsidP="00CB59DD">
      <w:pPr>
        <w:pStyle w:val="Address"/>
        <w:spacing w:line="480" w:lineRule="auto"/>
        <w:jc w:val="both"/>
        <w:rPr>
          <w:sz w:val="21"/>
          <w:szCs w:val="21"/>
        </w:rPr>
      </w:pPr>
    </w:p>
    <w:p w14:paraId="0398D62A" w14:textId="77777777" w:rsidR="00E96D54" w:rsidRDefault="006D1F3C" w:rsidP="006D1F3C">
      <w:pPr>
        <w:pStyle w:val="1"/>
        <w:spacing w:line="480" w:lineRule="auto"/>
        <w:jc w:val="both"/>
        <w:rPr>
          <w:sz w:val="21"/>
          <w:szCs w:val="21"/>
        </w:rPr>
      </w:pPr>
      <w:r>
        <w:rPr>
          <w:rFonts w:hint="eastAsia"/>
          <w:sz w:val="21"/>
          <w:szCs w:val="21"/>
          <w:vertAlign w:val="superscript"/>
          <w:lang w:eastAsia="ja-JP"/>
        </w:rPr>
        <w:t>＊</w:t>
      </w:r>
      <w:r w:rsidR="00CB59DD" w:rsidRPr="00535962">
        <w:rPr>
          <w:sz w:val="21"/>
          <w:szCs w:val="21"/>
          <w:vertAlign w:val="superscript"/>
        </w:rPr>
        <w:t> </w:t>
      </w:r>
      <w:r w:rsidR="00CB59DD" w:rsidRPr="00535962">
        <w:rPr>
          <w:sz w:val="21"/>
          <w:szCs w:val="21"/>
        </w:rPr>
        <w:t>Correspondence to: Yuta Kinoshita</w:t>
      </w:r>
    </w:p>
    <w:p w14:paraId="7811E880" w14:textId="05ED81CA" w:rsidR="00E96D54" w:rsidRDefault="00CB59DD" w:rsidP="006D1F3C">
      <w:pPr>
        <w:pStyle w:val="1"/>
        <w:spacing w:line="480" w:lineRule="auto"/>
        <w:jc w:val="both"/>
        <w:rPr>
          <w:sz w:val="21"/>
          <w:szCs w:val="21"/>
        </w:rPr>
      </w:pPr>
      <w:r w:rsidRPr="00535962">
        <w:rPr>
          <w:sz w:val="21"/>
          <w:szCs w:val="21"/>
        </w:rPr>
        <w:t xml:space="preserve">Microbiology Division, Equine Research Institute, Japan Racing Association, 1400-4 Shiba, </w:t>
      </w:r>
      <w:proofErr w:type="spellStart"/>
      <w:r w:rsidRPr="00535962">
        <w:rPr>
          <w:sz w:val="21"/>
          <w:szCs w:val="21"/>
        </w:rPr>
        <w:t>Shimotsuke</w:t>
      </w:r>
      <w:proofErr w:type="spellEnd"/>
      <w:r w:rsidRPr="00535962">
        <w:rPr>
          <w:sz w:val="21"/>
          <w:szCs w:val="21"/>
        </w:rPr>
        <w:t>, Tochigi 329-0412, Japan.</w:t>
      </w:r>
    </w:p>
    <w:p w14:paraId="378AF44A" w14:textId="1D3AE939" w:rsidR="006D1F3C" w:rsidRDefault="00CB59DD" w:rsidP="006D1F3C">
      <w:pPr>
        <w:pStyle w:val="1"/>
        <w:spacing w:line="480" w:lineRule="auto"/>
        <w:jc w:val="both"/>
        <w:rPr>
          <w:rStyle w:val="a3"/>
          <w:color w:val="auto"/>
          <w:sz w:val="21"/>
          <w:szCs w:val="21"/>
        </w:rPr>
      </w:pPr>
      <w:hyperlink r:id="rId5">
        <w:r w:rsidRPr="00535962">
          <w:rPr>
            <w:rStyle w:val="a3"/>
            <w:color w:val="auto"/>
            <w:sz w:val="21"/>
            <w:szCs w:val="21"/>
          </w:rPr>
          <w:t>kinoshita@equinst.go.jp</w:t>
        </w:r>
      </w:hyperlink>
    </w:p>
    <w:p w14:paraId="3DC9B99D" w14:textId="77777777" w:rsidR="006D1F3C" w:rsidRDefault="006D1F3C">
      <w:pPr>
        <w:widowControl/>
        <w:suppressAutoHyphens w:val="0"/>
        <w:jc w:val="left"/>
        <w:rPr>
          <w:rStyle w:val="a3"/>
          <w:rFonts w:ascii="Times New Roman" w:hAnsi="Times New Roman" w:cs="Times New Roman"/>
          <w:color w:val="auto"/>
          <w:kern w:val="0"/>
          <w:szCs w:val="21"/>
          <w:lang w:eastAsia="en-US"/>
        </w:rPr>
      </w:pPr>
      <w:r>
        <w:rPr>
          <w:rStyle w:val="a3"/>
          <w:color w:val="auto"/>
          <w:szCs w:val="21"/>
        </w:rPr>
        <w:br w:type="page"/>
      </w:r>
    </w:p>
    <w:p w14:paraId="41175CDA" w14:textId="692CC274" w:rsidR="006570EA" w:rsidRDefault="006D1F3C" w:rsidP="006D1F3C">
      <w:pPr>
        <w:pStyle w:val="1"/>
        <w:spacing w:line="480" w:lineRule="auto"/>
        <w:jc w:val="both"/>
      </w:pPr>
      <w:r>
        <w:rPr>
          <w:rFonts w:hint="eastAsia"/>
        </w:rPr>
        <w:lastRenderedPageBreak/>
        <w:t>C</w:t>
      </w:r>
      <w:r>
        <w:t>ontent:</w:t>
      </w:r>
    </w:p>
    <w:p w14:paraId="752CCA5B" w14:textId="35C58BF0" w:rsidR="006D1F3C" w:rsidRDefault="006D1F3C" w:rsidP="006D1F3C">
      <w:pPr>
        <w:pStyle w:val="1"/>
        <w:spacing w:line="480" w:lineRule="auto"/>
        <w:jc w:val="both"/>
        <w:rPr>
          <w:lang w:eastAsia="ja-JP"/>
        </w:rPr>
      </w:pPr>
      <w:r>
        <w:rPr>
          <w:rFonts w:hint="eastAsia"/>
          <w:lang w:eastAsia="ja-JP"/>
        </w:rPr>
        <w:t>S</w:t>
      </w:r>
      <w:r>
        <w:rPr>
          <w:lang w:eastAsia="ja-JP"/>
        </w:rPr>
        <w:t>upplementary Tables</w:t>
      </w:r>
    </w:p>
    <w:p w14:paraId="76964370" w14:textId="201BB3D7" w:rsidR="006D1F3C" w:rsidRDefault="006D1F3C" w:rsidP="006D1F3C">
      <w:pPr>
        <w:pStyle w:val="1"/>
        <w:spacing w:line="480" w:lineRule="auto"/>
        <w:jc w:val="both"/>
        <w:rPr>
          <w:lang w:eastAsia="ja-JP"/>
        </w:rPr>
      </w:pPr>
      <w:r>
        <w:rPr>
          <w:rFonts w:hint="eastAsia"/>
          <w:lang w:eastAsia="ja-JP"/>
        </w:rPr>
        <w:t>―</w:t>
      </w:r>
      <w:r>
        <w:rPr>
          <w:lang w:eastAsia="ja-JP"/>
        </w:rPr>
        <w:t xml:space="preserve"> Supplementary Table 1. </w:t>
      </w:r>
      <w:r w:rsidR="00323EDD" w:rsidRPr="00323EDD">
        <w:rPr>
          <w:lang w:eastAsia="ja-JP"/>
        </w:rPr>
        <w:t>Detailed information of long-read sequences for detecting the unlinked rRNA gene</w:t>
      </w:r>
    </w:p>
    <w:p w14:paraId="5A1AE1B2" w14:textId="6066B6E8" w:rsidR="00323EDD" w:rsidRDefault="00323EDD" w:rsidP="00323EDD">
      <w:pPr>
        <w:pStyle w:val="1"/>
        <w:spacing w:line="480" w:lineRule="auto"/>
        <w:jc w:val="both"/>
        <w:rPr>
          <w:rFonts w:hint="eastAsia"/>
          <w:lang w:eastAsia="ja-JP"/>
        </w:rPr>
      </w:pPr>
      <w:r>
        <w:rPr>
          <w:rFonts w:hint="eastAsia"/>
          <w:lang w:eastAsia="ja-JP"/>
        </w:rPr>
        <w:t>―</w:t>
      </w:r>
      <w:r>
        <w:rPr>
          <w:lang w:eastAsia="ja-JP"/>
        </w:rPr>
        <w:t xml:space="preserve"> Supplementary Table </w:t>
      </w:r>
      <w:r>
        <w:rPr>
          <w:lang w:eastAsia="ja-JP"/>
        </w:rPr>
        <w:t>2</w:t>
      </w:r>
      <w:r>
        <w:rPr>
          <w:lang w:eastAsia="ja-JP"/>
        </w:rPr>
        <w:t xml:space="preserve">. </w:t>
      </w:r>
      <w:r w:rsidRPr="00323EDD">
        <w:rPr>
          <w:lang w:eastAsia="ja-JP"/>
        </w:rPr>
        <w:t xml:space="preserve">rRNA status in complete genomes of genus </w:t>
      </w:r>
      <w:proofErr w:type="spellStart"/>
      <w:r w:rsidRPr="00323EDD">
        <w:rPr>
          <w:i/>
          <w:iCs/>
          <w:lang w:eastAsia="ja-JP"/>
        </w:rPr>
        <w:t>Cellulosilyticum</w:t>
      </w:r>
      <w:proofErr w:type="spellEnd"/>
      <w:r w:rsidRPr="00323EDD">
        <w:rPr>
          <w:lang w:eastAsia="ja-JP"/>
        </w:rPr>
        <w:t xml:space="preserve"> and </w:t>
      </w:r>
      <w:proofErr w:type="spellStart"/>
      <w:r w:rsidRPr="00323EDD">
        <w:rPr>
          <w:i/>
          <w:iCs/>
          <w:lang w:eastAsia="ja-JP"/>
        </w:rPr>
        <w:t>Anaerocolumna</w:t>
      </w:r>
      <w:proofErr w:type="spellEnd"/>
    </w:p>
    <w:p w14:paraId="54514D05" w14:textId="23964969" w:rsidR="00323EDD" w:rsidRDefault="00323EDD" w:rsidP="00323EDD">
      <w:pPr>
        <w:pStyle w:val="1"/>
        <w:spacing w:line="480" w:lineRule="auto"/>
        <w:jc w:val="both"/>
        <w:rPr>
          <w:rFonts w:hint="eastAsia"/>
          <w:lang w:eastAsia="ja-JP"/>
        </w:rPr>
      </w:pPr>
      <w:r>
        <w:rPr>
          <w:rFonts w:hint="eastAsia"/>
          <w:lang w:eastAsia="ja-JP"/>
        </w:rPr>
        <w:t>―</w:t>
      </w:r>
      <w:r>
        <w:rPr>
          <w:lang w:eastAsia="ja-JP"/>
        </w:rPr>
        <w:t xml:space="preserve"> Supplementary Table </w:t>
      </w:r>
      <w:r>
        <w:rPr>
          <w:lang w:eastAsia="ja-JP"/>
        </w:rPr>
        <w:t>3</w:t>
      </w:r>
      <w:r>
        <w:rPr>
          <w:lang w:eastAsia="ja-JP"/>
        </w:rPr>
        <w:t xml:space="preserve">. </w:t>
      </w:r>
      <w:r w:rsidRPr="00323EDD">
        <w:rPr>
          <w:lang w:eastAsia="ja-JP"/>
        </w:rPr>
        <w:t>Percentage of genus</w:t>
      </w:r>
      <w:r w:rsidRPr="00323EDD">
        <w:rPr>
          <w:i/>
          <w:iCs/>
          <w:lang w:eastAsia="ja-JP"/>
        </w:rPr>
        <w:t xml:space="preserve"> </w:t>
      </w:r>
      <w:proofErr w:type="spellStart"/>
      <w:r w:rsidRPr="00323EDD">
        <w:rPr>
          <w:i/>
          <w:iCs/>
          <w:lang w:eastAsia="ja-JP"/>
        </w:rPr>
        <w:t>Cellulosilyticum</w:t>
      </w:r>
      <w:proofErr w:type="spellEnd"/>
      <w:r w:rsidRPr="00323EDD">
        <w:rPr>
          <w:lang w:eastAsia="ja-JP"/>
        </w:rPr>
        <w:t xml:space="preserve"> mapped by using the KMA software</w:t>
      </w:r>
    </w:p>
    <w:p w14:paraId="4E048D1C" w14:textId="4724AD9C" w:rsidR="00323EDD" w:rsidRDefault="00323EDD" w:rsidP="00323EDD">
      <w:pPr>
        <w:pStyle w:val="1"/>
        <w:spacing w:line="480" w:lineRule="auto"/>
        <w:jc w:val="both"/>
        <w:rPr>
          <w:rFonts w:hint="eastAsia"/>
          <w:lang w:eastAsia="ja-JP"/>
        </w:rPr>
      </w:pPr>
      <w:r>
        <w:rPr>
          <w:rFonts w:hint="eastAsia"/>
          <w:lang w:eastAsia="ja-JP"/>
        </w:rPr>
        <w:t>―</w:t>
      </w:r>
      <w:r>
        <w:rPr>
          <w:lang w:eastAsia="ja-JP"/>
        </w:rPr>
        <w:t xml:space="preserve"> Supplementary Table </w:t>
      </w:r>
      <w:r>
        <w:rPr>
          <w:lang w:eastAsia="ja-JP"/>
        </w:rPr>
        <w:t>4</w:t>
      </w:r>
      <w:r>
        <w:rPr>
          <w:lang w:eastAsia="ja-JP"/>
        </w:rPr>
        <w:t xml:space="preserve">. </w:t>
      </w:r>
      <w:r w:rsidRPr="00323EDD">
        <w:rPr>
          <w:lang w:eastAsia="ja-JP"/>
        </w:rPr>
        <w:t>Mock community of 15 bacterial species</w:t>
      </w:r>
    </w:p>
    <w:p w14:paraId="1FA65247" w14:textId="1FF2A73D" w:rsidR="00323EDD" w:rsidRDefault="00323EDD" w:rsidP="00323EDD">
      <w:pPr>
        <w:pStyle w:val="1"/>
        <w:spacing w:line="480" w:lineRule="auto"/>
        <w:jc w:val="both"/>
        <w:rPr>
          <w:rFonts w:hint="eastAsia"/>
          <w:lang w:eastAsia="ja-JP"/>
        </w:rPr>
      </w:pPr>
      <w:r>
        <w:rPr>
          <w:rFonts w:hint="eastAsia"/>
          <w:lang w:eastAsia="ja-JP"/>
        </w:rPr>
        <w:t>―</w:t>
      </w:r>
      <w:r>
        <w:rPr>
          <w:lang w:eastAsia="ja-JP"/>
        </w:rPr>
        <w:t xml:space="preserve"> Supplementary Table </w:t>
      </w:r>
      <w:r>
        <w:rPr>
          <w:lang w:eastAsia="ja-JP"/>
        </w:rPr>
        <w:t>5</w:t>
      </w:r>
      <w:r>
        <w:rPr>
          <w:lang w:eastAsia="ja-JP"/>
        </w:rPr>
        <w:t xml:space="preserve">. </w:t>
      </w:r>
      <w:r w:rsidRPr="00323EDD">
        <w:rPr>
          <w:lang w:eastAsia="ja-JP"/>
        </w:rPr>
        <w:t>PCR primers used for four-primer PCR</w:t>
      </w:r>
    </w:p>
    <w:p w14:paraId="4AAF1EDF" w14:textId="52142002" w:rsidR="00323EDD" w:rsidRDefault="00323EDD" w:rsidP="00323EDD">
      <w:pPr>
        <w:pStyle w:val="1"/>
        <w:spacing w:line="480" w:lineRule="auto"/>
        <w:jc w:val="both"/>
        <w:rPr>
          <w:rFonts w:hint="eastAsia"/>
          <w:lang w:eastAsia="ja-JP"/>
        </w:rPr>
      </w:pPr>
      <w:r>
        <w:rPr>
          <w:rFonts w:hint="eastAsia"/>
          <w:lang w:eastAsia="ja-JP"/>
        </w:rPr>
        <w:t>―</w:t>
      </w:r>
      <w:r>
        <w:rPr>
          <w:lang w:eastAsia="ja-JP"/>
        </w:rPr>
        <w:t xml:space="preserve"> Supplementary Table </w:t>
      </w:r>
      <w:r>
        <w:rPr>
          <w:lang w:eastAsia="ja-JP"/>
        </w:rPr>
        <w:t>6</w:t>
      </w:r>
      <w:r>
        <w:rPr>
          <w:lang w:eastAsia="ja-JP"/>
        </w:rPr>
        <w:t xml:space="preserve">. </w:t>
      </w:r>
      <w:r w:rsidRPr="00323EDD">
        <w:rPr>
          <w:lang w:eastAsia="ja-JP"/>
        </w:rPr>
        <w:t>Detailed PCR condition</w:t>
      </w:r>
      <w:r>
        <w:rPr>
          <w:lang w:eastAsia="ja-JP"/>
        </w:rPr>
        <w:t>s</w:t>
      </w:r>
    </w:p>
    <w:p w14:paraId="3B4029E1" w14:textId="6D9034E2" w:rsidR="00323EDD" w:rsidRDefault="00323EDD" w:rsidP="00323EDD">
      <w:pPr>
        <w:pStyle w:val="1"/>
        <w:spacing w:line="480" w:lineRule="auto"/>
        <w:jc w:val="both"/>
        <w:rPr>
          <w:rFonts w:hint="eastAsia"/>
          <w:lang w:eastAsia="ja-JP"/>
        </w:rPr>
      </w:pPr>
      <w:r>
        <w:rPr>
          <w:rFonts w:hint="eastAsia"/>
          <w:lang w:eastAsia="ja-JP"/>
        </w:rPr>
        <w:t>―</w:t>
      </w:r>
      <w:r>
        <w:rPr>
          <w:lang w:eastAsia="ja-JP"/>
        </w:rPr>
        <w:t xml:space="preserve"> Supplementary Table </w:t>
      </w:r>
      <w:r>
        <w:rPr>
          <w:lang w:eastAsia="ja-JP"/>
        </w:rPr>
        <w:t>7</w:t>
      </w:r>
      <w:r>
        <w:rPr>
          <w:lang w:eastAsia="ja-JP"/>
        </w:rPr>
        <w:t xml:space="preserve">. </w:t>
      </w:r>
      <w:r w:rsidRPr="00323EDD">
        <w:rPr>
          <w:lang w:eastAsia="ja-JP"/>
        </w:rPr>
        <w:t>Detailed information of each dataset</w:t>
      </w:r>
    </w:p>
    <w:p w14:paraId="485AAFE6" w14:textId="77777777" w:rsidR="00323EDD" w:rsidRPr="00323EDD" w:rsidRDefault="00323EDD" w:rsidP="006D1F3C">
      <w:pPr>
        <w:pStyle w:val="1"/>
        <w:spacing w:line="480" w:lineRule="auto"/>
        <w:jc w:val="both"/>
        <w:rPr>
          <w:rFonts w:hint="eastAsia"/>
          <w:lang w:eastAsia="ja-JP"/>
        </w:rPr>
      </w:pPr>
    </w:p>
    <w:sectPr w:rsidR="00323EDD" w:rsidRPr="00323EDD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47362AA"/>
    <w:multiLevelType w:val="hybridMultilevel"/>
    <w:tmpl w:val="250EDD88"/>
    <w:lvl w:ilvl="0" w:tplc="C1823052">
      <w:numFmt w:val="bullet"/>
      <w:lvlText w:val="-"/>
      <w:lvlJc w:val="left"/>
      <w:pPr>
        <w:ind w:left="360" w:hanging="360"/>
      </w:pPr>
      <w:rPr>
        <w:rFonts w:ascii="Times New Roman" w:eastAsiaTheme="minorEastAsia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59DD"/>
    <w:rsid w:val="001D5DD8"/>
    <w:rsid w:val="00323EDD"/>
    <w:rsid w:val="006570EA"/>
    <w:rsid w:val="006D1F3C"/>
    <w:rsid w:val="00CB59DD"/>
    <w:rsid w:val="00E96D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7965A9A"/>
  <w15:chartTrackingRefBased/>
  <w15:docId w15:val="{C03A3080-AE86-40CD-B009-4ED64A9ACF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B59DD"/>
    <w:pPr>
      <w:widowControl w:val="0"/>
      <w:suppressAutoHyphens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B59DD"/>
    <w:rPr>
      <w:color w:val="0563C1" w:themeColor="hyperlink"/>
      <w:u w:val="none"/>
    </w:rPr>
  </w:style>
  <w:style w:type="paragraph" w:customStyle="1" w:styleId="Address">
    <w:name w:val="Address"/>
    <w:basedOn w:val="a"/>
    <w:qFormat/>
    <w:rsid w:val="00CB59DD"/>
    <w:pPr>
      <w:tabs>
        <w:tab w:val="left" w:pos="425"/>
      </w:tabs>
      <w:spacing w:line="360" w:lineRule="auto"/>
      <w:jc w:val="left"/>
    </w:pPr>
    <w:rPr>
      <w:rFonts w:ascii="Times New Roman" w:hAnsi="Times New Roman" w:cs="Times New Roman"/>
      <w:kern w:val="0"/>
      <w:sz w:val="24"/>
      <w:szCs w:val="24"/>
      <w:lang w:eastAsia="en-US"/>
    </w:rPr>
  </w:style>
  <w:style w:type="paragraph" w:customStyle="1" w:styleId="Authors">
    <w:name w:val="Authors"/>
    <w:basedOn w:val="a"/>
    <w:qFormat/>
    <w:rsid w:val="00CB59DD"/>
    <w:pPr>
      <w:tabs>
        <w:tab w:val="left" w:pos="425"/>
      </w:tabs>
      <w:spacing w:line="360" w:lineRule="auto"/>
      <w:jc w:val="center"/>
    </w:pPr>
    <w:rPr>
      <w:rFonts w:ascii="Times New Roman" w:hAnsi="Times New Roman" w:cs="Times New Roman"/>
      <w:kern w:val="0"/>
      <w:sz w:val="24"/>
      <w:szCs w:val="24"/>
      <w:lang w:eastAsia="en-US"/>
    </w:rPr>
  </w:style>
  <w:style w:type="paragraph" w:customStyle="1" w:styleId="1">
    <w:name w:val="脚注文字列1"/>
    <w:basedOn w:val="a"/>
    <w:rsid w:val="00CB59DD"/>
    <w:pPr>
      <w:tabs>
        <w:tab w:val="left" w:pos="425"/>
      </w:tabs>
      <w:spacing w:after="60" w:line="360" w:lineRule="auto"/>
      <w:jc w:val="left"/>
    </w:pPr>
    <w:rPr>
      <w:rFonts w:ascii="Times New Roman" w:hAnsi="Times New Roman" w:cs="Times New Roman"/>
      <w:kern w:val="0"/>
      <w:sz w:val="20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kinoshita@equinst.go.jp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171</Words>
  <Characters>979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木下 優太</dc:creator>
  <cp:keywords/>
  <dc:description/>
  <cp:lastModifiedBy>木下 優太</cp:lastModifiedBy>
  <cp:revision>4</cp:revision>
  <dcterms:created xsi:type="dcterms:W3CDTF">2021-01-29T00:33:00Z</dcterms:created>
  <dcterms:modified xsi:type="dcterms:W3CDTF">2021-01-29T00:47:00Z</dcterms:modified>
</cp:coreProperties>
</file>