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FE6" w:rsidRPr="00646D13" w:rsidRDefault="001A3FE9" w:rsidP="00646D13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46D13">
        <w:rPr>
          <w:rFonts w:ascii="Times New Roman" w:hAnsi="Times New Roman" w:cs="Times New Roman"/>
          <w:b/>
          <w:bCs/>
          <w:sz w:val="24"/>
          <w:szCs w:val="24"/>
        </w:rPr>
        <w:t>Supplementary material</w:t>
      </w:r>
    </w:p>
    <w:p w:rsidR="004358AB" w:rsidRPr="00646D13" w:rsidRDefault="00F01FE6" w:rsidP="00646D1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46D13">
        <w:rPr>
          <w:rFonts w:ascii="Times New Roman" w:hAnsi="Times New Roman" w:cs="Times New Roman"/>
          <w:sz w:val="24"/>
          <w:szCs w:val="24"/>
        </w:rPr>
        <w:t>Supplementary Fig. 1 MCODE PPI network of up-regulated DEGs. The Cluster score are 3.0, 3.0, 2.5 seperately.</w:t>
      </w:r>
    </w:p>
    <w:p w:rsidR="00F01FE6" w:rsidRPr="00646D13" w:rsidRDefault="00F01FE6" w:rsidP="00646D1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46D13">
        <w:rPr>
          <w:rFonts w:ascii="Times New Roman" w:hAnsi="Times New Roman" w:cs="Times New Roman"/>
          <w:sz w:val="24"/>
          <w:szCs w:val="24"/>
        </w:rPr>
        <w:t>Supplementary</w:t>
      </w:r>
      <w:r w:rsidRPr="00646D13">
        <w:rPr>
          <w:rFonts w:ascii="Times New Roman" w:hAnsi="Times New Roman" w:cs="Times New Roman"/>
          <w:b/>
          <w:bCs/>
          <w:sz w:val="24"/>
          <w:szCs w:val="24"/>
        </w:rPr>
        <w:t xml:space="preserve"> Tables</w:t>
      </w:r>
    </w:p>
    <w:p w:rsidR="00F01FE6" w:rsidRPr="00646D13" w:rsidRDefault="00F01FE6" w:rsidP="00646D1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46D13">
        <w:rPr>
          <w:rFonts w:ascii="Times New Roman" w:hAnsi="Times New Roman" w:cs="Times New Roman"/>
          <w:sz w:val="24"/>
          <w:szCs w:val="24"/>
        </w:rPr>
        <w:t>Supplementary</w:t>
      </w:r>
      <w:r w:rsidRPr="00646D13">
        <w:rPr>
          <w:rFonts w:ascii="Times New Roman" w:hAnsi="Times New Roman" w:cs="Times New Roman"/>
          <w:b/>
          <w:bCs/>
          <w:sz w:val="24"/>
          <w:szCs w:val="24"/>
        </w:rPr>
        <w:t xml:space="preserve"> Table 1</w:t>
      </w:r>
      <w:r w:rsidRPr="00646D13">
        <w:rPr>
          <w:rFonts w:ascii="Times New Roman" w:hAnsi="Times New Roman" w:cs="Times New Roman"/>
          <w:sz w:val="24"/>
          <w:szCs w:val="24"/>
        </w:rPr>
        <w:t>. GO function enrichment analysis of downregulated DEGs</w:t>
      </w:r>
    </w:p>
    <w:tbl>
      <w:tblPr>
        <w:tblW w:w="5454" w:type="pct"/>
        <w:jc w:val="center"/>
        <w:tblInd w:w="353" w:type="dxa"/>
        <w:tblLayout w:type="fixed"/>
        <w:tblLook w:val="0000"/>
      </w:tblPr>
      <w:tblGrid>
        <w:gridCol w:w="589"/>
        <w:gridCol w:w="1484"/>
        <w:gridCol w:w="3123"/>
        <w:gridCol w:w="772"/>
        <w:gridCol w:w="1632"/>
        <w:gridCol w:w="1696"/>
      </w:tblGrid>
      <w:tr w:rsidR="00F01FE6" w:rsidRPr="00646D13" w:rsidTr="00ED2680">
        <w:trPr>
          <w:trHeight w:val="270"/>
          <w:jc w:val="center"/>
        </w:trPr>
        <w:tc>
          <w:tcPr>
            <w:tcW w:w="31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Category</w:t>
            </w:r>
          </w:p>
        </w:tc>
        <w:tc>
          <w:tcPr>
            <w:tcW w:w="79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</w:t>
            </w:r>
          </w:p>
        </w:tc>
        <w:tc>
          <w:tcPr>
            <w:tcW w:w="168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415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Gene Ratio</w:t>
            </w:r>
          </w:p>
        </w:tc>
        <w:tc>
          <w:tcPr>
            <w:tcW w:w="87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</w:t>
            </w: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-value</w:t>
            </w:r>
          </w:p>
        </w:tc>
        <w:tc>
          <w:tcPr>
            <w:tcW w:w="91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padj</w:t>
            </w:r>
          </w:p>
        </w:tc>
      </w:tr>
      <w:tr w:rsidR="00F01FE6" w:rsidRPr="00646D13" w:rsidTr="00ED2680">
        <w:trPr>
          <w:trHeight w:val="540"/>
          <w:jc w:val="center"/>
        </w:trPr>
        <w:tc>
          <w:tcPr>
            <w:tcW w:w="317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BP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GO:0051094</w:t>
            </w:r>
          </w:p>
        </w:tc>
        <w:tc>
          <w:tcPr>
            <w:tcW w:w="1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positive regulation of developmental process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22/93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4.84E-07</w:t>
            </w: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0.001068771</w:t>
            </w:r>
          </w:p>
        </w:tc>
      </w:tr>
      <w:tr w:rsidR="00F01FE6" w:rsidRPr="00646D13" w:rsidTr="00ED2680">
        <w:trPr>
          <w:trHeight w:val="270"/>
          <w:jc w:val="center"/>
        </w:trPr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GO:0048666</w:t>
            </w:r>
          </w:p>
        </w:tc>
        <w:tc>
          <w:tcPr>
            <w:tcW w:w="1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neuron development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19/93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1.85E-06</w:t>
            </w: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0.001241381</w:t>
            </w:r>
          </w:p>
        </w:tc>
      </w:tr>
      <w:tr w:rsidR="00F01FE6" w:rsidRPr="00646D13" w:rsidTr="00ED2680">
        <w:trPr>
          <w:trHeight w:val="540"/>
          <w:jc w:val="center"/>
        </w:trPr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GO:0030198</w:t>
            </w:r>
          </w:p>
        </w:tc>
        <w:tc>
          <w:tcPr>
            <w:tcW w:w="1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extracellular matrix organization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11/93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2.09E-06</w:t>
            </w: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0.001241381</w:t>
            </w:r>
          </w:p>
        </w:tc>
      </w:tr>
      <w:tr w:rsidR="00F01FE6" w:rsidRPr="00646D13" w:rsidTr="00ED2680">
        <w:trPr>
          <w:trHeight w:val="540"/>
          <w:jc w:val="center"/>
        </w:trPr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GO:0043062</w:t>
            </w:r>
          </w:p>
        </w:tc>
        <w:tc>
          <w:tcPr>
            <w:tcW w:w="1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extracellular structure organization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11/93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2.25E-06</w:t>
            </w: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0.001241381</w:t>
            </w:r>
          </w:p>
        </w:tc>
      </w:tr>
      <w:tr w:rsidR="00F01FE6" w:rsidRPr="00646D13" w:rsidTr="00ED2680">
        <w:trPr>
          <w:trHeight w:val="270"/>
          <w:jc w:val="center"/>
        </w:trPr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GO:0031175</w:t>
            </w:r>
          </w:p>
        </w:tc>
        <w:tc>
          <w:tcPr>
            <w:tcW w:w="1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neuron projection development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17/93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6.12E-06</w:t>
            </w: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0.002700197</w:t>
            </w:r>
          </w:p>
        </w:tc>
      </w:tr>
      <w:tr w:rsidR="00F01FE6" w:rsidRPr="00646D13" w:rsidTr="00ED2680">
        <w:trPr>
          <w:trHeight w:val="540"/>
          <w:jc w:val="center"/>
        </w:trPr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GO:0071398</w:t>
            </w:r>
          </w:p>
        </w:tc>
        <w:tc>
          <w:tcPr>
            <w:tcW w:w="1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cellular response to fatty acid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5/93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4.76E-05</w:t>
            </w: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0.017497987</w:t>
            </w:r>
          </w:p>
        </w:tc>
      </w:tr>
      <w:tr w:rsidR="00F01FE6" w:rsidRPr="00646D13" w:rsidTr="00ED2680">
        <w:trPr>
          <w:trHeight w:val="540"/>
          <w:jc w:val="center"/>
        </w:trPr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GO:0045597</w:t>
            </w:r>
          </w:p>
        </w:tc>
        <w:tc>
          <w:tcPr>
            <w:tcW w:w="1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positive regulation of cell differentiation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15/93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7.82E-05</w:t>
            </w: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0.021204584</w:t>
            </w:r>
          </w:p>
        </w:tc>
      </w:tr>
      <w:tr w:rsidR="00F01FE6" w:rsidRPr="00646D13" w:rsidTr="00ED2680">
        <w:trPr>
          <w:trHeight w:val="270"/>
          <w:jc w:val="center"/>
        </w:trPr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GO:0007155</w:t>
            </w:r>
          </w:p>
        </w:tc>
        <w:tc>
          <w:tcPr>
            <w:tcW w:w="1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cell adhesion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18/93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8.19E-05</w:t>
            </w: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0.021204584</w:t>
            </w:r>
          </w:p>
        </w:tc>
      </w:tr>
      <w:tr w:rsidR="00F01FE6" w:rsidRPr="00646D13" w:rsidTr="00ED2680">
        <w:trPr>
          <w:trHeight w:val="270"/>
          <w:jc w:val="center"/>
        </w:trPr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GO:0022610</w:t>
            </w:r>
          </w:p>
        </w:tc>
        <w:tc>
          <w:tcPr>
            <w:tcW w:w="1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biological adhesion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18/93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8.65E-05</w:t>
            </w: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0.021204584</w:t>
            </w:r>
          </w:p>
        </w:tc>
      </w:tr>
      <w:tr w:rsidR="00F01FE6" w:rsidRPr="00646D13" w:rsidTr="00ED2680">
        <w:trPr>
          <w:trHeight w:val="270"/>
          <w:jc w:val="center"/>
        </w:trPr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GO:0001101</w:t>
            </w:r>
          </w:p>
        </w:tc>
        <w:tc>
          <w:tcPr>
            <w:tcW w:w="1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response to acid chemical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9/93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0.000116544</w:t>
            </w: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0.025709605</w:t>
            </w:r>
          </w:p>
        </w:tc>
      </w:tr>
      <w:tr w:rsidR="00F01FE6" w:rsidRPr="00646D13" w:rsidTr="00ED2680">
        <w:trPr>
          <w:trHeight w:val="540"/>
          <w:jc w:val="center"/>
        </w:trPr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GO:0009612</w:t>
            </w:r>
          </w:p>
        </w:tc>
        <w:tc>
          <w:tcPr>
            <w:tcW w:w="1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response to mechanical stimulus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7/93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0.000128843</w:t>
            </w: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0.025779119</w:t>
            </w:r>
          </w:p>
        </w:tc>
      </w:tr>
      <w:tr w:rsidR="00F01FE6" w:rsidRPr="00646D13" w:rsidTr="00ED2680">
        <w:trPr>
          <w:trHeight w:val="270"/>
          <w:jc w:val="center"/>
        </w:trPr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GO:0007010</w:t>
            </w:r>
          </w:p>
        </w:tc>
        <w:tc>
          <w:tcPr>
            <w:tcW w:w="1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cytoskeleton organization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18/93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0.000140231</w:t>
            </w: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0.025779119</w:t>
            </w:r>
          </w:p>
        </w:tc>
      </w:tr>
      <w:tr w:rsidR="00F01FE6" w:rsidRPr="00646D13" w:rsidTr="00ED2680">
        <w:trPr>
          <w:trHeight w:val="270"/>
          <w:jc w:val="center"/>
        </w:trPr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GO:0050877</w:t>
            </w:r>
          </w:p>
        </w:tc>
        <w:tc>
          <w:tcPr>
            <w:tcW w:w="1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neurological system process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13/93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0.000217948</w:t>
            </w: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0.034274836</w:t>
            </w:r>
          </w:p>
        </w:tc>
      </w:tr>
      <w:tr w:rsidR="00F01FE6" w:rsidRPr="00646D13" w:rsidTr="00ED2680">
        <w:trPr>
          <w:trHeight w:val="540"/>
          <w:jc w:val="center"/>
        </w:trPr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GO:0032103</w:t>
            </w:r>
          </w:p>
        </w:tc>
        <w:tc>
          <w:tcPr>
            <w:tcW w:w="1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positive regulation of response to external stimulus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7/93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0.000218608</w:t>
            </w: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0.034274836</w:t>
            </w:r>
          </w:p>
        </w:tc>
      </w:tr>
      <w:tr w:rsidR="00F01FE6" w:rsidRPr="00646D13" w:rsidTr="00ED2680">
        <w:trPr>
          <w:trHeight w:val="270"/>
          <w:jc w:val="center"/>
        </w:trPr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GO:0070542</w:t>
            </w:r>
          </w:p>
        </w:tc>
        <w:tc>
          <w:tcPr>
            <w:tcW w:w="1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response to fatty acid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5/93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0.000233056</w:t>
            </w: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0.034274836</w:t>
            </w:r>
          </w:p>
        </w:tc>
      </w:tr>
      <w:tr w:rsidR="00F01FE6" w:rsidRPr="00646D13" w:rsidTr="00ED2680">
        <w:trPr>
          <w:trHeight w:val="270"/>
          <w:jc w:val="center"/>
        </w:trPr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GO:0008038</w:t>
            </w:r>
          </w:p>
        </w:tc>
        <w:tc>
          <w:tcPr>
            <w:tcW w:w="1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neuron recognition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3/93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0.000311901</w:t>
            </w: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0.043003291</w:t>
            </w:r>
          </w:p>
        </w:tc>
      </w:tr>
      <w:tr w:rsidR="00F01FE6" w:rsidRPr="00646D13" w:rsidTr="00ED2680">
        <w:trPr>
          <w:trHeight w:val="540"/>
          <w:jc w:val="center"/>
        </w:trPr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GO:0090068</w:t>
            </w:r>
          </w:p>
        </w:tc>
        <w:tc>
          <w:tcPr>
            <w:tcW w:w="1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positive regulation of cell cycle process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8/93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0.000336279</w:t>
            </w: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0.043637094</w:t>
            </w:r>
          </w:p>
        </w:tc>
      </w:tr>
      <w:tr w:rsidR="00F01FE6" w:rsidRPr="00646D13" w:rsidTr="00ED2680">
        <w:trPr>
          <w:trHeight w:val="540"/>
          <w:jc w:val="center"/>
        </w:trPr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GO:0010720</w:t>
            </w:r>
          </w:p>
        </w:tc>
        <w:tc>
          <w:tcPr>
            <w:tcW w:w="1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positive regulation of cell development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10/93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0.000369118</w:t>
            </w: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0.044981618</w:t>
            </w:r>
          </w:p>
        </w:tc>
      </w:tr>
      <w:tr w:rsidR="00F01FE6" w:rsidRPr="00646D13" w:rsidTr="00ED2680">
        <w:trPr>
          <w:trHeight w:val="540"/>
          <w:jc w:val="center"/>
        </w:trPr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GO:0045840</w:t>
            </w:r>
          </w:p>
        </w:tc>
        <w:tc>
          <w:tcPr>
            <w:tcW w:w="1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positive regulation of mitotic nuclear division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4/93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0.000387421</w:t>
            </w: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0.044981618</w:t>
            </w:r>
          </w:p>
        </w:tc>
      </w:tr>
      <w:tr w:rsidR="00F01FE6" w:rsidRPr="00646D13" w:rsidTr="00ED2680">
        <w:trPr>
          <w:trHeight w:val="270"/>
          <w:jc w:val="center"/>
        </w:trPr>
        <w:tc>
          <w:tcPr>
            <w:tcW w:w="317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CC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GO:0005882</w:t>
            </w:r>
          </w:p>
        </w:tc>
        <w:tc>
          <w:tcPr>
            <w:tcW w:w="1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intermediate filament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5/94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2.43E-05</w:t>
            </w: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0.00321784</w:t>
            </w:r>
          </w:p>
        </w:tc>
      </w:tr>
      <w:tr w:rsidR="00F01FE6" w:rsidRPr="00646D13" w:rsidTr="00ED2680">
        <w:trPr>
          <w:trHeight w:val="270"/>
          <w:jc w:val="center"/>
        </w:trPr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GO:0033267</w:t>
            </w:r>
          </w:p>
        </w:tc>
        <w:tc>
          <w:tcPr>
            <w:tcW w:w="1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axon part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7/94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2.89E-05</w:t>
            </w: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0.00321784</w:t>
            </w:r>
          </w:p>
        </w:tc>
      </w:tr>
      <w:tr w:rsidR="00F01FE6" w:rsidRPr="00646D13" w:rsidTr="00ED2680">
        <w:trPr>
          <w:trHeight w:val="540"/>
          <w:jc w:val="center"/>
        </w:trPr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GO:0045111</w:t>
            </w:r>
          </w:p>
        </w:tc>
        <w:tc>
          <w:tcPr>
            <w:tcW w:w="1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intermediate filament cytoskeleton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5/94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0.000184571</w:t>
            </w: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0.01214375</w:t>
            </w:r>
          </w:p>
        </w:tc>
      </w:tr>
      <w:tr w:rsidR="00F01FE6" w:rsidRPr="00646D13" w:rsidTr="00ED2680">
        <w:trPr>
          <w:trHeight w:val="270"/>
          <w:jc w:val="center"/>
        </w:trPr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GO:0030424</w:t>
            </w:r>
          </w:p>
        </w:tc>
        <w:tc>
          <w:tcPr>
            <w:tcW w:w="1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axon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9/94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0.000217825</w:t>
            </w: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0.01214375</w:t>
            </w:r>
          </w:p>
        </w:tc>
      </w:tr>
      <w:tr w:rsidR="00F01FE6" w:rsidRPr="00646D13" w:rsidTr="00ED2680">
        <w:trPr>
          <w:trHeight w:val="270"/>
          <w:jc w:val="center"/>
        </w:trPr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GO:0044297</w:t>
            </w:r>
          </w:p>
        </w:tc>
        <w:tc>
          <w:tcPr>
            <w:tcW w:w="1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cell body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10/94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0.00028112</w:t>
            </w: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0.01253796</w:t>
            </w:r>
          </w:p>
        </w:tc>
      </w:tr>
      <w:tr w:rsidR="00F01FE6" w:rsidRPr="00646D13" w:rsidTr="00ED2680">
        <w:trPr>
          <w:trHeight w:val="270"/>
          <w:jc w:val="center"/>
        </w:trPr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GO:0009986</w:t>
            </w:r>
          </w:p>
        </w:tc>
        <w:tc>
          <w:tcPr>
            <w:tcW w:w="1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cell surface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11/94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0.000489463</w:t>
            </w: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0.018191716</w:t>
            </w:r>
          </w:p>
        </w:tc>
      </w:tr>
      <w:tr w:rsidR="00F01FE6" w:rsidRPr="00646D13" w:rsidTr="00ED2680">
        <w:trPr>
          <w:trHeight w:val="270"/>
          <w:jc w:val="center"/>
        </w:trPr>
        <w:tc>
          <w:tcPr>
            <w:tcW w:w="317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MF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GO:0072341</w:t>
            </w:r>
          </w:p>
        </w:tc>
        <w:tc>
          <w:tcPr>
            <w:tcW w:w="1680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modified amino acid binding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5/93</w:t>
            </w:r>
          </w:p>
        </w:tc>
        <w:tc>
          <w:tcPr>
            <w:tcW w:w="878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1.09E-05</w:t>
            </w:r>
          </w:p>
        </w:tc>
        <w:tc>
          <w:tcPr>
            <w:tcW w:w="912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0.003044034</w:t>
            </w:r>
          </w:p>
        </w:tc>
      </w:tr>
    </w:tbl>
    <w:p w:rsidR="00F01FE6" w:rsidRPr="00646D13" w:rsidRDefault="00F01FE6" w:rsidP="00646D1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01FE6" w:rsidRPr="00646D13" w:rsidRDefault="00F01FE6" w:rsidP="00646D1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46D13">
        <w:rPr>
          <w:rFonts w:ascii="Times New Roman" w:hAnsi="Times New Roman" w:cs="Times New Roman"/>
          <w:sz w:val="24"/>
          <w:szCs w:val="24"/>
        </w:rPr>
        <w:t>Supplementary</w:t>
      </w:r>
      <w:r w:rsidRPr="00646D13">
        <w:rPr>
          <w:rFonts w:ascii="Times New Roman" w:hAnsi="Times New Roman" w:cs="Times New Roman"/>
          <w:b/>
          <w:bCs/>
          <w:sz w:val="24"/>
          <w:szCs w:val="24"/>
        </w:rPr>
        <w:t xml:space="preserve"> Table 2.</w:t>
      </w:r>
      <w:r w:rsidRPr="00646D13">
        <w:rPr>
          <w:rFonts w:ascii="Times New Roman" w:hAnsi="Times New Roman" w:cs="Times New Roman"/>
          <w:sz w:val="24"/>
          <w:szCs w:val="24"/>
        </w:rPr>
        <w:t xml:space="preserve"> GO function enrichment analysis of upregulated DEGs</w:t>
      </w:r>
    </w:p>
    <w:tbl>
      <w:tblPr>
        <w:tblW w:w="5343" w:type="pct"/>
        <w:tblLayout w:type="fixed"/>
        <w:tblLook w:val="0000"/>
      </w:tblPr>
      <w:tblGrid>
        <w:gridCol w:w="627"/>
        <w:gridCol w:w="1461"/>
        <w:gridCol w:w="3100"/>
        <w:gridCol w:w="885"/>
        <w:gridCol w:w="1519"/>
        <w:gridCol w:w="1515"/>
      </w:tblGrid>
      <w:tr w:rsidR="00F01FE6" w:rsidRPr="00646D13" w:rsidTr="00ED2680">
        <w:trPr>
          <w:trHeight w:val="270"/>
        </w:trPr>
        <w:tc>
          <w:tcPr>
            <w:tcW w:w="344" w:type="pct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Category</w:t>
            </w:r>
          </w:p>
        </w:tc>
        <w:tc>
          <w:tcPr>
            <w:tcW w:w="802" w:type="pct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</w:t>
            </w:r>
          </w:p>
        </w:tc>
        <w:tc>
          <w:tcPr>
            <w:tcW w:w="1702" w:type="pct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486" w:type="pct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Gene Ratio</w:t>
            </w:r>
          </w:p>
        </w:tc>
        <w:tc>
          <w:tcPr>
            <w:tcW w:w="834" w:type="pct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</w:t>
            </w: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-value</w:t>
            </w:r>
          </w:p>
        </w:tc>
        <w:tc>
          <w:tcPr>
            <w:tcW w:w="832" w:type="pct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padj</w:t>
            </w:r>
          </w:p>
        </w:tc>
      </w:tr>
      <w:tr w:rsidR="00F01FE6" w:rsidRPr="00646D13" w:rsidTr="00ED2680">
        <w:trPr>
          <w:trHeight w:val="270"/>
        </w:trPr>
        <w:tc>
          <w:tcPr>
            <w:tcW w:w="344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MF</w:t>
            </w:r>
          </w:p>
        </w:tc>
        <w:tc>
          <w:tcPr>
            <w:tcW w:w="802" w:type="pct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GO:0016706</w:t>
            </w:r>
          </w:p>
        </w:tc>
        <w:tc>
          <w:tcPr>
            <w:tcW w:w="1702" w:type="pct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oxidoreductase activity, acting on paired donors, with incorporation or reduction of molecular oxygen, 2-oxoglutarate as one donor, and incorporation of one atom each of oxygen into both donors</w:t>
            </w:r>
          </w:p>
        </w:tc>
        <w:tc>
          <w:tcPr>
            <w:tcW w:w="486" w:type="pct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3/49</w:t>
            </w:r>
          </w:p>
        </w:tc>
        <w:tc>
          <w:tcPr>
            <w:tcW w:w="834" w:type="pct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0.000201335</w:t>
            </w:r>
          </w:p>
        </w:tc>
        <w:tc>
          <w:tcPr>
            <w:tcW w:w="832" w:type="pct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0.026499697</w:t>
            </w:r>
          </w:p>
        </w:tc>
      </w:tr>
      <w:tr w:rsidR="00F01FE6" w:rsidRPr="00646D13" w:rsidTr="00ED2680">
        <w:trPr>
          <w:trHeight w:val="270"/>
        </w:trPr>
        <w:tc>
          <w:tcPr>
            <w:tcW w:w="344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GO:0005506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iron ion binding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4/49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0.000267674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0.026499697</w:t>
            </w:r>
          </w:p>
        </w:tc>
      </w:tr>
      <w:tr w:rsidR="00F01FE6" w:rsidRPr="00646D13" w:rsidTr="00ED2680">
        <w:trPr>
          <w:trHeight w:val="270"/>
        </w:trPr>
        <w:tc>
          <w:tcPr>
            <w:tcW w:w="344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GO:0048029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monosaccharide binding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3/49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0.000697899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0.033581066</w:t>
            </w:r>
          </w:p>
        </w:tc>
      </w:tr>
      <w:tr w:rsidR="00F01FE6" w:rsidRPr="00646D13" w:rsidTr="00ED2680">
        <w:trPr>
          <w:trHeight w:val="270"/>
        </w:trPr>
        <w:tc>
          <w:tcPr>
            <w:tcW w:w="344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GO:004257</w:t>
            </w: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phosphoric ester hydrolase </w:t>
            </w: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activity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6/49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0.000835188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0.033581066</w:t>
            </w:r>
          </w:p>
        </w:tc>
      </w:tr>
      <w:tr w:rsidR="00F01FE6" w:rsidRPr="00646D13" w:rsidTr="00ED2680">
        <w:trPr>
          <w:trHeight w:val="270"/>
        </w:trPr>
        <w:tc>
          <w:tcPr>
            <w:tcW w:w="344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GO:0031406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carboxylic acid binding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4/49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0.001026228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0.033581066</w:t>
            </w:r>
          </w:p>
        </w:tc>
      </w:tr>
      <w:tr w:rsidR="00F01FE6" w:rsidRPr="00646D13" w:rsidTr="00ED2680">
        <w:trPr>
          <w:trHeight w:val="270"/>
        </w:trPr>
        <w:tc>
          <w:tcPr>
            <w:tcW w:w="344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GO:0043177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organic acid binding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4/49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0.001091053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0.033581066</w:t>
            </w:r>
          </w:p>
        </w:tc>
      </w:tr>
      <w:tr w:rsidR="00F01FE6" w:rsidRPr="00646D13" w:rsidTr="00ED2680">
        <w:trPr>
          <w:trHeight w:val="270"/>
        </w:trPr>
        <w:tc>
          <w:tcPr>
            <w:tcW w:w="344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GO:0004620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phospholipase activity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3/49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0.001356811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0.033581066</w:t>
            </w:r>
          </w:p>
        </w:tc>
      </w:tr>
      <w:tr w:rsidR="00F01FE6" w:rsidRPr="00646D13" w:rsidTr="00ED2680">
        <w:trPr>
          <w:trHeight w:val="270"/>
        </w:trPr>
        <w:tc>
          <w:tcPr>
            <w:tcW w:w="344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GO:0051213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dioxygenase activity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3/49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0.001356811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0.033581066</w:t>
            </w:r>
          </w:p>
        </w:tc>
      </w:tr>
      <w:tr w:rsidR="00F01FE6" w:rsidRPr="00646D13" w:rsidTr="00ED2680">
        <w:trPr>
          <w:trHeight w:val="270"/>
        </w:trPr>
        <w:tc>
          <w:tcPr>
            <w:tcW w:w="344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GO:0008081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phosphoric diester hydrolase activity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3/49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0.002312717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0.046970028</w:t>
            </w:r>
          </w:p>
        </w:tc>
      </w:tr>
      <w:tr w:rsidR="00F01FE6" w:rsidRPr="00646D13" w:rsidTr="00ED2680">
        <w:trPr>
          <w:trHeight w:val="270"/>
        </w:trPr>
        <w:tc>
          <w:tcPr>
            <w:tcW w:w="344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GO:0016298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lipase activity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3/49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0.002704223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0.046970028</w:t>
            </w:r>
          </w:p>
        </w:tc>
      </w:tr>
      <w:tr w:rsidR="00F01FE6" w:rsidRPr="00646D13" w:rsidTr="00ED2680">
        <w:trPr>
          <w:trHeight w:val="270"/>
        </w:trPr>
        <w:tc>
          <w:tcPr>
            <w:tcW w:w="344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GO:0001968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fibronectin binding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2/49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0.002846668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0.046970028</w:t>
            </w:r>
          </w:p>
        </w:tc>
      </w:tr>
      <w:tr w:rsidR="00F01FE6" w:rsidRPr="00646D13" w:rsidTr="00ED2680">
        <w:trPr>
          <w:trHeight w:val="270"/>
        </w:trPr>
        <w:tc>
          <w:tcPr>
            <w:tcW w:w="344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GO:0016638</w:t>
            </w:r>
          </w:p>
        </w:tc>
        <w:tc>
          <w:tcPr>
            <w:tcW w:w="1702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oxidoreductase activity, acting on the CH-NH2 group of donors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2/49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0.002846668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:rsidR="00F01FE6" w:rsidRPr="00646D13" w:rsidRDefault="00F01FE6" w:rsidP="00646D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0.046970028</w:t>
            </w:r>
          </w:p>
        </w:tc>
      </w:tr>
    </w:tbl>
    <w:p w:rsidR="00F01FE6" w:rsidRDefault="00F01FE6" w:rsidP="00646D13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</w:p>
    <w:p w:rsidR="00646D13" w:rsidRPr="00646D13" w:rsidRDefault="00646D13" w:rsidP="00646D1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46D13">
        <w:rPr>
          <w:rFonts w:ascii="Times New Roman" w:hAnsi="Times New Roman" w:cs="Times New Roman"/>
          <w:sz w:val="24"/>
          <w:szCs w:val="24"/>
        </w:rPr>
        <w:t>Supplementary</w:t>
      </w:r>
      <w:r w:rsidRPr="00646D13">
        <w:rPr>
          <w:rFonts w:ascii="Times New Roman" w:hAnsi="Times New Roman" w:cs="Times New Roman"/>
          <w:b/>
          <w:bCs/>
          <w:sz w:val="24"/>
          <w:szCs w:val="24"/>
        </w:rPr>
        <w:t xml:space="preserve"> Table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3</w:t>
      </w:r>
      <w:r w:rsidRPr="00646D1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646D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KEGG</w:t>
      </w:r>
      <w:r w:rsidRPr="00646D13">
        <w:rPr>
          <w:rFonts w:ascii="Times New Roman" w:hAnsi="Times New Roman" w:cs="Times New Roman"/>
          <w:sz w:val="24"/>
          <w:szCs w:val="24"/>
        </w:rPr>
        <w:t xml:space="preserve"> enrichment analysis of </w:t>
      </w:r>
      <w:r>
        <w:rPr>
          <w:rFonts w:ascii="Times New Roman" w:hAnsi="Times New Roman" w:cs="Times New Roman" w:hint="eastAsia"/>
          <w:sz w:val="24"/>
          <w:szCs w:val="24"/>
        </w:rPr>
        <w:t>down</w:t>
      </w:r>
      <w:r w:rsidRPr="00646D13">
        <w:rPr>
          <w:rFonts w:ascii="Times New Roman" w:hAnsi="Times New Roman" w:cs="Times New Roman"/>
          <w:sz w:val="24"/>
          <w:szCs w:val="24"/>
        </w:rPr>
        <w:t>regulated DEGs</w:t>
      </w:r>
    </w:p>
    <w:tbl>
      <w:tblPr>
        <w:tblW w:w="4415" w:type="pct"/>
        <w:tblLook w:val="04A0"/>
      </w:tblPr>
      <w:tblGrid>
        <w:gridCol w:w="1136"/>
        <w:gridCol w:w="3423"/>
        <w:gridCol w:w="1243"/>
        <w:gridCol w:w="1116"/>
        <w:gridCol w:w="1476"/>
      </w:tblGrid>
      <w:tr w:rsidR="00646D13" w:rsidRPr="00646D13" w:rsidTr="00646D13">
        <w:trPr>
          <w:trHeight w:val="270"/>
        </w:trPr>
        <w:tc>
          <w:tcPr>
            <w:tcW w:w="6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6D13" w:rsidRPr="00646D13" w:rsidRDefault="00646D13" w:rsidP="00646D13">
            <w:pPr>
              <w:adjustRightInd/>
              <w:snapToGrid/>
              <w:spacing w:after="0" w:line="360" w:lineRule="auto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ID</w:t>
            </w:r>
          </w:p>
        </w:tc>
        <w:tc>
          <w:tcPr>
            <w:tcW w:w="20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6D13" w:rsidRPr="00646D13" w:rsidRDefault="00646D13" w:rsidP="00646D13">
            <w:pPr>
              <w:adjustRightInd/>
              <w:snapToGrid/>
              <w:spacing w:after="0" w:line="360" w:lineRule="auto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6D13" w:rsidRPr="00646D13" w:rsidRDefault="00646D13" w:rsidP="00646D13">
            <w:pPr>
              <w:adjustRightInd/>
              <w:snapToGrid/>
              <w:spacing w:after="0" w:line="360" w:lineRule="auto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GeneRatio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6D13" w:rsidRPr="00646D13" w:rsidRDefault="00646D13" w:rsidP="00646D13">
            <w:pPr>
              <w:adjustRightInd/>
              <w:snapToGrid/>
              <w:spacing w:after="0" w:line="360" w:lineRule="auto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pvalue</w:t>
            </w:r>
          </w:p>
        </w:tc>
        <w:tc>
          <w:tcPr>
            <w:tcW w:w="85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6D13" w:rsidRPr="00646D13" w:rsidRDefault="00646D13" w:rsidP="00646D13">
            <w:pPr>
              <w:adjustRightInd/>
              <w:snapToGrid/>
              <w:spacing w:after="0" w:line="360" w:lineRule="auto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padj</w:t>
            </w:r>
          </w:p>
        </w:tc>
      </w:tr>
      <w:tr w:rsidR="00646D13" w:rsidRPr="00646D13" w:rsidTr="00646D13">
        <w:trPr>
          <w:trHeight w:val="270"/>
        </w:trPr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13" w:rsidRPr="00646D13" w:rsidRDefault="00646D13" w:rsidP="00646D13">
            <w:pPr>
              <w:adjustRightInd/>
              <w:snapToGrid/>
              <w:spacing w:after="0" w:line="360" w:lineRule="auto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hsa04512</w:t>
            </w:r>
          </w:p>
        </w:tc>
        <w:tc>
          <w:tcPr>
            <w:tcW w:w="2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13" w:rsidRPr="00646D13" w:rsidRDefault="00646D13" w:rsidP="00646D13">
            <w:pPr>
              <w:adjustRightInd/>
              <w:snapToGrid/>
              <w:spacing w:after="0" w:line="360" w:lineRule="auto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ECM-receptor interaction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13" w:rsidRPr="00646D13" w:rsidRDefault="00646D13" w:rsidP="00646D13">
            <w:pPr>
              <w:adjustRightInd/>
              <w:snapToGrid/>
              <w:spacing w:after="0" w:line="360" w:lineRule="auto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7/93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13" w:rsidRPr="00646D13" w:rsidRDefault="00646D13" w:rsidP="00646D13">
            <w:pPr>
              <w:adjustRightInd/>
              <w:snapToGrid/>
              <w:spacing w:after="0"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0.000128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13" w:rsidRPr="00646D13" w:rsidRDefault="00646D13" w:rsidP="00646D13">
            <w:pPr>
              <w:adjustRightInd/>
              <w:snapToGrid/>
              <w:spacing w:after="0"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0.020093151</w:t>
            </w:r>
          </w:p>
        </w:tc>
      </w:tr>
      <w:tr w:rsidR="00646D13" w:rsidRPr="00646D13" w:rsidTr="00646D13">
        <w:trPr>
          <w:trHeight w:val="270"/>
        </w:trPr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13" w:rsidRPr="00646D13" w:rsidRDefault="00646D13" w:rsidP="00646D13">
            <w:pPr>
              <w:adjustRightInd/>
              <w:snapToGrid/>
              <w:spacing w:after="0" w:line="360" w:lineRule="auto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hsa04514</w:t>
            </w:r>
          </w:p>
        </w:tc>
        <w:tc>
          <w:tcPr>
            <w:tcW w:w="2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13" w:rsidRPr="00646D13" w:rsidRDefault="00646D13" w:rsidP="00646D13">
            <w:pPr>
              <w:adjustRightInd/>
              <w:snapToGrid/>
              <w:spacing w:after="0" w:line="360" w:lineRule="auto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Cell adhesion molecules (CAMs)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13" w:rsidRPr="00646D13" w:rsidRDefault="00646D13" w:rsidP="00646D13">
            <w:pPr>
              <w:adjustRightInd/>
              <w:snapToGrid/>
              <w:spacing w:after="0" w:line="360" w:lineRule="auto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7/93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13" w:rsidRPr="00646D13" w:rsidRDefault="00646D13" w:rsidP="00646D13">
            <w:pPr>
              <w:adjustRightInd/>
              <w:snapToGrid/>
              <w:spacing w:after="0"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0.000748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13" w:rsidRPr="00646D13" w:rsidRDefault="00646D13" w:rsidP="00646D13">
            <w:pPr>
              <w:adjustRightInd/>
              <w:snapToGrid/>
              <w:spacing w:after="0"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0.044141377</w:t>
            </w:r>
          </w:p>
        </w:tc>
      </w:tr>
      <w:tr w:rsidR="00646D13" w:rsidRPr="00646D13" w:rsidTr="00646D13">
        <w:trPr>
          <w:trHeight w:val="270"/>
        </w:trPr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6D13" w:rsidRPr="00646D13" w:rsidRDefault="00646D13" w:rsidP="00646D13">
            <w:pPr>
              <w:adjustRightInd/>
              <w:snapToGrid/>
              <w:spacing w:after="0" w:line="360" w:lineRule="auto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hsa04110</w:t>
            </w:r>
          </w:p>
        </w:tc>
        <w:tc>
          <w:tcPr>
            <w:tcW w:w="20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6D13" w:rsidRPr="00646D13" w:rsidRDefault="00646D13" w:rsidP="00646D13">
            <w:pPr>
              <w:adjustRightInd/>
              <w:snapToGrid/>
              <w:spacing w:after="0" w:line="360" w:lineRule="auto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Cell cycle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6D13" w:rsidRPr="00646D13" w:rsidRDefault="00646D13" w:rsidP="00646D13">
            <w:pPr>
              <w:adjustRightInd/>
              <w:snapToGrid/>
              <w:spacing w:after="0" w:line="360" w:lineRule="auto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8/93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6D13" w:rsidRPr="00646D13" w:rsidRDefault="00646D13" w:rsidP="00646D13">
            <w:pPr>
              <w:adjustRightInd/>
              <w:snapToGrid/>
              <w:spacing w:after="0"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0.000843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6D13" w:rsidRPr="00646D13" w:rsidRDefault="00646D13" w:rsidP="00646D13">
            <w:pPr>
              <w:adjustRightInd/>
              <w:snapToGrid/>
              <w:spacing w:after="0"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46D13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0.044141377</w:t>
            </w:r>
          </w:p>
        </w:tc>
      </w:tr>
    </w:tbl>
    <w:p w:rsidR="00F01FE6" w:rsidRPr="00646D13" w:rsidRDefault="00F01FE6" w:rsidP="00646D1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F01FE6" w:rsidRPr="00646D1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defaultTabStop w:val="720"/>
  <w:characterSpacingControl w:val="doNotCompress"/>
  <w:compat>
    <w:useFELayout/>
  </w:compat>
  <w:rsids>
    <w:rsidRoot w:val="00D31D50"/>
    <w:rsid w:val="001A3FE9"/>
    <w:rsid w:val="0025197E"/>
    <w:rsid w:val="00323B43"/>
    <w:rsid w:val="003C6235"/>
    <w:rsid w:val="003D37D8"/>
    <w:rsid w:val="00426133"/>
    <w:rsid w:val="004358AB"/>
    <w:rsid w:val="00646D13"/>
    <w:rsid w:val="006B641D"/>
    <w:rsid w:val="008B7726"/>
    <w:rsid w:val="00D31D50"/>
    <w:rsid w:val="00F01FE6"/>
    <w:rsid w:val="00FC69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unhideWhenUsed/>
    <w:rsid w:val="00F01FE6"/>
    <w:pPr>
      <w:widowControl w:val="0"/>
      <w:adjustRightInd/>
      <w:snapToGrid/>
      <w:spacing w:after="0"/>
    </w:pPr>
    <w:rPr>
      <w:rFonts w:ascii="Times New Roman" w:eastAsia="宋体" w:hAnsi="Times New Roman" w:cs="Times New Roman"/>
      <w:sz w:val="20"/>
      <w:szCs w:val="20"/>
    </w:rPr>
  </w:style>
  <w:style w:type="character" w:customStyle="1" w:styleId="Char">
    <w:name w:val="批注文字 Char"/>
    <w:basedOn w:val="a0"/>
    <w:link w:val="a3"/>
    <w:uiPriority w:val="99"/>
    <w:rsid w:val="00F01FE6"/>
    <w:rPr>
      <w:rFonts w:ascii="Times New Roman" w:eastAsia="宋体" w:hAnsi="Times New Roman" w:cs="Times New Roman"/>
      <w:sz w:val="20"/>
      <w:szCs w:val="20"/>
    </w:rPr>
  </w:style>
  <w:style w:type="character" w:styleId="a4">
    <w:name w:val="annotation reference"/>
    <w:uiPriority w:val="99"/>
    <w:unhideWhenUsed/>
    <w:rsid w:val="00F01FE6"/>
    <w:rPr>
      <w:sz w:val="21"/>
      <w:szCs w:val="21"/>
    </w:rPr>
  </w:style>
  <w:style w:type="paragraph" w:styleId="a5">
    <w:name w:val="Balloon Text"/>
    <w:basedOn w:val="a"/>
    <w:link w:val="Char0"/>
    <w:uiPriority w:val="99"/>
    <w:semiHidden/>
    <w:unhideWhenUsed/>
    <w:rsid w:val="00F01FE6"/>
    <w:pPr>
      <w:spacing w:after="0"/>
    </w:pPr>
    <w:rPr>
      <w:sz w:val="18"/>
      <w:szCs w:val="18"/>
    </w:rPr>
  </w:style>
  <w:style w:type="character" w:customStyle="1" w:styleId="Char0">
    <w:name w:val="批注框文本 Char"/>
    <w:basedOn w:val="a0"/>
    <w:link w:val="a5"/>
    <w:uiPriority w:val="99"/>
    <w:semiHidden/>
    <w:rsid w:val="00F01FE6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84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521</Words>
  <Characters>2973</Characters>
  <Application>Microsoft Office Word</Application>
  <DocSecurity>0</DocSecurity>
  <Lines>24</Lines>
  <Paragraphs>6</Paragraphs>
  <ScaleCrop>false</ScaleCrop>
  <Company/>
  <LinksUpToDate>false</LinksUpToDate>
  <CharactersWithSpaces>3488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任自敬</cp:lastModifiedBy>
  <cp:revision>3</cp:revision>
  <dcterms:created xsi:type="dcterms:W3CDTF">2008-09-11T17:20:00Z</dcterms:created>
  <dcterms:modified xsi:type="dcterms:W3CDTF">2022-02-25T01:13:00Z</dcterms:modified>
</cp:coreProperties>
</file>