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1862B" w14:textId="1328DF92" w:rsidR="00DF1F30" w:rsidRDefault="00DF1F30" w:rsidP="00DF1F30">
      <w:pPr>
        <w:spacing w:line="276" w:lineRule="auto"/>
        <w:jc w:val="center"/>
        <w:rPr>
          <w:rFonts w:ascii="Times" w:hAnsi="Times" w:cstheme="minorHAnsi"/>
          <w:color w:val="000000" w:themeColor="text1"/>
          <w:szCs w:val="22"/>
        </w:rPr>
      </w:pPr>
    </w:p>
    <w:p w14:paraId="2215A168" w14:textId="77777777" w:rsidR="00383B53" w:rsidRDefault="00383B53" w:rsidP="00DF1F30">
      <w:pPr>
        <w:spacing w:line="276" w:lineRule="auto"/>
        <w:jc w:val="center"/>
        <w:rPr>
          <w:rFonts w:ascii="Times" w:hAnsi="Times" w:cstheme="minorHAnsi"/>
          <w:color w:val="000000" w:themeColor="text1"/>
          <w:szCs w:val="22"/>
        </w:rPr>
      </w:pPr>
    </w:p>
    <w:p w14:paraId="1402EDF3" w14:textId="48DA9FCE" w:rsidR="00DF1F30" w:rsidRDefault="00DF1F30" w:rsidP="00DF1F30">
      <w:pPr>
        <w:spacing w:line="276" w:lineRule="auto"/>
        <w:jc w:val="center"/>
        <w:rPr>
          <w:rFonts w:ascii="Times" w:hAnsi="Times" w:cstheme="minorHAnsi"/>
          <w:color w:val="000000" w:themeColor="text1"/>
          <w:szCs w:val="22"/>
        </w:rPr>
      </w:pPr>
      <w:r w:rsidRPr="00DF1F30">
        <w:rPr>
          <w:rFonts w:ascii="Times" w:hAnsi="Times" w:cstheme="minorHAnsi"/>
          <w:color w:val="000000" w:themeColor="text1"/>
          <w:szCs w:val="22"/>
        </w:rPr>
        <w:t xml:space="preserve">Temporal structure of brain oscillations is a biomarker of pain </w:t>
      </w:r>
    </w:p>
    <w:p w14:paraId="3BDBE7AC" w14:textId="35D3A8E3" w:rsidR="00DF1F30" w:rsidRPr="00DF1F30" w:rsidRDefault="00DF1F30" w:rsidP="00DF1F30">
      <w:pPr>
        <w:spacing w:line="276" w:lineRule="auto"/>
        <w:jc w:val="center"/>
        <w:rPr>
          <w:rFonts w:ascii="Times" w:hAnsi="Times" w:cstheme="minorHAnsi"/>
          <w:b/>
          <w:bCs/>
          <w:color w:val="000000" w:themeColor="text1"/>
          <w:szCs w:val="22"/>
        </w:rPr>
      </w:pPr>
      <w:r w:rsidRPr="00DF1F30">
        <w:rPr>
          <w:rFonts w:ascii="Times" w:hAnsi="Times" w:cstheme="minorHAnsi"/>
          <w:color w:val="000000" w:themeColor="text1"/>
          <w:szCs w:val="22"/>
        </w:rPr>
        <w:t>and predicts learned nocebo responses.</w:t>
      </w:r>
    </w:p>
    <w:p w14:paraId="7E5373F1" w14:textId="77777777" w:rsidR="00DF1F30" w:rsidRPr="00DF1F30" w:rsidRDefault="00DF1F30" w:rsidP="00DF1F30">
      <w:pPr>
        <w:spacing w:line="276" w:lineRule="auto"/>
        <w:jc w:val="both"/>
        <w:rPr>
          <w:rFonts w:ascii="Times" w:hAnsi="Times" w:cstheme="minorHAnsi"/>
          <w:color w:val="000000" w:themeColor="text1"/>
          <w:szCs w:val="22"/>
        </w:rPr>
      </w:pPr>
    </w:p>
    <w:p w14:paraId="52974ECA" w14:textId="28408643" w:rsidR="00DF1F30" w:rsidRDefault="00DF1F30" w:rsidP="00DF1F30">
      <w:pPr>
        <w:spacing w:line="276" w:lineRule="auto"/>
        <w:jc w:val="both"/>
        <w:rPr>
          <w:rFonts w:ascii="Times" w:hAnsi="Times" w:cstheme="minorHAnsi"/>
          <w:b/>
          <w:bCs/>
          <w:color w:val="000000" w:themeColor="text1"/>
          <w:sz w:val="22"/>
          <w:szCs w:val="22"/>
        </w:rPr>
      </w:pPr>
    </w:p>
    <w:p w14:paraId="4E6B83CB" w14:textId="77777777" w:rsidR="00383B53" w:rsidRPr="00DF1F30" w:rsidRDefault="00383B53" w:rsidP="00DF1F30">
      <w:pPr>
        <w:spacing w:line="276" w:lineRule="auto"/>
        <w:jc w:val="both"/>
        <w:rPr>
          <w:rFonts w:ascii="Times" w:hAnsi="Times" w:cstheme="minorHAnsi"/>
          <w:b/>
          <w:bCs/>
          <w:color w:val="000000" w:themeColor="text1"/>
          <w:sz w:val="22"/>
          <w:szCs w:val="22"/>
        </w:rPr>
      </w:pPr>
    </w:p>
    <w:p w14:paraId="4714CCB3" w14:textId="61F3B99F" w:rsidR="00DF1F30" w:rsidRPr="00DF1F30" w:rsidRDefault="00DF1F30" w:rsidP="00DF1F30">
      <w:pPr>
        <w:spacing w:line="276" w:lineRule="auto"/>
        <w:jc w:val="both"/>
        <w:rPr>
          <w:rFonts w:ascii="Times" w:hAnsi="Times" w:cstheme="minorHAnsi"/>
          <w:color w:val="000000" w:themeColor="text1"/>
          <w:sz w:val="22"/>
          <w:szCs w:val="22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  <w:u w:val="single"/>
        </w:rPr>
        <w:t>Mia A. Thomaidou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 </w:t>
      </w: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># 1,2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, </w:t>
      </w:r>
      <w:r w:rsidRPr="00DF1F30">
        <w:rPr>
          <w:rFonts w:ascii="Times" w:hAnsi="Times" w:cstheme="minorHAnsi"/>
          <w:color w:val="000000" w:themeColor="text1"/>
          <w:sz w:val="22"/>
          <w:szCs w:val="22"/>
          <w:u w:val="single"/>
        </w:rPr>
        <w:t>Joseph S. Blythe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 </w:t>
      </w: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># 1,2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, </w:t>
      </w:r>
      <w:r w:rsidRPr="00DF1F30">
        <w:rPr>
          <w:rFonts w:ascii="Times" w:hAnsi="Times" w:cstheme="minorHAnsi"/>
          <w:color w:val="000000" w:themeColor="text1"/>
          <w:sz w:val="22"/>
          <w:szCs w:val="22"/>
          <w:u w:val="single"/>
        </w:rPr>
        <w:t>Simon J. Houtman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 </w:t>
      </w: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># 3</w:t>
      </w:r>
      <w:r w:rsidRPr="00DF1F30">
        <w:rPr>
          <w:rFonts w:ascii="Times" w:hAnsi="Times" w:cstheme="minorHAnsi"/>
          <w:sz w:val="22"/>
          <w:szCs w:val="22"/>
        </w:rPr>
        <w:t xml:space="preserve">, </w:t>
      </w:r>
      <w:proofErr w:type="spellStart"/>
      <w:r w:rsidRPr="00DF1F30">
        <w:rPr>
          <w:rFonts w:ascii="Times" w:hAnsi="Times" w:cstheme="minorHAnsi"/>
          <w:sz w:val="22"/>
          <w:szCs w:val="22"/>
        </w:rPr>
        <w:t>Dieuwke</w:t>
      </w:r>
      <w:proofErr w:type="spellEnd"/>
      <w:r w:rsidRPr="00DF1F30">
        <w:rPr>
          <w:rFonts w:ascii="Times" w:hAnsi="Times" w:cstheme="minorHAnsi"/>
          <w:sz w:val="22"/>
          <w:szCs w:val="22"/>
        </w:rPr>
        <w:t xml:space="preserve"> S. Veldhuijzen</w:t>
      </w:r>
      <w:r w:rsidRPr="00DF1F30">
        <w:rPr>
          <w:rFonts w:ascii="Times" w:hAnsi="Times" w:cstheme="minorHAnsi"/>
          <w:sz w:val="22"/>
          <w:szCs w:val="22"/>
          <w:vertAlign w:val="superscript"/>
        </w:rPr>
        <w:t>1,2</w:t>
      </w:r>
      <w:r w:rsidRPr="00DF1F30">
        <w:rPr>
          <w:rFonts w:ascii="Times" w:hAnsi="Times" w:cstheme="minorHAnsi"/>
          <w:sz w:val="22"/>
          <w:szCs w:val="22"/>
        </w:rPr>
        <w:t>, Antoinette I. M. van Laarhoven</w:t>
      </w:r>
      <w:r w:rsidRPr="00DF1F30">
        <w:rPr>
          <w:rFonts w:ascii="Times" w:hAnsi="Times" w:cstheme="minorHAnsi"/>
          <w:sz w:val="22"/>
          <w:szCs w:val="22"/>
          <w:vertAlign w:val="superscript"/>
        </w:rPr>
        <w:t>1,2,4</w:t>
      </w:r>
      <w:r w:rsidRPr="00DF1F30">
        <w:rPr>
          <w:rFonts w:ascii="Times" w:hAnsi="Times" w:cstheme="minorHAnsi"/>
          <w:sz w:val="22"/>
          <w:szCs w:val="22"/>
        </w:rPr>
        <w:t xml:space="preserve">, 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>Andrea W. M. Evers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 </w:t>
      </w: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>1,2,4,5</w:t>
      </w:r>
    </w:p>
    <w:p w14:paraId="03FDCB1E" w14:textId="4F6F42D1" w:rsidR="00DF1F30" w:rsidRDefault="00DF1F30" w:rsidP="00DF1F30">
      <w:pPr>
        <w:spacing w:line="276" w:lineRule="auto"/>
        <w:jc w:val="both"/>
        <w:rPr>
          <w:rFonts w:ascii="Times" w:hAnsi="Times" w:cstheme="minorHAnsi"/>
          <w:b/>
          <w:color w:val="000000" w:themeColor="text1"/>
          <w:sz w:val="22"/>
          <w:szCs w:val="22"/>
        </w:rPr>
      </w:pPr>
    </w:p>
    <w:p w14:paraId="7A6326F6" w14:textId="0DABD937" w:rsidR="00DF1F30" w:rsidRDefault="00DF1F30" w:rsidP="00DF1F30">
      <w:pPr>
        <w:spacing w:line="276" w:lineRule="auto"/>
        <w:jc w:val="both"/>
        <w:rPr>
          <w:rFonts w:ascii="Times" w:hAnsi="Times" w:cstheme="minorHAnsi"/>
          <w:b/>
          <w:color w:val="000000" w:themeColor="text1"/>
          <w:sz w:val="22"/>
          <w:szCs w:val="22"/>
        </w:rPr>
      </w:pPr>
    </w:p>
    <w:p w14:paraId="14B8DDFD" w14:textId="77777777" w:rsidR="00383B53" w:rsidRPr="00DF1F30" w:rsidRDefault="00383B53" w:rsidP="00DF1F30">
      <w:pPr>
        <w:spacing w:line="276" w:lineRule="auto"/>
        <w:jc w:val="both"/>
        <w:rPr>
          <w:rFonts w:ascii="Times" w:hAnsi="Times" w:cstheme="minorHAnsi"/>
          <w:b/>
          <w:color w:val="000000" w:themeColor="text1"/>
          <w:sz w:val="22"/>
          <w:szCs w:val="22"/>
        </w:rPr>
      </w:pPr>
    </w:p>
    <w:p w14:paraId="754591E5" w14:textId="7B1886B7" w:rsidR="00DF1F30" w:rsidRPr="00DF1F30" w:rsidRDefault="00DF1F30" w:rsidP="00DF1F30">
      <w:pPr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 xml:space="preserve">1 </w:t>
      </w: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ab/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Faculty of Social and Behavioral Sciences, Leiden University, </w:t>
      </w:r>
      <w:r w:rsidRPr="00DF1F30">
        <w:rPr>
          <w:rFonts w:ascii="Times" w:hAnsi="Times" w:cstheme="minorHAnsi"/>
          <w:bCs/>
          <w:color w:val="000000" w:themeColor="text1"/>
          <w:sz w:val="22"/>
          <w:szCs w:val="22"/>
        </w:rPr>
        <w:t>2333 AK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 Leiden, Netherlands</w:t>
      </w:r>
    </w:p>
    <w:p w14:paraId="08FAFE06" w14:textId="10E9F995" w:rsidR="00DF1F30" w:rsidRPr="00DF1F30" w:rsidRDefault="00DF1F30" w:rsidP="00DF1F30">
      <w:pPr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>2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 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ab/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>Leiden Institute for Brain &amp; Cognition, 2333 ZA Leiden, Netherlands</w:t>
      </w:r>
    </w:p>
    <w:p w14:paraId="1FEFDB29" w14:textId="611C2CA7" w:rsidR="00DF1F30" w:rsidRPr="00DF1F30" w:rsidRDefault="00DF1F30" w:rsidP="00DF1F30">
      <w:pPr>
        <w:tabs>
          <w:tab w:val="left" w:pos="180"/>
        </w:tabs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>3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 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ab/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>Department of Integrative Neurophysiology, Center for Neurogenomics and Cognitive</w:t>
      </w:r>
    </w:p>
    <w:p w14:paraId="4FB78976" w14:textId="77777777" w:rsidR="00DF1F30" w:rsidRPr="00DF1F30" w:rsidRDefault="00DF1F30" w:rsidP="00DF1F30">
      <w:pPr>
        <w:tabs>
          <w:tab w:val="left" w:pos="180"/>
        </w:tabs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  <w:lang w:val="nl-NL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</w:rPr>
        <w:tab/>
      </w:r>
      <w:r w:rsidRPr="00DF1F30">
        <w:rPr>
          <w:rFonts w:ascii="Times" w:hAnsi="Times" w:cstheme="minorHAnsi"/>
          <w:color w:val="000000" w:themeColor="text1"/>
          <w:sz w:val="22"/>
          <w:szCs w:val="22"/>
          <w:lang w:val="nl-NL"/>
        </w:rPr>
        <w:t>Research, Amsterdam Neuroscience, VU University Amsterdam, 1081 HV</w:t>
      </w:r>
    </w:p>
    <w:p w14:paraId="4F215E57" w14:textId="77777777" w:rsidR="00DF1F30" w:rsidRPr="00DF1F30" w:rsidRDefault="00DF1F30" w:rsidP="00DF1F30">
      <w:pPr>
        <w:tabs>
          <w:tab w:val="left" w:pos="180"/>
        </w:tabs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  <w:lang w:val="nl-NL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  <w:lang w:val="nl-NL"/>
        </w:rPr>
        <w:tab/>
        <w:t>Amsterdam, Netherlands</w:t>
      </w:r>
    </w:p>
    <w:p w14:paraId="4E2D0DB7" w14:textId="7E10AF25" w:rsidR="00DF1F30" w:rsidRPr="00DF1F30" w:rsidRDefault="00DF1F30" w:rsidP="00DF1F30">
      <w:pPr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>4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ab/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>Department of Psychiatry, Leiden University Medical Center, 2333 ZA Leiden, Netherlands</w:t>
      </w:r>
    </w:p>
    <w:p w14:paraId="745D8103" w14:textId="77777777" w:rsidR="00383B53" w:rsidRDefault="00DF1F30" w:rsidP="00DF1F30">
      <w:pPr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  <w:vertAlign w:val="superscript"/>
        </w:rPr>
        <w:t>5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 xml:space="preserve"> </w:t>
      </w:r>
      <w:r w:rsidRPr="00DF1F30">
        <w:rPr>
          <w:rFonts w:ascii="Times" w:hAnsi="Times" w:cstheme="minorHAnsi"/>
          <w:color w:val="000000" w:themeColor="text1"/>
          <w:sz w:val="22"/>
          <w:szCs w:val="22"/>
        </w:rPr>
        <w:t>Medical Delta Healthy Society; Leiden University, Technical University Delft, &amp; Erasmus University Rotterdam, Netherlands</w:t>
      </w:r>
    </w:p>
    <w:p w14:paraId="0F83C3BA" w14:textId="77777777" w:rsidR="00383B53" w:rsidRDefault="00383B53" w:rsidP="00DF1F30">
      <w:pPr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eastAsia="Calibri" w:hAnsi="Times" w:cs="Times New Roman"/>
          <w:b/>
          <w:i/>
          <w:sz w:val="22"/>
          <w:szCs w:val="22"/>
        </w:rPr>
      </w:pPr>
    </w:p>
    <w:p w14:paraId="0378B26D" w14:textId="77777777" w:rsidR="00383B53" w:rsidRDefault="00383B53" w:rsidP="00383B53">
      <w:pPr>
        <w:autoSpaceDE w:val="0"/>
        <w:autoSpaceDN w:val="0"/>
        <w:adjustRightInd w:val="0"/>
        <w:spacing w:line="276" w:lineRule="auto"/>
        <w:jc w:val="both"/>
        <w:rPr>
          <w:rFonts w:ascii="Arial" w:eastAsia="Times New Roman" w:hAnsi="Arial" w:cs="Arial"/>
          <w:color w:val="263238"/>
          <w:sz w:val="21"/>
          <w:szCs w:val="21"/>
        </w:rPr>
      </w:pPr>
    </w:p>
    <w:p w14:paraId="31A0B500" w14:textId="77777777" w:rsidR="00383B53" w:rsidRDefault="00383B53" w:rsidP="00383B53">
      <w:pPr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</w:rPr>
      </w:pPr>
    </w:p>
    <w:p w14:paraId="7D394EA8" w14:textId="77777777" w:rsidR="00383B53" w:rsidRDefault="00383B53" w:rsidP="00383B53">
      <w:pPr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  <w:sz w:val="22"/>
          <w:szCs w:val="22"/>
        </w:rPr>
      </w:pPr>
    </w:p>
    <w:p w14:paraId="4C3E5136" w14:textId="7D4C8FE5" w:rsidR="00DF1F30" w:rsidRPr="00DF1F30" w:rsidRDefault="00383B53" w:rsidP="00383B53">
      <w:pPr>
        <w:autoSpaceDE w:val="0"/>
        <w:autoSpaceDN w:val="0"/>
        <w:adjustRightInd w:val="0"/>
        <w:spacing w:line="276" w:lineRule="auto"/>
        <w:ind w:left="180" w:hanging="180"/>
        <w:jc w:val="both"/>
        <w:rPr>
          <w:rFonts w:ascii="Times" w:hAnsi="Times" w:cstheme="minorHAnsi"/>
          <w:color w:val="000000" w:themeColor="text1"/>
        </w:rPr>
      </w:pPr>
      <w:r w:rsidRPr="00DF1F30">
        <w:rPr>
          <w:rFonts w:ascii="Times" w:hAnsi="Times" w:cstheme="minorHAnsi"/>
          <w:color w:val="000000" w:themeColor="text1"/>
          <w:sz w:val="22"/>
          <w:szCs w:val="22"/>
        </w:rPr>
        <w:t>Supplementary Information</w:t>
      </w:r>
      <w:r w:rsidRPr="00DF1F30">
        <w:rPr>
          <w:rFonts w:ascii="Times" w:eastAsia="Calibri" w:hAnsi="Times" w:cs="Times New Roman"/>
          <w:b/>
          <w:i/>
          <w:sz w:val="22"/>
          <w:szCs w:val="22"/>
        </w:rPr>
        <w:t xml:space="preserve"> </w:t>
      </w:r>
      <w:r w:rsidR="00DF1F30" w:rsidRPr="00DF1F30">
        <w:rPr>
          <w:rFonts w:ascii="Times" w:eastAsia="Calibri" w:hAnsi="Times" w:cs="Times New Roman"/>
          <w:b/>
          <w:i/>
          <w:sz w:val="22"/>
          <w:szCs w:val="22"/>
        </w:rPr>
        <w:br w:type="page"/>
      </w:r>
    </w:p>
    <w:p w14:paraId="78ABF51E" w14:textId="6178C847" w:rsidR="007A2AE9" w:rsidRPr="00DF1F30" w:rsidRDefault="00286800" w:rsidP="00DF1F30">
      <w:pPr>
        <w:spacing w:after="240" w:line="276" w:lineRule="auto"/>
        <w:jc w:val="both"/>
        <w:rPr>
          <w:rFonts w:ascii="Times" w:eastAsia="Calibri" w:hAnsi="Times" w:cs="Times New Roman"/>
          <w:b/>
          <w:i/>
          <w:sz w:val="22"/>
          <w:szCs w:val="22"/>
        </w:rPr>
      </w:pPr>
      <w:r w:rsidRPr="00DF1F30">
        <w:rPr>
          <w:rFonts w:ascii="Times" w:eastAsia="Calibri" w:hAnsi="Times" w:cs="Times New Roman"/>
          <w:b/>
          <w:i/>
          <w:sz w:val="22"/>
          <w:szCs w:val="22"/>
        </w:rPr>
        <w:lastRenderedPageBreak/>
        <w:t>1.</w:t>
      </w:r>
      <w:bookmarkStart w:id="0" w:name="_GoBack"/>
      <w:bookmarkEnd w:id="0"/>
      <w:r w:rsidRPr="00DF1F30">
        <w:rPr>
          <w:rFonts w:ascii="Times" w:eastAsia="Calibri" w:hAnsi="Times" w:cs="Times New Roman"/>
          <w:b/>
          <w:i/>
          <w:sz w:val="22"/>
          <w:szCs w:val="22"/>
        </w:rPr>
        <w:t xml:space="preserve"> </w:t>
      </w:r>
      <w:r w:rsidR="007A2AE9" w:rsidRPr="00DF1F30">
        <w:rPr>
          <w:rFonts w:ascii="Times" w:eastAsia="Calibri" w:hAnsi="Times" w:cs="Times New Roman"/>
          <w:b/>
          <w:i/>
          <w:sz w:val="22"/>
          <w:szCs w:val="22"/>
        </w:rPr>
        <w:t>No significant neurophysiological differences between nocebo and control trials in the evocation phase</w:t>
      </w:r>
    </w:p>
    <w:p w14:paraId="77E7850B" w14:textId="71843EDC" w:rsidR="007A2AE9" w:rsidRPr="00DF1F30" w:rsidRDefault="007A2AE9" w:rsidP="00DF1F30">
      <w:pPr>
        <w:spacing w:line="276" w:lineRule="auto"/>
        <w:jc w:val="both"/>
        <w:rPr>
          <w:rFonts w:ascii="Times" w:eastAsia="Calibri" w:hAnsi="Times" w:cs="Times New Roman"/>
          <w:sz w:val="22"/>
          <w:szCs w:val="22"/>
        </w:rPr>
      </w:pPr>
      <w:r w:rsidRPr="00DF1F30">
        <w:rPr>
          <w:rFonts w:ascii="Times" w:eastAsia="Calibri" w:hAnsi="Times" w:cs="Times New Roman"/>
          <w:sz w:val="22"/>
          <w:szCs w:val="22"/>
        </w:rPr>
        <w:t xml:space="preserve">We asked what the neurophysiological differences are between nocebo and control trials during the evocation phase of the study. To this end, non-parametric paired Wilcoxon signed-rank tests were conducted to compare differences in power, central frequency and DFA between nocebo and control trials of the evocation phase of the study. </w:t>
      </w:r>
    </w:p>
    <w:p w14:paraId="07E7EEA9" w14:textId="77777777" w:rsidR="007A2AE9" w:rsidRPr="00DF1F30" w:rsidRDefault="007A2AE9" w:rsidP="00DF1F30">
      <w:pPr>
        <w:spacing w:line="276" w:lineRule="auto"/>
        <w:jc w:val="both"/>
        <w:rPr>
          <w:rFonts w:ascii="Times" w:eastAsia="Calibri" w:hAnsi="Times" w:cs="Times New Roman"/>
          <w:sz w:val="22"/>
          <w:szCs w:val="22"/>
        </w:rPr>
      </w:pPr>
    </w:p>
    <w:p w14:paraId="74B8FE3D" w14:textId="346DD978" w:rsidR="00C12735" w:rsidRPr="00DF1F30" w:rsidRDefault="007A2AE9" w:rsidP="00DF1F30">
      <w:pPr>
        <w:spacing w:line="276" w:lineRule="auto"/>
        <w:rPr>
          <w:rFonts w:ascii="Times" w:eastAsia="Calibri" w:hAnsi="Times" w:cs="Times New Roman"/>
          <w:sz w:val="22"/>
          <w:szCs w:val="22"/>
        </w:rPr>
      </w:pPr>
      <w:r w:rsidRPr="00DF1F30">
        <w:rPr>
          <w:rFonts w:ascii="Times" w:eastAsia="Calibri" w:hAnsi="Times" w:cs="Times New Roman"/>
          <w:sz w:val="22"/>
          <w:szCs w:val="22"/>
        </w:rPr>
        <w:t xml:space="preserve">Relative power alpha was lower above occipital regions during nocebo compared with control trials (Electrode Oz,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19.91,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17.37,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 xml:space="preserve">Z </w:t>
      </w:r>
      <w:r w:rsidRPr="00DF1F30">
        <w:rPr>
          <w:rFonts w:ascii="Times" w:eastAsia="Calibri" w:hAnsi="Times" w:cs="Times New Roman"/>
          <w:sz w:val="22"/>
          <w:szCs w:val="22"/>
        </w:rPr>
        <w:t xml:space="preserve">= 2.28,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0.023,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0.4), but not significantly different for the whole-brain average (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19.23,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19.2,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0.42,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0.67,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0.07). There were no differences in relative power within beta (Whole-brain average,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18.04,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18.06,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1.44,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0.15,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0.25) or gamma band (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6.04,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6.28,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0.33,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0.74,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0.06) between nocebo and control trials after FDR-correction. There were no differences between nocebo and control trials for central frequency within alpha (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10.35,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10.38,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0.78,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0.44,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0.14) and beta (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19.82,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19.69,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0.17,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0.87,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0.03). Central frequency of gamma oscillations was lower during nocebo compared with control trials (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36.66,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36.65,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1.97,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0.048,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0.34) after FDR-correction. DFA within the alpha band was significantly lower during nocebo compared with control trials (Electrode C4,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0.76,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0.72,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2.14,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0.033,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0.37) (Whole-brain average,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0.69,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0.68,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2.35,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0.019,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0.41), although not significant after FDR-correction. DFA of beta oscillations was lower during nocebo than during control trials (Electrode P4,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0.69,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0.66,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2.35,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0.019,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0.41) (Whole-brain average,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0.7,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0.68,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2.03,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0.043,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0.35), but not significant after FDR-correction. There were no differences in DFA gamma between nocebo and control trials during the evocation phase of the study (Whole-brain average,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CONT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0.72, </w:t>
      </w:r>
      <w:proofErr w:type="spellStart"/>
      <w:r w:rsidRPr="00DF1F30">
        <w:rPr>
          <w:rFonts w:ascii="Times" w:eastAsia="Calibri" w:hAnsi="Times" w:cs="Times New Roman"/>
          <w:sz w:val="22"/>
          <w:szCs w:val="22"/>
        </w:rPr>
        <w:t>Mdn</w:t>
      </w:r>
      <w:r w:rsidRPr="00DF1F30">
        <w:rPr>
          <w:rFonts w:ascii="Times" w:eastAsia="Calibri" w:hAnsi="Times" w:cs="Times New Roman"/>
          <w:sz w:val="22"/>
          <w:szCs w:val="22"/>
          <w:vertAlign w:val="subscript"/>
        </w:rPr>
        <w:t>NOC</w:t>
      </w:r>
      <w:proofErr w:type="spellEnd"/>
      <w:r w:rsidRPr="00DF1F30">
        <w:rPr>
          <w:rFonts w:ascii="Times" w:eastAsia="Calibri" w:hAnsi="Times" w:cs="Times New Roman"/>
          <w:sz w:val="22"/>
          <w:szCs w:val="22"/>
        </w:rPr>
        <w:t xml:space="preserve"> = 0.72,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Z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0.15,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p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0.88, </w:t>
      </w:r>
      <w:r w:rsidRPr="00DF1F30">
        <w:rPr>
          <w:rFonts w:ascii="Times" w:eastAsia="Calibri" w:hAnsi="Times" w:cs="Times New Roman"/>
          <w:i/>
          <w:iCs/>
          <w:sz w:val="22"/>
          <w:szCs w:val="22"/>
        </w:rPr>
        <w:t>r</w:t>
      </w:r>
      <w:r w:rsidRPr="00DF1F30">
        <w:rPr>
          <w:rFonts w:ascii="Times" w:eastAsia="Calibri" w:hAnsi="Times" w:cs="Times New Roman"/>
          <w:sz w:val="22"/>
          <w:szCs w:val="22"/>
        </w:rPr>
        <w:t xml:space="preserve"> = 0.03).</w:t>
      </w:r>
    </w:p>
    <w:p w14:paraId="0C4BB6A9" w14:textId="730E286F" w:rsidR="006226B1" w:rsidRDefault="006226B1" w:rsidP="00DF1F30">
      <w:pPr>
        <w:spacing w:line="276" w:lineRule="auto"/>
        <w:rPr>
          <w:rFonts w:ascii="Times" w:hAnsi="Times"/>
          <w:sz w:val="22"/>
          <w:szCs w:val="22"/>
        </w:rPr>
      </w:pPr>
    </w:p>
    <w:p w14:paraId="013231F3" w14:textId="77777777" w:rsidR="00DF1F30" w:rsidRPr="00DF1F30" w:rsidRDefault="00DF1F30" w:rsidP="00DF1F30">
      <w:pPr>
        <w:spacing w:line="276" w:lineRule="auto"/>
        <w:rPr>
          <w:rFonts w:ascii="Times" w:hAnsi="Times"/>
          <w:sz w:val="22"/>
          <w:szCs w:val="22"/>
        </w:rPr>
      </w:pPr>
    </w:p>
    <w:p w14:paraId="0F9A6E6E" w14:textId="6431B1A4" w:rsidR="006226B1" w:rsidRPr="00DF1F30" w:rsidRDefault="00286800" w:rsidP="00DF1F30">
      <w:pPr>
        <w:spacing w:line="276" w:lineRule="auto"/>
        <w:jc w:val="both"/>
        <w:rPr>
          <w:rFonts w:ascii="Times" w:hAnsi="Times"/>
          <w:b/>
          <w:i/>
          <w:sz w:val="22"/>
          <w:szCs w:val="22"/>
        </w:rPr>
      </w:pPr>
      <w:r w:rsidRPr="00DF1F30">
        <w:rPr>
          <w:rFonts w:ascii="Times" w:eastAsia="Calibri" w:hAnsi="Times" w:cs="Times New Roman"/>
          <w:b/>
          <w:i/>
          <w:sz w:val="22"/>
          <w:szCs w:val="22"/>
        </w:rPr>
        <w:t xml:space="preserve">2. </w:t>
      </w:r>
      <w:r w:rsidR="006226B1" w:rsidRPr="00DF1F30">
        <w:rPr>
          <w:rFonts w:ascii="Times" w:hAnsi="Times"/>
          <w:b/>
          <w:i/>
          <w:sz w:val="22"/>
          <w:szCs w:val="22"/>
        </w:rPr>
        <w:t>No significant relationship between questionnaire scores and EEG biomarkers</w:t>
      </w:r>
    </w:p>
    <w:p w14:paraId="328B2DC1" w14:textId="52E632A4" w:rsidR="006226B1" w:rsidRPr="00DF1F30" w:rsidRDefault="006226B1" w:rsidP="00DF1F30">
      <w:pPr>
        <w:spacing w:line="276" w:lineRule="auto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Below we list raw correlation values with corresponding p-values for all comparisons with questionnaire scores.</w:t>
      </w:r>
    </w:p>
    <w:p w14:paraId="20671D02" w14:textId="77777777" w:rsidR="006226B1" w:rsidRPr="00DF1F30" w:rsidRDefault="006226B1" w:rsidP="00DF1F30">
      <w:pPr>
        <w:spacing w:line="276" w:lineRule="auto"/>
        <w:rPr>
          <w:rFonts w:ascii="Times" w:hAnsi="Times"/>
          <w:b/>
          <w:bCs/>
          <w:sz w:val="22"/>
          <w:szCs w:val="22"/>
        </w:rPr>
      </w:pPr>
    </w:p>
    <w:p w14:paraId="2ED08BAD" w14:textId="77777777" w:rsidR="006226B1" w:rsidRPr="00DF1F30" w:rsidRDefault="006226B1" w:rsidP="00DF1F30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  <w:b/>
          <w:bCs/>
          <w:sz w:val="22"/>
          <w:szCs w:val="22"/>
        </w:rPr>
      </w:pPr>
      <w:r w:rsidRPr="00DF1F30">
        <w:rPr>
          <w:rFonts w:ascii="Times" w:hAnsi="Times"/>
          <w:b/>
          <w:bCs/>
          <w:sz w:val="22"/>
          <w:szCs w:val="22"/>
        </w:rPr>
        <w:t>Association between FPQ and (POST-PRE)</w:t>
      </w:r>
    </w:p>
    <w:p w14:paraId="118B3D4C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alpha: (Electrode P3, rho = -0.4, p = 0.022), (Whole brain, rho = -0.28, p = 0.114)</w:t>
      </w:r>
    </w:p>
    <w:p w14:paraId="25BB5119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beta: (Electrode FC6, rho = 0.35, p = 0.048), (Whole brain average, rho = 0.15, 0.389)</w:t>
      </w:r>
    </w:p>
    <w:p w14:paraId="1E22E04F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gamma: (Electrode FC2, rho = 0.39, p = 0.025), (Whole brain, rho = 0.24, p = 0.171)</w:t>
      </w:r>
    </w:p>
    <w:p w14:paraId="2667C523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DFA alpha: (Electrode C4, rho = 0.4, p = 0.023), (Whole brain average, rho = 0.17, p = 0.331)</w:t>
      </w:r>
    </w:p>
    <w:p w14:paraId="76028D74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DFA beta: (Whole brain average, rho = 0.05, p = 0.763)</w:t>
      </w:r>
    </w:p>
    <w:p w14:paraId="5AF98EC1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DFA gamma: (Electrode PO4, rho = 0.39, p = 0.026)</w:t>
      </w:r>
    </w:p>
    <w:p w14:paraId="32E66672" w14:textId="77777777" w:rsidR="006226B1" w:rsidRPr="00DF1F30" w:rsidRDefault="006226B1" w:rsidP="00DF1F30">
      <w:pPr>
        <w:pStyle w:val="ListParagraph"/>
        <w:spacing w:line="276" w:lineRule="auto"/>
        <w:rPr>
          <w:rFonts w:ascii="Times" w:hAnsi="Times"/>
          <w:sz w:val="22"/>
          <w:szCs w:val="22"/>
        </w:rPr>
      </w:pPr>
    </w:p>
    <w:p w14:paraId="4BF4DF35" w14:textId="77777777" w:rsidR="006226B1" w:rsidRPr="00DF1F30" w:rsidRDefault="006226B1" w:rsidP="00DF1F30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  <w:b/>
          <w:bCs/>
          <w:sz w:val="22"/>
          <w:szCs w:val="22"/>
        </w:rPr>
      </w:pPr>
      <w:r w:rsidRPr="00DF1F30">
        <w:rPr>
          <w:rFonts w:ascii="Times" w:hAnsi="Times"/>
          <w:b/>
          <w:bCs/>
          <w:sz w:val="22"/>
          <w:szCs w:val="22"/>
        </w:rPr>
        <w:t>Association between PCS and (POST-PRE)</w:t>
      </w:r>
    </w:p>
    <w:p w14:paraId="0C23CC26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alpha: (Whole brain average, rho = -0.15, p = 0.409)</w:t>
      </w:r>
    </w:p>
    <w:p w14:paraId="545B83C1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beta: (Whole brain average, rho = -0.05, p = 0.778)</w:t>
      </w:r>
    </w:p>
    <w:p w14:paraId="55DA548F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gamma: (Whole brain average, rho = 0.07, p = 0.693)</w:t>
      </w:r>
    </w:p>
    <w:p w14:paraId="25222493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lastRenderedPageBreak/>
        <w:t>DFA alpha: (Whole brain average, rho = 0.13, p = 0.467)</w:t>
      </w:r>
    </w:p>
    <w:p w14:paraId="29E1ED60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DFA beta: (Whole brain average, rho = 0.12, p = 0.521)</w:t>
      </w:r>
    </w:p>
    <w:p w14:paraId="5B5C4AC6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DFA gamma: (Electrode FC1, rho = 0.37, p = 0.033), (Whole brain average, rho = 0.1, p = 0.595)</w:t>
      </w:r>
    </w:p>
    <w:p w14:paraId="7EAD7208" w14:textId="77777777" w:rsidR="006226B1" w:rsidRPr="00DF1F30" w:rsidRDefault="006226B1" w:rsidP="00DF1F30">
      <w:pPr>
        <w:pStyle w:val="ListParagraph"/>
        <w:spacing w:line="276" w:lineRule="auto"/>
        <w:rPr>
          <w:rFonts w:ascii="Times" w:hAnsi="Times"/>
          <w:sz w:val="22"/>
          <w:szCs w:val="22"/>
        </w:rPr>
      </w:pPr>
    </w:p>
    <w:p w14:paraId="5EFC9085" w14:textId="77777777" w:rsidR="006226B1" w:rsidRPr="00DF1F30" w:rsidRDefault="006226B1" w:rsidP="00DF1F30">
      <w:pPr>
        <w:pStyle w:val="ListParagraph"/>
        <w:numPr>
          <w:ilvl w:val="0"/>
          <w:numId w:val="1"/>
        </w:numPr>
        <w:spacing w:line="276" w:lineRule="auto"/>
        <w:rPr>
          <w:rFonts w:ascii="Times" w:hAnsi="Times"/>
          <w:b/>
          <w:bCs/>
          <w:sz w:val="22"/>
          <w:szCs w:val="22"/>
        </w:rPr>
      </w:pPr>
      <w:r w:rsidRPr="00DF1F30">
        <w:rPr>
          <w:rFonts w:ascii="Times" w:hAnsi="Times"/>
          <w:b/>
          <w:bCs/>
          <w:sz w:val="22"/>
          <w:szCs w:val="22"/>
        </w:rPr>
        <w:t>Association between ECIP and (POST-PRE)</w:t>
      </w:r>
    </w:p>
    <w:p w14:paraId="1A4122A6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alpha: (Whole brain average, rho = -0.17, p = 0.352)</w:t>
      </w:r>
    </w:p>
    <w:p w14:paraId="4FDAF619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beta: (Electrode AF3, rho = -0.4, p = 0.021), (Whole brain, rho = -0.11, p = 0.528)</w:t>
      </w:r>
    </w:p>
    <w:p w14:paraId="1E1FF4FA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Relative power gamma: (Whole brain average, rho = -0.04, p = 0.818)</w:t>
      </w:r>
    </w:p>
    <w:p w14:paraId="5BEFF9C6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DFA alpha: (Electrode C4, rho = 0.39, p = 0.026), (Whole brain average, rho = 0.13, p = 0.468)</w:t>
      </w:r>
    </w:p>
    <w:p w14:paraId="204E11EC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DFA beta: (Whole brain average, rho = -0.03, p = 0.853)</w:t>
      </w:r>
    </w:p>
    <w:p w14:paraId="6E126146" w14:textId="77777777" w:rsidR="006226B1" w:rsidRPr="00DF1F30" w:rsidRDefault="006226B1" w:rsidP="00DF1F30">
      <w:pPr>
        <w:pStyle w:val="ListParagraph"/>
        <w:numPr>
          <w:ilvl w:val="1"/>
          <w:numId w:val="1"/>
        </w:numPr>
        <w:tabs>
          <w:tab w:val="clear" w:pos="1080"/>
          <w:tab w:val="num" w:pos="360"/>
        </w:tabs>
        <w:spacing w:line="276" w:lineRule="auto"/>
        <w:ind w:left="360"/>
        <w:rPr>
          <w:rFonts w:ascii="Times" w:hAnsi="Times"/>
          <w:sz w:val="22"/>
          <w:szCs w:val="22"/>
        </w:rPr>
      </w:pPr>
      <w:r w:rsidRPr="00DF1F30">
        <w:rPr>
          <w:rFonts w:ascii="Times" w:hAnsi="Times"/>
          <w:sz w:val="22"/>
          <w:szCs w:val="22"/>
        </w:rPr>
        <w:t>DFA gamma: (Electrode CP5, rho = -0.38, p = 0.028), (Whole brain average, rho = -0.14, p = 0.444)</w:t>
      </w:r>
    </w:p>
    <w:p w14:paraId="720EA390" w14:textId="77777777" w:rsidR="006226B1" w:rsidRPr="00DF1F30" w:rsidRDefault="006226B1" w:rsidP="00DF1F30">
      <w:pPr>
        <w:spacing w:line="276" w:lineRule="auto"/>
        <w:rPr>
          <w:rFonts w:ascii="Times" w:hAnsi="Times"/>
          <w:sz w:val="22"/>
          <w:szCs w:val="22"/>
        </w:rPr>
      </w:pPr>
    </w:p>
    <w:sectPr w:rsidR="006226B1" w:rsidRPr="00DF1F30" w:rsidSect="00A1208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5AD51C" w14:textId="77777777" w:rsidR="00335E41" w:rsidRDefault="00335E41" w:rsidP="00DF1F30">
      <w:r>
        <w:separator/>
      </w:r>
    </w:p>
  </w:endnote>
  <w:endnote w:type="continuationSeparator" w:id="0">
    <w:p w14:paraId="696039E5" w14:textId="77777777" w:rsidR="00335E41" w:rsidRDefault="00335E41" w:rsidP="00DF1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7422B2" w14:textId="77777777" w:rsidR="00335E41" w:rsidRDefault="00335E41" w:rsidP="00DF1F30">
      <w:r>
        <w:separator/>
      </w:r>
    </w:p>
  </w:footnote>
  <w:footnote w:type="continuationSeparator" w:id="0">
    <w:p w14:paraId="7A9A272E" w14:textId="77777777" w:rsidR="00335E41" w:rsidRDefault="00335E41" w:rsidP="00DF1F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7D9D08" w14:textId="05FE5897" w:rsidR="00DF1F30" w:rsidRPr="00DF1F30" w:rsidRDefault="00DF1F30" w:rsidP="00DF1F30">
    <w:pPr>
      <w:rPr>
        <w:rFonts w:ascii="Times New Roman" w:eastAsia="Times New Roman" w:hAnsi="Times New Roman" w:cs="Times New Roman"/>
      </w:rPr>
    </w:pPr>
    <w:r w:rsidRPr="00DF1F30">
      <w:rPr>
        <w:rFonts w:ascii="Arial" w:eastAsia="Times New Roman" w:hAnsi="Arial" w:cs="Arial"/>
        <w:color w:val="263238"/>
        <w:sz w:val="21"/>
        <w:szCs w:val="21"/>
      </w:rPr>
      <w:t>Supplementary Information</w:t>
    </w:r>
    <w:r>
      <w:rPr>
        <w:rFonts w:ascii="Arial" w:eastAsia="Times New Roman" w:hAnsi="Arial" w:cs="Arial"/>
        <w:color w:val="263238"/>
        <w:sz w:val="21"/>
        <w:szCs w:val="21"/>
      </w:rPr>
      <w:t>, Thomaidou et al.</w:t>
    </w:r>
  </w:p>
  <w:p w14:paraId="005004B0" w14:textId="77777777" w:rsidR="00DF1F30" w:rsidRDefault="00DF1F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30749"/>
    <w:multiLevelType w:val="multilevel"/>
    <w:tmpl w:val="666481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AE9"/>
    <w:rsid w:val="00286800"/>
    <w:rsid w:val="00335E41"/>
    <w:rsid w:val="00383B53"/>
    <w:rsid w:val="006226B1"/>
    <w:rsid w:val="007A2AE9"/>
    <w:rsid w:val="00A1208A"/>
    <w:rsid w:val="00C12735"/>
    <w:rsid w:val="00DF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C4AA4"/>
  <w15:chartTrackingRefBased/>
  <w15:docId w15:val="{596593C7-CC36-2843-B66F-D04F7A860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26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1F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1F30"/>
  </w:style>
  <w:style w:type="paragraph" w:styleId="Footer">
    <w:name w:val="footer"/>
    <w:basedOn w:val="Normal"/>
    <w:link w:val="FooterChar"/>
    <w:uiPriority w:val="99"/>
    <w:unhideWhenUsed/>
    <w:rsid w:val="00DF1F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1F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21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712</Words>
  <Characters>4062</Characters>
  <Application>Microsoft Office Word</Application>
  <DocSecurity>0</DocSecurity>
  <Lines>33</Lines>
  <Paragraphs>9</Paragraphs>
  <ScaleCrop>false</ScaleCrop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Thomaidou</dc:creator>
  <cp:keywords/>
  <dc:description/>
  <cp:lastModifiedBy>Mia Thomaidou</cp:lastModifiedBy>
  <cp:revision>5</cp:revision>
  <dcterms:created xsi:type="dcterms:W3CDTF">2020-08-24T17:23:00Z</dcterms:created>
  <dcterms:modified xsi:type="dcterms:W3CDTF">2021-01-30T11:33:00Z</dcterms:modified>
</cp:coreProperties>
</file>