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8B2" w:rsidRDefault="000808B2" w:rsidP="000808B2">
      <w:pPr>
        <w:pStyle w:val="TitleTOC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bookmarkStart w:id="0" w:name="_GoBack"/>
      <w:r>
        <w:rPr>
          <w:rFonts w:ascii="Times New Roman" w:eastAsia="SimSun" w:hAnsi="Times New Roman"/>
          <w:sz w:val="24"/>
          <w:szCs w:val="24"/>
          <w:lang w:eastAsia="zh-CN"/>
        </w:rPr>
        <w:t>Graphic</w:t>
      </w:r>
      <w:r>
        <w:rPr>
          <w:rFonts w:ascii="Times New Roman" w:eastAsia="SimSun" w:hAnsi="Times New Roman" w:hint="eastAsia"/>
          <w:sz w:val="24"/>
          <w:szCs w:val="24"/>
          <w:lang w:eastAsia="zh-CN"/>
        </w:rPr>
        <w:t>al Abstract</w:t>
      </w:r>
    </w:p>
    <w:bookmarkEnd w:id="0"/>
    <w:p w:rsidR="000808B2" w:rsidRDefault="000808B2" w:rsidP="000808B2">
      <w:pPr>
        <w:pStyle w:val="TitleTOC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</w:p>
    <w:p w:rsidR="000808B2" w:rsidRDefault="000808B2" w:rsidP="000808B2">
      <w:pPr>
        <w:pStyle w:val="TitleTOC"/>
        <w:jc w:val="center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 w:hint="eastAsia"/>
          <w:sz w:val="24"/>
          <w:szCs w:val="24"/>
          <w:lang w:eastAsia="zh-CN"/>
        </w:rPr>
        <w:t>for</w:t>
      </w:r>
    </w:p>
    <w:p w:rsidR="000808B2" w:rsidRDefault="000808B2" w:rsidP="000808B2">
      <w:pPr>
        <w:pStyle w:val="BodyTextIndent"/>
        <w:ind w:firstLine="602"/>
        <w:jc w:val="center"/>
        <w:rPr>
          <w:rFonts w:ascii="Times New Roman" w:hAnsi="Times New Roman"/>
          <w:b/>
          <w:bCs/>
          <w:kern w:val="2"/>
          <w:sz w:val="30"/>
          <w:lang w:val="en-GB" w:eastAsia="en-US"/>
        </w:rPr>
      </w:pPr>
      <w:r>
        <w:rPr>
          <w:rFonts w:ascii="Times New Roman" w:hAnsi="Times New Roman"/>
          <w:b/>
          <w:bCs/>
          <w:kern w:val="2"/>
          <w:sz w:val="30"/>
          <w:lang w:val="en-GB" w:eastAsia="en-US"/>
        </w:rPr>
        <w:t xml:space="preserve">RAFT Polymerization of MMA in </w:t>
      </w:r>
      <w:r>
        <w:rPr>
          <w:rFonts w:ascii="Times New Roman" w:hAnsi="Times New Roman"/>
          <w:b/>
          <w:bCs/>
          <w:kern w:val="2"/>
          <w:sz w:val="30"/>
        </w:rPr>
        <w:t xml:space="preserve">the </w:t>
      </w:r>
      <w:r>
        <w:rPr>
          <w:rFonts w:ascii="Times New Roman" w:hAnsi="Times New Roman"/>
          <w:b/>
          <w:bCs/>
          <w:kern w:val="2"/>
          <w:sz w:val="30"/>
          <w:lang w:val="en-GB" w:eastAsia="en-US"/>
        </w:rPr>
        <w:t xml:space="preserve">Channels of </w:t>
      </w:r>
    </w:p>
    <w:p w:rsidR="000808B2" w:rsidRDefault="000808B2" w:rsidP="000808B2">
      <w:pPr>
        <w:pStyle w:val="BodyTextIndent"/>
        <w:ind w:firstLine="602"/>
        <w:jc w:val="center"/>
        <w:rPr>
          <w:rFonts w:ascii="Times New Roman" w:hAnsi="Times New Roman"/>
          <w:b/>
          <w:bCs/>
          <w:kern w:val="2"/>
          <w:sz w:val="30"/>
          <w:lang w:val="en-GB" w:eastAsia="en-US"/>
        </w:rPr>
      </w:pPr>
      <w:r>
        <w:rPr>
          <w:rFonts w:ascii="Times New Roman" w:hAnsi="Times New Roman"/>
          <w:b/>
          <w:bCs/>
          <w:kern w:val="2"/>
          <w:sz w:val="30"/>
          <w:lang w:val="en-GB" w:eastAsia="en-US"/>
        </w:rPr>
        <w:t>Different Mesoporous Materials</w:t>
      </w:r>
    </w:p>
    <w:p w:rsidR="000808B2" w:rsidRDefault="000808B2" w:rsidP="000808B2">
      <w:pPr>
        <w:pStyle w:val="BodyTextIndent"/>
        <w:ind w:firstLine="602"/>
        <w:jc w:val="center"/>
        <w:rPr>
          <w:rFonts w:ascii="Times New Roman" w:hAnsi="Times New Roman"/>
          <w:b/>
          <w:bCs/>
          <w:kern w:val="2"/>
          <w:sz w:val="30"/>
          <w:lang w:val="en-GB" w:eastAsia="en-US"/>
        </w:rPr>
      </w:pPr>
    </w:p>
    <w:p w:rsidR="000808B2" w:rsidRDefault="000808B2" w:rsidP="000808B2">
      <w:pPr>
        <w:pStyle w:val="BodyTextIndent"/>
        <w:spacing w:line="240" w:lineRule="auto"/>
        <w:ind w:firstLineChars="0" w:firstLine="0"/>
        <w:jc w:val="center"/>
        <w:rPr>
          <w:rFonts w:ascii="Times New Roman" w:hAnsi="Times New Roman"/>
          <w:b/>
          <w:bCs/>
          <w:kern w:val="2"/>
          <w:sz w:val="30"/>
          <w:lang w:val="en-GB"/>
        </w:rPr>
      </w:pPr>
      <w:r>
        <w:rPr>
          <w:rFonts w:ascii="Times New Roman" w:hAnsi="Times New Roman" w:hint="eastAsia"/>
          <w:b/>
          <w:bCs/>
          <w:noProof/>
          <w:kern w:val="2"/>
          <w:sz w:val="30"/>
          <w:lang w:eastAsia="en-US"/>
        </w:rPr>
        <w:drawing>
          <wp:inline distT="0" distB="0" distL="114300" distR="114300" wp14:anchorId="417E1BFD" wp14:editId="1E049D04">
            <wp:extent cx="5252085" cy="3087370"/>
            <wp:effectExtent l="0" t="0" r="5715" b="11430"/>
            <wp:docPr id="6" name="图片 6" descr="T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O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8B2" w:rsidRDefault="000808B2" w:rsidP="000808B2">
      <w:pPr>
        <w:pStyle w:val="EndNoteBibliography"/>
        <w:rPr>
          <w:rFonts w:eastAsiaTheme="minorEastAsia"/>
          <w:w w:val="108"/>
          <w:kern w:val="0"/>
          <w:szCs w:val="24"/>
        </w:rPr>
      </w:pPr>
    </w:p>
    <w:p w:rsidR="000808B2" w:rsidRDefault="000808B2" w:rsidP="000808B2">
      <w:pPr>
        <w:pStyle w:val="EndNoteBibliography"/>
        <w:ind w:left="389" w:hangingChars="150" w:hanging="389"/>
        <w:jc w:val="center"/>
        <w:rPr>
          <w:rFonts w:eastAsia="Calibri"/>
          <w:w w:val="108"/>
          <w:kern w:val="0"/>
          <w:szCs w:val="24"/>
          <w:lang w:eastAsia="en-US"/>
        </w:rPr>
      </w:pPr>
    </w:p>
    <w:p w:rsidR="000808B2" w:rsidRDefault="000808B2" w:rsidP="000808B2">
      <w:pPr>
        <w:pStyle w:val="EndNoteBibliography"/>
        <w:ind w:left="389" w:hangingChars="150" w:hanging="389"/>
        <w:rPr>
          <w:rFonts w:eastAsia="Calibri"/>
          <w:w w:val="108"/>
          <w:kern w:val="0"/>
          <w:szCs w:val="24"/>
          <w:lang w:eastAsia="en-US"/>
        </w:rPr>
      </w:pPr>
    </w:p>
    <w:p w:rsidR="000808B2" w:rsidRDefault="000808B2" w:rsidP="000808B2">
      <w:pPr>
        <w:widowControl/>
        <w:numPr>
          <w:ilvl w:val="0"/>
          <w:numId w:val="1"/>
        </w:numPr>
        <w:rPr>
          <w:rFonts w:ascii="Times New Roman" w:eastAsia="SimSun" w:hAnsi="Times New Roman" w:cs="Times New Roman"/>
          <w:w w:val="108"/>
          <w:kern w:val="0"/>
          <w:sz w:val="24"/>
          <w:szCs w:val="24"/>
        </w:rPr>
      </w:pPr>
      <w:r>
        <w:rPr>
          <w:rFonts w:ascii="Times New Roman" w:eastAsia="SimSun" w:hAnsi="Times New Roman" w:cs="Times New Roman" w:hint="eastAsia"/>
          <w:w w:val="108"/>
          <w:kern w:val="0"/>
          <w:sz w:val="24"/>
          <w:szCs w:val="24"/>
        </w:rPr>
        <w:t>T</w:t>
      </w:r>
      <w:r>
        <w:rPr>
          <w:rFonts w:ascii="Times New Roman" w:eastAsia="SimSun" w:hAnsi="Times New Roman" w:cs="Times New Roman"/>
          <w:w w:val="108"/>
          <w:kern w:val="0"/>
          <w:sz w:val="24"/>
          <w:szCs w:val="24"/>
        </w:rPr>
        <w:t xml:space="preserve">hermal stability and molecular weight of </w:t>
      </w:r>
      <w:r>
        <w:rPr>
          <w:rFonts w:ascii="Times New Roman" w:eastAsia="SimSun" w:hAnsi="Times New Roman" w:cs="Times New Roman" w:hint="eastAsia"/>
          <w:w w:val="108"/>
          <w:kern w:val="0"/>
          <w:sz w:val="24"/>
          <w:szCs w:val="24"/>
        </w:rPr>
        <w:t>MMA</w:t>
      </w:r>
      <w:r>
        <w:rPr>
          <w:rFonts w:ascii="Times New Roman" w:eastAsia="SimSun" w:hAnsi="Times New Roman" w:cs="Times New Roman"/>
          <w:w w:val="108"/>
          <w:kern w:val="0"/>
          <w:sz w:val="24"/>
          <w:szCs w:val="24"/>
        </w:rPr>
        <w:t xml:space="preserve"> from </w:t>
      </w:r>
      <w:r>
        <w:rPr>
          <w:rFonts w:ascii="Times New Roman" w:eastAsia="SimSun" w:hAnsi="Times New Roman" w:cs="Times New Roman" w:hint="eastAsia"/>
          <w:w w:val="108"/>
          <w:kern w:val="0"/>
          <w:sz w:val="24"/>
          <w:szCs w:val="24"/>
        </w:rPr>
        <w:t xml:space="preserve">RAFT polymerization </w:t>
      </w:r>
      <w:r>
        <w:rPr>
          <w:rFonts w:ascii="Times New Roman" w:eastAsia="SimSun" w:hAnsi="Times New Roman" w:cs="Times New Roman"/>
          <w:w w:val="108"/>
          <w:kern w:val="0"/>
          <w:sz w:val="24"/>
          <w:szCs w:val="24"/>
        </w:rPr>
        <w:t xml:space="preserve">within the </w:t>
      </w:r>
      <w:r>
        <w:rPr>
          <w:rFonts w:ascii="Times New Roman" w:eastAsia="SimSun" w:hAnsi="Times New Roman" w:cs="Times New Roman" w:hint="eastAsia"/>
          <w:w w:val="108"/>
          <w:kern w:val="0"/>
          <w:sz w:val="24"/>
          <w:szCs w:val="24"/>
        </w:rPr>
        <w:t>m</w:t>
      </w:r>
      <w:r>
        <w:rPr>
          <w:rFonts w:ascii="Times New Roman" w:eastAsia="SimSun" w:hAnsi="Times New Roman" w:cs="Times New Roman"/>
          <w:w w:val="108"/>
          <w:kern w:val="0"/>
          <w:sz w:val="24"/>
          <w:szCs w:val="24"/>
        </w:rPr>
        <w:t xml:space="preserve">esoporous </w:t>
      </w:r>
      <w:r>
        <w:rPr>
          <w:rFonts w:ascii="Times New Roman" w:eastAsia="SimSun" w:hAnsi="Times New Roman" w:cs="Times New Roman" w:hint="eastAsia"/>
          <w:w w:val="108"/>
          <w:kern w:val="0"/>
          <w:sz w:val="24"/>
          <w:szCs w:val="24"/>
        </w:rPr>
        <w:t>m</w:t>
      </w:r>
      <w:r>
        <w:rPr>
          <w:rFonts w:ascii="Times New Roman" w:eastAsia="SimSun" w:hAnsi="Times New Roman" w:cs="Times New Roman"/>
          <w:w w:val="108"/>
          <w:kern w:val="0"/>
          <w:sz w:val="24"/>
          <w:szCs w:val="24"/>
        </w:rPr>
        <w:t xml:space="preserve">aterials pore was higher than corresponding polymers from external one due to a confinement effect. </w:t>
      </w:r>
    </w:p>
    <w:p w:rsidR="000808B2" w:rsidRDefault="000808B2" w:rsidP="000808B2">
      <w:pPr>
        <w:pStyle w:val="EndNoteBibliography"/>
      </w:pPr>
    </w:p>
    <w:p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D5802"/>
    <w:multiLevelType w:val="multilevel"/>
    <w:tmpl w:val="3F7D5802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8B2"/>
    <w:rsid w:val="000808B2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425C7-C04A-4164-BA11-1B14D223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8B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qFormat/>
    <w:rsid w:val="000808B2"/>
    <w:pPr>
      <w:spacing w:line="400" w:lineRule="exact"/>
      <w:ind w:firstLineChars="200" w:firstLine="480"/>
    </w:pPr>
    <w:rPr>
      <w:rFonts w:ascii="SimSun" w:eastAsia="SimSun" w:hAnsi="SimSun" w:cs="Times New Roman"/>
      <w:kern w:val="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qFormat/>
    <w:rsid w:val="000808B2"/>
    <w:rPr>
      <w:rFonts w:ascii="SimSun" w:eastAsia="SimSun" w:hAnsi="SimSun" w:cs="Times New Roman"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qFormat/>
    <w:rsid w:val="000808B2"/>
    <w:rPr>
      <w:rFonts w:ascii="Times New Roman" w:eastAsia="DengXian" w:hAnsi="Times New Roman" w:cs="Times New Roman"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0808B2"/>
    <w:rPr>
      <w:rFonts w:ascii="Times New Roman" w:eastAsia="DengXian" w:hAnsi="Times New Roman" w:cs="Times New Roman"/>
      <w:kern w:val="2"/>
      <w:sz w:val="24"/>
      <w:lang w:eastAsia="zh-CN"/>
    </w:rPr>
  </w:style>
  <w:style w:type="paragraph" w:customStyle="1" w:styleId="TitleTOC">
    <w:name w:val="Title_TOC"/>
    <w:basedOn w:val="Normal"/>
    <w:qFormat/>
    <w:rsid w:val="000808B2"/>
    <w:pPr>
      <w:widowControl/>
      <w:spacing w:before="230" w:line="225" w:lineRule="atLeast"/>
      <w:jc w:val="left"/>
    </w:pPr>
    <w:rPr>
      <w:rFonts w:ascii="Arial" w:eastAsia="MS Mincho" w:hAnsi="Arial" w:cs="Times New Roman"/>
      <w:b/>
      <w:kern w:val="0"/>
      <w:sz w:val="17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Springer Nature IT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2022-07-11T06:01:00Z</dcterms:created>
  <dcterms:modified xsi:type="dcterms:W3CDTF">2022-07-11T06:01:00Z</dcterms:modified>
</cp:coreProperties>
</file>