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4D0" w:rsidRDefault="000574D0" w:rsidP="000574D0">
      <w:pPr>
        <w:spacing w:line="480" w:lineRule="auto"/>
        <w:rPr>
          <w:rStyle w:val="None"/>
          <w:b/>
          <w:bCs/>
          <w:lang w:val="en-GB"/>
        </w:rPr>
      </w:pPr>
      <w:r>
        <w:rPr>
          <w:rStyle w:val="None"/>
          <w:b/>
          <w:bCs/>
          <w:lang w:val="en-GB"/>
        </w:rPr>
        <w:t>Appendix S1 – ROE DEER SAMPLE POPULATIONS</w:t>
      </w:r>
    </w:p>
    <w:p w:rsidR="000574D0" w:rsidRDefault="000574D0" w:rsidP="000574D0">
      <w:pPr>
        <w:spacing w:line="480" w:lineRule="auto"/>
        <w:jc w:val="center"/>
        <w:rPr>
          <w:rStyle w:val="None"/>
          <w:b/>
          <w:bCs/>
          <w:lang w:val="en-GB"/>
        </w:rPr>
      </w:pPr>
      <w:r>
        <w:rPr>
          <w:noProof/>
          <w:lang w:val="en-US" w:eastAsia="en-US"/>
        </w:rPr>
        <w:drawing>
          <wp:inline distT="0" distB="0" distL="0" distR="0" wp14:anchorId="2DFC12D2" wp14:editId="3A6ADA68">
            <wp:extent cx="5393690" cy="4857115"/>
            <wp:effectExtent l="0" t="0" r="0" b="0"/>
            <wp:docPr id="7" name="officeArt object" descr="map_eurodeer_paper_ecograph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fficeArt object" descr="map_eurodeer_paper_ecography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284" t="12189" r="5179" b="8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690" cy="485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4D0" w:rsidRDefault="000574D0" w:rsidP="000574D0">
      <w:pPr>
        <w:spacing w:line="480" w:lineRule="auto"/>
        <w:jc w:val="both"/>
        <w:rPr>
          <w:rStyle w:val="None"/>
          <w:color w:val="000000"/>
          <w:u w:color="000000"/>
          <w:lang w:val="en-GB"/>
        </w:rPr>
      </w:pPr>
      <w:r>
        <w:rPr>
          <w:rStyle w:val="None"/>
          <w:b/>
          <w:bCs/>
          <w:lang w:val="en-GB"/>
        </w:rPr>
        <w:t xml:space="preserve">Figure S1.1 </w:t>
      </w:r>
      <w:r>
        <w:rPr>
          <w:rStyle w:val="None"/>
          <w:lang w:val="en-GB"/>
        </w:rPr>
        <w:t xml:space="preserve">Distribution of roe deer populations considered in this study. The map includes the code and </w:t>
      </w:r>
      <w:r>
        <w:rPr>
          <w:lang w:val="en-GB"/>
        </w:rPr>
        <w:t>number of individuals per population, plotted on the reclassified Tree Cover Density raster layer (</w:t>
      </w:r>
      <w:r>
        <w:rPr>
          <w:rStyle w:val="None"/>
          <w:color w:val="000000"/>
          <w:u w:color="000000"/>
          <w:lang w:val="en-GB"/>
        </w:rPr>
        <w:t>TCD, EEA 2012; dark and light green are respectively closed and open habitat). IT1 and IT24 are located in Eastern Italian Alps; CH25 in Bernese Oberland; DE15 in the Rhine Valley in Baden-Württemberg; DE2 in the Bavarian Forest National Park; FR8 in Aurignac countryside, near Toulouse. For the landscape characteristics of the study areas, see Table S1.1.</w:t>
      </w:r>
    </w:p>
    <w:p w:rsidR="000574D0" w:rsidRDefault="000574D0" w:rsidP="000574D0">
      <w:pPr>
        <w:rPr>
          <w:rStyle w:val="None"/>
          <w:color w:val="000000"/>
          <w:u w:color="000000"/>
          <w:lang w:val="en-GB"/>
        </w:rPr>
      </w:pPr>
      <w:r w:rsidRPr="00FA22A9">
        <w:rPr>
          <w:lang w:val="en-US"/>
        </w:rPr>
        <w:br w:type="page"/>
      </w:r>
    </w:p>
    <w:p w:rsidR="000574D0" w:rsidRDefault="000574D0" w:rsidP="000574D0">
      <w:pPr>
        <w:spacing w:line="480" w:lineRule="auto"/>
        <w:jc w:val="center"/>
        <w:rPr>
          <w:lang w:val="en-GB"/>
        </w:rPr>
        <w:sectPr w:rsidR="000574D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574D0" w:rsidRDefault="000574D0" w:rsidP="000574D0">
      <w:pPr>
        <w:spacing w:line="480" w:lineRule="auto"/>
        <w:jc w:val="center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t xml:space="preserve">Table S1.1 </w:t>
      </w:r>
      <w:r>
        <w:rPr>
          <w:rStyle w:val="None"/>
          <w:lang w:val="en-GB"/>
        </w:rPr>
        <w:t xml:space="preserve">Description of the six populations, number of animals (females/males), sequences, proportion of open and closed edge per hectare and proportion of closed habitat. </w:t>
      </w:r>
    </w:p>
    <w:tbl>
      <w:tblPr>
        <w:tblW w:w="13042" w:type="dxa"/>
        <w:tblLook w:val="04A0" w:firstRow="1" w:lastRow="0" w:firstColumn="1" w:lastColumn="0" w:noHBand="0" w:noVBand="1"/>
      </w:tblPr>
      <w:tblGrid>
        <w:gridCol w:w="1858"/>
        <w:gridCol w:w="827"/>
        <w:gridCol w:w="3906"/>
        <w:gridCol w:w="1672"/>
        <w:gridCol w:w="1094"/>
        <w:gridCol w:w="1843"/>
        <w:gridCol w:w="1842"/>
      </w:tblGrid>
      <w:tr w:rsidR="000574D0" w:rsidTr="003B3A54">
        <w:trPr>
          <w:trHeight w:val="525"/>
        </w:trPr>
        <w:tc>
          <w:tcPr>
            <w:tcW w:w="2684" w:type="dxa"/>
            <w:gridSpan w:val="2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Population</w:t>
            </w:r>
          </w:p>
        </w:tc>
        <w:tc>
          <w:tcPr>
            <w:tcW w:w="3906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Description</w:t>
            </w:r>
          </w:p>
        </w:tc>
        <w:tc>
          <w:tcPr>
            <w:tcW w:w="1672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Animals (f/m)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Sequences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Open-Closed edge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Forest proportion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Southern France</w:t>
            </w:r>
          </w:p>
        </w:tc>
        <w:tc>
          <w:tcPr>
            <w:tcW w:w="827" w:type="dxa"/>
            <w:tcBorders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FR8</w:t>
            </w:r>
          </w:p>
        </w:tc>
        <w:tc>
          <w:tcPr>
            <w:tcW w:w="3906" w:type="dxa"/>
            <w:tcBorders>
              <w:lef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Fragmented agricultural open landscape</w:t>
            </w:r>
          </w:p>
        </w:tc>
        <w:tc>
          <w:tcPr>
            <w:tcW w:w="167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28 (14/14)</w:t>
            </w:r>
          </w:p>
        </w:tc>
        <w:tc>
          <w:tcPr>
            <w:tcW w:w="1094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492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0.10 – 0.06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0.28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Switzerland</w:t>
            </w:r>
          </w:p>
        </w:tc>
        <w:tc>
          <w:tcPr>
            <w:tcW w:w="827" w:type="dxa"/>
            <w:tcBorders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CH25</w:t>
            </w:r>
          </w:p>
        </w:tc>
        <w:tc>
          <w:tcPr>
            <w:tcW w:w="3906" w:type="dxa"/>
            <w:tcBorders>
              <w:lef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Fragmented pastoral mountainous landscape</w:t>
            </w:r>
          </w:p>
        </w:tc>
        <w:tc>
          <w:tcPr>
            <w:tcW w:w="167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51 (34/17)</w:t>
            </w:r>
          </w:p>
        </w:tc>
        <w:tc>
          <w:tcPr>
            <w:tcW w:w="1094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1498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0.12 – 0.10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0.32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Southern Germany</w:t>
            </w:r>
          </w:p>
        </w:tc>
        <w:tc>
          <w:tcPr>
            <w:tcW w:w="827" w:type="dxa"/>
            <w:tcBorders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DE15</w:t>
            </w:r>
          </w:p>
        </w:tc>
        <w:tc>
          <w:tcPr>
            <w:tcW w:w="3906" w:type="dxa"/>
            <w:tcBorders>
              <w:lef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Fragmented agricultural open landscape</w:t>
            </w:r>
          </w:p>
        </w:tc>
        <w:tc>
          <w:tcPr>
            <w:tcW w:w="167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29 (20/9)</w:t>
            </w:r>
          </w:p>
        </w:tc>
        <w:tc>
          <w:tcPr>
            <w:tcW w:w="1094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841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0.08 – 0.06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0.30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Southeast Germany</w:t>
            </w:r>
          </w:p>
        </w:tc>
        <w:tc>
          <w:tcPr>
            <w:tcW w:w="827" w:type="dxa"/>
            <w:tcBorders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DE2</w:t>
            </w:r>
          </w:p>
        </w:tc>
        <w:tc>
          <w:tcPr>
            <w:tcW w:w="3906" w:type="dxa"/>
            <w:tcBorders>
              <w:lef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Forest landscape</w:t>
            </w:r>
          </w:p>
        </w:tc>
        <w:tc>
          <w:tcPr>
            <w:tcW w:w="167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13 (6/7)</w:t>
            </w:r>
          </w:p>
        </w:tc>
        <w:tc>
          <w:tcPr>
            <w:tcW w:w="1094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264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0.10 – 0.12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0.70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Northern Italy 1</w:t>
            </w:r>
          </w:p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(Mount Bondone)</w:t>
            </w:r>
          </w:p>
        </w:tc>
        <w:tc>
          <w:tcPr>
            <w:tcW w:w="827" w:type="dxa"/>
            <w:tcBorders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IT1</w:t>
            </w:r>
          </w:p>
        </w:tc>
        <w:tc>
          <w:tcPr>
            <w:tcW w:w="3906" w:type="dxa"/>
            <w:tcBorders>
              <w:lef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Forest landscape with large high elevation pastures</w:t>
            </w:r>
          </w:p>
        </w:tc>
        <w:tc>
          <w:tcPr>
            <w:tcW w:w="167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22 (13/9)</w:t>
            </w:r>
          </w:p>
        </w:tc>
        <w:tc>
          <w:tcPr>
            <w:tcW w:w="1094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495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0.09 – 0.12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0.77</w:t>
            </w:r>
          </w:p>
        </w:tc>
      </w:tr>
      <w:tr w:rsidR="000574D0" w:rsidTr="003B3A54">
        <w:trPr>
          <w:trHeight w:val="525"/>
        </w:trPr>
        <w:tc>
          <w:tcPr>
            <w:tcW w:w="1857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  Northern Italy 2</w:t>
            </w:r>
          </w:p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(Rendena Valley)</w:t>
            </w:r>
          </w:p>
        </w:tc>
        <w:tc>
          <w:tcPr>
            <w:tcW w:w="827" w:type="dxa"/>
            <w:tcBorders>
              <w:bottom w:val="single" w:sz="4" w:space="0" w:color="000000"/>
              <w:right w:val="doub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IT24</w:t>
            </w:r>
          </w:p>
        </w:tc>
        <w:tc>
          <w:tcPr>
            <w:tcW w:w="3906" w:type="dxa"/>
            <w:tcBorders>
              <w:left w:val="doub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Forest landscape</w:t>
            </w:r>
          </w:p>
        </w:tc>
        <w:tc>
          <w:tcPr>
            <w:tcW w:w="1672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11 (8/3)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310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0.07 – 0.10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:rsidR="000574D0" w:rsidRDefault="000574D0" w:rsidP="003B3A5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0.81</w:t>
            </w:r>
          </w:p>
        </w:tc>
      </w:tr>
    </w:tbl>
    <w:p w:rsidR="000574D0" w:rsidRDefault="000574D0" w:rsidP="000574D0">
      <w:pPr>
        <w:spacing w:line="480" w:lineRule="auto"/>
        <w:jc w:val="center"/>
        <w:rPr>
          <w:rStyle w:val="None"/>
          <w:b/>
          <w:bCs/>
          <w:lang w:val="en-GB"/>
        </w:rPr>
      </w:pPr>
    </w:p>
    <w:p w:rsidR="000574D0" w:rsidRDefault="000574D0" w:rsidP="000574D0">
      <w:pPr>
        <w:rPr>
          <w:rStyle w:val="None"/>
          <w:b/>
          <w:bCs/>
          <w:lang w:val="en-GB"/>
        </w:rPr>
      </w:pPr>
      <w:r>
        <w:br w:type="page"/>
      </w:r>
    </w:p>
    <w:p w:rsidR="000574D0" w:rsidRDefault="000574D0" w:rsidP="000574D0">
      <w:pPr>
        <w:spacing w:line="480" w:lineRule="auto"/>
        <w:jc w:val="center"/>
        <w:rPr>
          <w:rStyle w:val="None"/>
          <w:b/>
          <w:bCs/>
          <w:lang w:val="en-GB"/>
        </w:rPr>
        <w:sectPr w:rsidR="000574D0" w:rsidSect="008D0B5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0574D0" w:rsidRDefault="000574D0" w:rsidP="000574D0">
      <w:pPr>
        <w:spacing w:line="480" w:lineRule="auto"/>
        <w:jc w:val="center"/>
        <w:rPr>
          <w:rStyle w:val="None"/>
          <w:b/>
          <w:bCs/>
          <w:lang w:val="en-GB"/>
        </w:rPr>
      </w:pPr>
    </w:p>
    <w:p w:rsidR="000574D0" w:rsidRDefault="000574D0" w:rsidP="000574D0">
      <w:pPr>
        <w:spacing w:line="480" w:lineRule="auto"/>
        <w:ind w:firstLine="449"/>
        <w:jc w:val="both"/>
        <w:rPr>
          <w:rStyle w:val="None"/>
          <w:color w:val="000000"/>
          <w:u w:color="000000"/>
          <w:lang w:val="en-GB"/>
        </w:rPr>
      </w:pPr>
      <w:r>
        <w:rPr>
          <w:noProof/>
          <w:lang w:val="en-US" w:eastAsia="en-US"/>
        </w:rPr>
        <w:drawing>
          <wp:inline distT="0" distB="0" distL="0" distR="0" wp14:anchorId="304992A3" wp14:editId="118B3C4D">
            <wp:extent cx="6116320" cy="3568065"/>
            <wp:effectExtent l="0" t="0" r="0" b="0"/>
            <wp:docPr id="6" name="Picture 7" descr="A picture containing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A picture containing Exc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  <w:r>
        <w:rPr>
          <w:rStyle w:val="None"/>
          <w:b/>
          <w:bCs/>
          <w:color w:val="000000"/>
          <w:u w:color="000000"/>
          <w:lang w:val="en-GB"/>
        </w:rPr>
        <w:t>Figure S1.2</w:t>
      </w:r>
      <w:r>
        <w:rPr>
          <w:rStyle w:val="None"/>
          <w:color w:val="000000"/>
          <w:u w:color="000000"/>
          <w:lang w:val="en-GB"/>
        </w:rPr>
        <w:t xml:space="preserve"> </w:t>
      </w:r>
      <w:r>
        <w:rPr>
          <w:rStyle w:val="None"/>
          <w:lang w:val="en-GB"/>
        </w:rPr>
        <w:t>The IM-SAM classification of the roe deer habitat use sequences (dark green, closed habitat; light green, open habitat) in the four sequential habitat use patterns: daily alternation (light brown on the side colored-bar), homogeneous closed (dark green), homogeneous open (turquoise) and random (blue), for the six studied populations. Aligned on the right: proportion of closed habitat for each sequence.</w:t>
      </w:r>
    </w:p>
    <w:p w:rsidR="000574D0" w:rsidRDefault="000574D0" w:rsidP="000574D0">
      <w:pPr>
        <w:rPr>
          <w:rStyle w:val="None"/>
          <w:lang w:val="en-GB"/>
        </w:rPr>
      </w:pPr>
      <w:r w:rsidRPr="00FA22A9">
        <w:rPr>
          <w:lang w:val="en-US"/>
        </w:rPr>
        <w:br w:type="page"/>
      </w: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t xml:space="preserve">Table S1.2 </w:t>
      </w:r>
      <w:r>
        <w:rPr>
          <w:rStyle w:val="None"/>
          <w:lang w:val="en-GB"/>
        </w:rPr>
        <w:t xml:space="preserve">Contingency table for age and sex, where age is dynamic for animals with multiple monitoring years. </w:t>
      </w:r>
    </w:p>
    <w:tbl>
      <w:tblPr>
        <w:tblW w:w="297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30"/>
        <w:gridCol w:w="994"/>
        <w:gridCol w:w="1417"/>
      </w:tblGrid>
      <w:tr w:rsidR="000574D0" w:rsidTr="003B3A54">
        <w:trPr>
          <w:tblHeader/>
          <w:jc w:val="center"/>
        </w:trPr>
        <w:tc>
          <w:tcPr>
            <w:tcW w:w="536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age</w:t>
            </w:r>
          </w:p>
        </w:tc>
        <w:tc>
          <w:tcPr>
            <w:tcW w:w="1024" w:type="dxa"/>
            <w:gridSpan w:val="2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sex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frequency</w:t>
            </w:r>
          </w:p>
        </w:tc>
      </w:tr>
      <w:tr w:rsidR="000574D0" w:rsidTr="003B3A54">
        <w:trPr>
          <w:jc w:val="center"/>
        </w:trPr>
        <w:tc>
          <w:tcPr>
            <w:tcW w:w="566" w:type="dxa"/>
            <w:gridSpan w:val="2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adult</w:t>
            </w:r>
          </w:p>
        </w:tc>
        <w:tc>
          <w:tcPr>
            <w:tcW w:w="99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417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83</w:t>
            </w:r>
          </w:p>
        </w:tc>
      </w:tr>
      <w:tr w:rsidR="000574D0" w:rsidTr="003B3A54">
        <w:trPr>
          <w:jc w:val="center"/>
        </w:trPr>
        <w:tc>
          <w:tcPr>
            <w:tcW w:w="566" w:type="dxa"/>
            <w:gridSpan w:val="2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male</w:t>
            </w:r>
          </w:p>
        </w:tc>
        <w:tc>
          <w:tcPr>
            <w:tcW w:w="1417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49</w:t>
            </w:r>
          </w:p>
        </w:tc>
      </w:tr>
      <w:tr w:rsidR="000574D0" w:rsidTr="003B3A54">
        <w:trPr>
          <w:jc w:val="center"/>
        </w:trPr>
        <w:tc>
          <w:tcPr>
            <w:tcW w:w="566" w:type="dxa"/>
            <w:gridSpan w:val="2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fawn</w:t>
            </w:r>
          </w:p>
        </w:tc>
        <w:tc>
          <w:tcPr>
            <w:tcW w:w="99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417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22</w:t>
            </w:r>
          </w:p>
        </w:tc>
      </w:tr>
      <w:tr w:rsidR="000574D0" w:rsidTr="003B3A54">
        <w:trPr>
          <w:jc w:val="center"/>
        </w:trPr>
        <w:tc>
          <w:tcPr>
            <w:tcW w:w="566" w:type="dxa"/>
            <w:gridSpan w:val="2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male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22</w:t>
            </w:r>
          </w:p>
        </w:tc>
      </w:tr>
    </w:tbl>
    <w:p w:rsidR="000574D0" w:rsidRDefault="000574D0" w:rsidP="000574D0">
      <w:pPr>
        <w:spacing w:line="480" w:lineRule="auto"/>
        <w:ind w:firstLine="449"/>
        <w:jc w:val="both"/>
        <w:rPr>
          <w:rStyle w:val="None"/>
          <w:color w:val="000000"/>
          <w:u w:color="000000"/>
          <w:lang w:val="en-GB"/>
        </w:rPr>
      </w:pPr>
    </w:p>
    <w:p w:rsidR="000574D0" w:rsidRDefault="000574D0" w:rsidP="000574D0">
      <w:pPr>
        <w:spacing w:line="480" w:lineRule="auto"/>
        <w:jc w:val="both"/>
        <w:rPr>
          <w:rStyle w:val="None"/>
          <w:color w:val="000000"/>
          <w:u w:color="000000"/>
          <w:lang w:val="en-GB"/>
        </w:rPr>
      </w:pPr>
    </w:p>
    <w:p w:rsidR="000574D0" w:rsidRDefault="000574D0" w:rsidP="000574D0">
      <w:pPr>
        <w:rPr>
          <w:rStyle w:val="None"/>
          <w:color w:val="000000"/>
          <w:u w:color="000000"/>
          <w:lang w:val="en-GB"/>
        </w:rPr>
      </w:pPr>
      <w:r>
        <w:br w:type="page"/>
      </w:r>
    </w:p>
    <w:p w:rsidR="000574D0" w:rsidRDefault="000574D0" w:rsidP="000574D0">
      <w:pPr>
        <w:spacing w:line="480" w:lineRule="auto"/>
        <w:rPr>
          <w:b/>
          <w:bCs/>
          <w:lang w:val="en-GB"/>
        </w:rPr>
      </w:pPr>
      <w:r>
        <w:rPr>
          <w:rStyle w:val="None"/>
          <w:b/>
          <w:bCs/>
          <w:lang w:val="en-GB"/>
        </w:rPr>
        <w:lastRenderedPageBreak/>
        <w:t>Appendix S2 – MODEL SELECTION PROCEDURE</w:t>
      </w: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t xml:space="preserve">Table S2.1. </w:t>
      </w:r>
      <w:r>
        <w:rPr>
          <w:rStyle w:val="None"/>
          <w:lang w:val="en-GB"/>
        </w:rPr>
        <w:t>Generalized additive mixed model selection procedure (selected models in bold and black) for variation in day-night habitat alternation (0/1, binomial) as a function of the spline of the biweek, population (P2.1) and individual-based traits (sex * age: P2.2-P2.3) fitted as fixed factors, ordered factors (indicated with “o”) or as factors of the spline. The summary includes the Akaike’s selection criterion, the delta and the adjusted R-squared for each model. Models are ordered according to AIC-score. Based on the previous analysis, and to account for pseudo-replication, all models include individual identity as a random effect on the intercept.</w:t>
      </w:r>
    </w:p>
    <w:tbl>
      <w:tblPr>
        <w:tblpPr w:leftFromText="180" w:rightFromText="180" w:vertAnchor="text" w:horzAnchor="page" w:tblpX="1460" w:tblpY="334"/>
        <w:tblW w:w="85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1"/>
        <w:gridCol w:w="1134"/>
        <w:gridCol w:w="1275"/>
        <w:gridCol w:w="993"/>
        <w:gridCol w:w="1134"/>
        <w:gridCol w:w="1558"/>
      </w:tblGrid>
      <w:tr w:rsidR="000574D0" w:rsidTr="003B3A54">
        <w:trPr>
          <w:trHeight w:val="196"/>
          <w:tblHeader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 * population)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population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AIC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Delta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R-squared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3777.702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0.371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x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3777.711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0.009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0.371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3923.698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145.996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0.331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3923.705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146.003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0.331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3998.860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221.158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0.313</w:t>
            </w:r>
          </w:p>
        </w:tc>
      </w:tr>
      <w:tr w:rsidR="000574D0" w:rsidTr="003B3A54">
        <w:trPr>
          <w:trHeight w:val="320"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3998.863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221.161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0.313</w:t>
            </w:r>
          </w:p>
        </w:tc>
      </w:tr>
    </w:tbl>
    <w:p w:rsidR="000574D0" w:rsidRDefault="000574D0" w:rsidP="000574D0">
      <w:pPr>
        <w:spacing w:line="480" w:lineRule="auto"/>
        <w:jc w:val="both"/>
        <w:rPr>
          <w:rStyle w:val="None"/>
          <w:sz w:val="20"/>
          <w:szCs w:val="20"/>
          <w:lang w:val="en-GB"/>
        </w:rPr>
      </w:pPr>
    </w:p>
    <w:p w:rsidR="000574D0" w:rsidRDefault="000574D0" w:rsidP="000574D0">
      <w:pPr>
        <w:spacing w:line="480" w:lineRule="auto"/>
        <w:rPr>
          <w:lang w:val="en-GB"/>
        </w:rPr>
      </w:pPr>
    </w:p>
    <w:tbl>
      <w:tblPr>
        <w:tblpPr w:leftFromText="180" w:rightFromText="180" w:vertAnchor="text" w:horzAnchor="page" w:tblpX="1460" w:tblpY="334"/>
        <w:tblW w:w="94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1"/>
        <w:gridCol w:w="1133"/>
        <w:gridCol w:w="1276"/>
        <w:gridCol w:w="993"/>
        <w:gridCol w:w="992"/>
        <w:gridCol w:w="1133"/>
        <w:gridCol w:w="1559"/>
      </w:tblGrid>
      <w:tr w:rsidR="000574D0" w:rsidTr="003B3A54">
        <w:trPr>
          <w:trHeight w:val="196"/>
          <w:tblHeader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 * sex:age)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sex * age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population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AIC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Delta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R-squared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o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o</w:t>
            </w: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3837.873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0.352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o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x</w:t>
            </w: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o</w:t>
            </w: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3837.880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0.007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0.352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3850.414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12.541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0.352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x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3850.418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12.545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D0D0D" w:themeColor="text1" w:themeTint="F2"/>
                <w:sz w:val="20"/>
                <w:szCs w:val="20"/>
                <w:lang w:val="en-GB"/>
              </w:rPr>
              <w:t>0.352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3850.418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12.545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0.351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3923.705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85.832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0.331</w:t>
            </w:r>
          </w:p>
        </w:tc>
      </w:tr>
      <w:tr w:rsidR="000574D0" w:rsidTr="003B3A54">
        <w:trPr>
          <w:trHeight w:val="320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3995.075</w:t>
            </w:r>
          </w:p>
        </w:tc>
        <w:tc>
          <w:tcPr>
            <w:tcW w:w="1133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157.202</w:t>
            </w:r>
          </w:p>
        </w:tc>
        <w:tc>
          <w:tcPr>
            <w:tcW w:w="1559" w:type="dxa"/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0.314</w:t>
            </w:r>
          </w:p>
        </w:tc>
      </w:tr>
      <w:tr w:rsidR="000574D0" w:rsidTr="003B3A54">
        <w:trPr>
          <w:trHeight w:val="320"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3998.863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160.990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color w:val="404040" w:themeColor="text1" w:themeTint="BF"/>
                <w:sz w:val="20"/>
                <w:szCs w:val="20"/>
                <w:lang w:val="en-GB"/>
              </w:rPr>
            </w:pPr>
            <w:r>
              <w:rPr>
                <w:color w:val="404040" w:themeColor="text1" w:themeTint="BF"/>
                <w:sz w:val="20"/>
                <w:szCs w:val="20"/>
                <w:lang w:val="en-GB"/>
              </w:rPr>
              <w:t>0.313</w:t>
            </w:r>
          </w:p>
        </w:tc>
      </w:tr>
    </w:tbl>
    <w:p w:rsidR="000574D0" w:rsidRDefault="000574D0" w:rsidP="000574D0">
      <w:pPr>
        <w:spacing w:line="480" w:lineRule="auto"/>
        <w:rPr>
          <w:lang w:val="en-GB"/>
        </w:rPr>
      </w:pPr>
    </w:p>
    <w:p w:rsidR="000574D0" w:rsidRDefault="000574D0" w:rsidP="000574D0">
      <w:pPr>
        <w:rPr>
          <w:lang w:val="en-GB"/>
        </w:rPr>
      </w:pPr>
    </w:p>
    <w:p w:rsidR="000574D0" w:rsidRDefault="000574D0" w:rsidP="000574D0">
      <w:pPr>
        <w:spacing w:line="480" w:lineRule="auto"/>
        <w:jc w:val="center"/>
        <w:rPr>
          <w:lang w:val="en-GB"/>
        </w:rPr>
      </w:pPr>
    </w:p>
    <w:p w:rsidR="000574D0" w:rsidRDefault="000574D0" w:rsidP="000574D0">
      <w:pPr>
        <w:spacing w:line="480" w:lineRule="auto"/>
        <w:rPr>
          <w:lang w:val="en-GB"/>
        </w:rPr>
      </w:pPr>
    </w:p>
    <w:p w:rsidR="000574D0" w:rsidRDefault="000574D0" w:rsidP="000574D0">
      <w:pPr>
        <w:rPr>
          <w:lang w:val="en-GB"/>
        </w:rPr>
      </w:pPr>
      <w:r>
        <w:br w:type="page"/>
      </w:r>
    </w:p>
    <w:p w:rsidR="000574D0" w:rsidRDefault="000574D0" w:rsidP="000574D0">
      <w:pPr>
        <w:spacing w:line="480" w:lineRule="auto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lastRenderedPageBreak/>
        <w:t xml:space="preserve">Appendix S3. </w:t>
      </w:r>
      <w:r>
        <w:rPr>
          <w:rStyle w:val="None"/>
          <w:b/>
          <w:lang w:val="en-GB"/>
        </w:rPr>
        <w:t>ANODEV PROCEDURE (</w:t>
      </w:r>
      <w:r>
        <w:rPr>
          <w:b/>
          <w:lang w:val="en-GB"/>
        </w:rPr>
        <w:t>proportion of the biweekly variation in habitat alternation accounted for by NDVI) AND NDVI MODEL SELECTION</w:t>
      </w:r>
    </w:p>
    <w:p w:rsidR="000574D0" w:rsidRDefault="000574D0" w:rsidP="000574D0">
      <w:pPr>
        <w:spacing w:line="480" w:lineRule="auto"/>
        <w:jc w:val="center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t>Table S3.1.</w:t>
      </w:r>
      <w:r>
        <w:rPr>
          <w:rStyle w:val="None"/>
          <w:lang w:val="en-GB"/>
        </w:rPr>
        <w:t xml:space="preserve"> Results of the ANODEV procedure to model the proportion</w:t>
      </w:r>
      <w:r>
        <w:rPr>
          <w:lang w:val="en-GB"/>
        </w:rPr>
        <w:t xml:space="preserve"> of the temporal variation in habitat alternation (P</w:t>
      </w:r>
      <w:r>
        <w:rPr>
          <w:vertAlign w:val="subscript"/>
          <w:lang w:val="en-GB"/>
        </w:rPr>
        <w:t>WMT</w:t>
      </w:r>
      <w:r>
        <w:rPr>
          <w:lang w:val="en-GB"/>
        </w:rPr>
        <w:t>) that is accounted for by the biweekly value of NDVI.</w:t>
      </w:r>
    </w:p>
    <w:tbl>
      <w:tblPr>
        <w:tblW w:w="793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9"/>
        <w:gridCol w:w="1277"/>
        <w:gridCol w:w="1842"/>
      </w:tblGrid>
      <w:tr w:rsidR="000574D0" w:rsidTr="003B3A54">
        <w:trPr>
          <w:tblHeader/>
          <w:jc w:val="center"/>
        </w:trPr>
        <w:tc>
          <w:tcPr>
            <w:tcW w:w="4819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model</w:t>
            </w:r>
          </w:p>
        </w:tc>
        <w:tc>
          <w:tcPr>
            <w:tcW w:w="1277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right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loglik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right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P</w:t>
            </w:r>
            <w:r>
              <w:rPr>
                <w:b/>
                <w:bCs/>
                <w:vertAlign w:val="subscript"/>
                <w:lang w:val="en-GB"/>
              </w:rPr>
              <w:t>WMT</w:t>
            </w:r>
          </w:p>
        </w:tc>
      </w:tr>
      <w:tr w:rsidR="000574D0" w:rsidTr="003B3A54">
        <w:trPr>
          <w:jc w:val="center"/>
        </w:trPr>
        <w:tc>
          <w:tcPr>
            <w:tcW w:w="4819" w:type="dxa"/>
            <w:vAlign w:val="center"/>
          </w:tcPr>
          <w:p w:rsidR="000574D0" w:rsidRDefault="000574D0" w:rsidP="003B3A54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alternation ~ population</w:t>
            </w:r>
          </w:p>
        </w:tc>
        <w:tc>
          <w:tcPr>
            <w:tcW w:w="1277" w:type="dxa"/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-1849.215</w:t>
            </w:r>
          </w:p>
        </w:tc>
        <w:tc>
          <w:tcPr>
            <w:tcW w:w="1842" w:type="dxa"/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0.440</w:t>
            </w:r>
          </w:p>
        </w:tc>
      </w:tr>
      <w:tr w:rsidR="000574D0" w:rsidTr="003B3A54">
        <w:trPr>
          <w:jc w:val="center"/>
        </w:trPr>
        <w:tc>
          <w:tcPr>
            <w:tcW w:w="4819" w:type="dxa"/>
            <w:vAlign w:val="center"/>
          </w:tcPr>
          <w:p w:rsidR="000574D0" w:rsidRDefault="000574D0" w:rsidP="003B3A54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alternation ~ s(ndvi, bs=“cr”,by = population) + population</w:t>
            </w:r>
          </w:p>
        </w:tc>
        <w:tc>
          <w:tcPr>
            <w:tcW w:w="1277" w:type="dxa"/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-1763.044</w:t>
            </w:r>
          </w:p>
        </w:tc>
        <w:tc>
          <w:tcPr>
            <w:tcW w:w="1842" w:type="dxa"/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574D0" w:rsidTr="003B3A54">
        <w:trPr>
          <w:jc w:val="center"/>
        </w:trPr>
        <w:tc>
          <w:tcPr>
            <w:tcW w:w="4819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alternation ~ factor(biweek) * population</w:t>
            </w:r>
          </w:p>
        </w:tc>
        <w:tc>
          <w:tcPr>
            <w:tcW w:w="1277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-1653.281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</w:tbl>
    <w:p w:rsidR="000574D0" w:rsidRDefault="000574D0" w:rsidP="000574D0">
      <w:pPr>
        <w:spacing w:line="480" w:lineRule="auto"/>
        <w:jc w:val="both"/>
        <w:rPr>
          <w:rStyle w:val="None"/>
          <w:color w:val="000000"/>
          <w:sz w:val="20"/>
          <w:szCs w:val="20"/>
          <w:u w:color="000000"/>
          <w:lang w:val="en-GB"/>
        </w:rPr>
      </w:pPr>
      <w:r>
        <w:rPr>
          <w:rStyle w:val="None"/>
          <w:color w:val="000000"/>
          <w:sz w:val="20"/>
          <w:szCs w:val="20"/>
          <w:u w:color="000000"/>
          <w:lang w:val="en-GB"/>
        </w:rPr>
        <w:t xml:space="preserve"> </w:t>
      </w:r>
    </w:p>
    <w:p w:rsidR="000574D0" w:rsidRDefault="000574D0" w:rsidP="000574D0">
      <w:pPr>
        <w:spacing w:line="480" w:lineRule="auto"/>
        <w:jc w:val="both"/>
        <w:rPr>
          <w:rStyle w:val="None"/>
          <w:lang w:val="en-GB"/>
        </w:rPr>
      </w:pPr>
      <w:r>
        <w:rPr>
          <w:rStyle w:val="None"/>
          <w:b/>
          <w:bCs/>
          <w:lang w:val="en-GB"/>
        </w:rPr>
        <w:t>Table S3.2.</w:t>
      </w:r>
      <w:r>
        <w:rPr>
          <w:rStyle w:val="None"/>
          <w:lang w:val="en-GB"/>
        </w:rPr>
        <w:t xml:space="preserve"> </w:t>
      </w:r>
      <w:r>
        <w:rPr>
          <w:rStyle w:val="None"/>
          <w:b/>
          <w:bCs/>
          <w:lang w:val="en-GB"/>
        </w:rPr>
        <w:t>Generalized additive mixed model</w:t>
      </w:r>
      <w:r>
        <w:rPr>
          <w:rStyle w:val="None"/>
          <w:lang w:val="en-GB"/>
        </w:rPr>
        <w:t xml:space="preserve"> selection procedure for NDVI as a function of the spline of the biweek and population fitted as a single factors, or the spline of the interaction between biweek and population. The summary includes the Akaike’s selection criterion, the delta and the adjusted R-squared for each model. Models are ordered according to AIC-score. Based on the previous analysis, and to account for pseudo-replication, all models include individual identity as a </w:t>
      </w:r>
      <w:bookmarkStart w:id="0" w:name="_GoBack"/>
      <w:bookmarkEnd w:id="0"/>
      <w:r>
        <w:rPr>
          <w:rStyle w:val="None"/>
          <w:lang w:val="en-GB"/>
        </w:rPr>
        <w:t>random effect on the intercept.</w:t>
      </w:r>
    </w:p>
    <w:tbl>
      <w:tblPr>
        <w:tblpPr w:leftFromText="180" w:rightFromText="180" w:vertAnchor="text" w:horzAnchor="page" w:tblpX="1460" w:tblpY="334"/>
        <w:tblW w:w="85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1"/>
        <w:gridCol w:w="1134"/>
        <w:gridCol w:w="1275"/>
        <w:gridCol w:w="993"/>
        <w:gridCol w:w="1134"/>
        <w:gridCol w:w="1558"/>
      </w:tblGrid>
      <w:tr w:rsidR="000574D0" w:rsidTr="003B3A54">
        <w:trPr>
          <w:trHeight w:val="196"/>
          <w:tblHeader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 * population)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s(biweek)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population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AIC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Delta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R-squared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x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-14768.966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0.000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0.971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x</w:t>
            </w: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-7014.520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7754.446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0.779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x</w:t>
            </w: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-6906.507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7862.459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0.781</w:t>
            </w:r>
          </w:p>
        </w:tc>
      </w:tr>
      <w:tr w:rsidR="000574D0" w:rsidTr="003B3A54">
        <w:trPr>
          <w:trHeight w:val="311"/>
        </w:trPr>
        <w:tc>
          <w:tcPr>
            <w:tcW w:w="2410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x</w:t>
            </w:r>
          </w:p>
        </w:tc>
        <w:tc>
          <w:tcPr>
            <w:tcW w:w="993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-1759.225</w:t>
            </w:r>
          </w:p>
        </w:tc>
        <w:tc>
          <w:tcPr>
            <w:tcW w:w="1134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13009.740</w:t>
            </w:r>
          </w:p>
        </w:tc>
        <w:tc>
          <w:tcPr>
            <w:tcW w:w="1558" w:type="dxa"/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0.149</w:t>
            </w:r>
          </w:p>
        </w:tc>
      </w:tr>
      <w:tr w:rsidR="000574D0" w:rsidTr="003B3A54">
        <w:trPr>
          <w:trHeight w:val="320"/>
        </w:trPr>
        <w:tc>
          <w:tcPr>
            <w:tcW w:w="2410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-1644.724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13124.242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vAlign w:val="center"/>
          </w:tcPr>
          <w:p w:rsidR="000574D0" w:rsidRDefault="000574D0" w:rsidP="003B3A54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0.150</w:t>
            </w:r>
          </w:p>
        </w:tc>
      </w:tr>
    </w:tbl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0574D0" w:rsidRDefault="000574D0" w:rsidP="000574D0"/>
    <w:p w:rsidR="000574D0" w:rsidRDefault="000574D0" w:rsidP="000574D0">
      <w:pPr>
        <w:spacing w:line="480" w:lineRule="auto"/>
        <w:jc w:val="both"/>
        <w:rPr>
          <w:lang w:val="en-GB"/>
        </w:rPr>
      </w:pPr>
    </w:p>
    <w:p w:rsidR="00755780" w:rsidRDefault="00755780"/>
    <w:sectPr w:rsidR="00755780" w:rsidSect="008E2E48">
      <w:footerReference w:type="default" r:id="rId6"/>
      <w:pgSz w:w="11906" w:h="16838"/>
      <w:pgMar w:top="1134" w:right="1134" w:bottom="1134" w:left="1134" w:header="0" w:footer="0" w:gutter="0"/>
      <w:lnNumType w:countBy="1" w:restart="continuous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5116027"/>
      <w:docPartObj>
        <w:docPartGallery w:val="Page Numbers (Bottom of Page)"/>
        <w:docPartUnique/>
      </w:docPartObj>
    </w:sdtPr>
    <w:sdtEndPr/>
    <w:sdtContent>
      <w:p w:rsidR="0026189C" w:rsidRDefault="000574D0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>PAGE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:rsidR="0026189C" w:rsidRDefault="000574D0">
    <w:pPr>
      <w:pStyle w:val="Footer"/>
      <w:ind w:right="360"/>
    </w:pPr>
    <w:r>
      <w:t>[Type here]</w:t>
    </w:r>
  </w:p>
  <w:p w:rsidR="0026189C" w:rsidRDefault="000574D0">
    <w:pPr>
      <w:pStyle w:val="Header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4D0"/>
    <w:rsid w:val="000574D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D88411-2A45-4E68-82C8-545FDB5D7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4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ne">
    <w:name w:val="None"/>
    <w:qFormat/>
    <w:rsid w:val="000574D0"/>
  </w:style>
  <w:style w:type="character" w:customStyle="1" w:styleId="FooterChar">
    <w:name w:val="Footer Char"/>
    <w:basedOn w:val="DefaultParagraphFont"/>
    <w:link w:val="Footer"/>
    <w:uiPriority w:val="99"/>
    <w:qFormat/>
    <w:rsid w:val="000574D0"/>
    <w:rPr>
      <w:rFonts w:cs="Arial Unicode MS"/>
      <w:color w:val="00000A"/>
      <w:sz w:val="24"/>
      <w:szCs w:val="24"/>
      <w:u w:color="00000A"/>
    </w:rPr>
  </w:style>
  <w:style w:type="character" w:styleId="PageNumber">
    <w:name w:val="page number"/>
    <w:basedOn w:val="DefaultParagraphFont"/>
    <w:uiPriority w:val="99"/>
    <w:semiHidden/>
    <w:unhideWhenUsed/>
    <w:qFormat/>
    <w:rsid w:val="000574D0"/>
  </w:style>
  <w:style w:type="paragraph" w:customStyle="1" w:styleId="HeaderFooter">
    <w:name w:val="Header &amp; Footer"/>
    <w:qFormat/>
    <w:rsid w:val="000574D0"/>
    <w:pPr>
      <w:tabs>
        <w:tab w:val="right" w:pos="9020"/>
      </w:tabs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val="it-IT" w:eastAsia="it-IT"/>
    </w:rPr>
  </w:style>
  <w:style w:type="paragraph" w:styleId="Footer">
    <w:name w:val="footer"/>
    <w:basedOn w:val="Normal"/>
    <w:link w:val="FooterChar"/>
    <w:uiPriority w:val="99"/>
    <w:unhideWhenUsed/>
    <w:rsid w:val="000574D0"/>
    <w:pPr>
      <w:widowControl w:val="0"/>
      <w:tabs>
        <w:tab w:val="center" w:pos="4513"/>
        <w:tab w:val="right" w:pos="9026"/>
      </w:tabs>
      <w:suppressAutoHyphens/>
    </w:pPr>
    <w:rPr>
      <w:rFonts w:asciiTheme="minorHAnsi" w:eastAsiaTheme="minorHAnsi" w:hAnsiTheme="minorHAnsi" w:cs="Arial Unicode MS"/>
      <w:color w:val="00000A"/>
      <w:u w:color="00000A"/>
      <w:lang w:val="en-US" w:eastAsia="en-US"/>
    </w:rPr>
  </w:style>
  <w:style w:type="character" w:customStyle="1" w:styleId="FooterChar1">
    <w:name w:val="Footer Char1"/>
    <w:basedOn w:val="DefaultParagraphFont"/>
    <w:uiPriority w:val="99"/>
    <w:semiHidden/>
    <w:rsid w:val="000574D0"/>
    <w:rPr>
      <w:rFonts w:ascii="Times New Roman" w:eastAsia="Times New Roman" w:hAnsi="Times New Roman" w:cs="Times New Roman"/>
      <w:sz w:val="24"/>
      <w:szCs w:val="24"/>
      <w:lang w:val="it-IT" w:eastAsia="en-GB"/>
    </w:rPr>
  </w:style>
  <w:style w:type="character" w:styleId="LineNumber">
    <w:name w:val="line number"/>
    <w:basedOn w:val="DefaultParagraphFont"/>
    <w:uiPriority w:val="99"/>
    <w:semiHidden/>
    <w:unhideWhenUsed/>
    <w:rsid w:val="00057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677</Words>
  <Characters>3861</Characters>
  <Application>Microsoft Office Word</Application>
  <DocSecurity>0</DocSecurity>
  <Lines>32</Lines>
  <Paragraphs>9</Paragraphs>
  <ScaleCrop>false</ScaleCrop>
  <Company>Springer Nature IT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2022-05-04T05:30:00Z</dcterms:created>
  <dcterms:modified xsi:type="dcterms:W3CDTF">2022-05-04T05:30:00Z</dcterms:modified>
</cp:coreProperties>
</file>