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270" w:rsidRDefault="00510270" w:rsidP="00510270">
      <w:pPr>
        <w:spacing w:beforeLines="50" w:before="156" w:afterLines="50" w:after="156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Information</w:t>
      </w:r>
    </w:p>
    <w:p w:rsidR="00510270" w:rsidRDefault="00510270" w:rsidP="0051027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upplementary Fig.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1, related to Fig. 1 and Fig. 2.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: A brief summary of the proteomic datasets processing and analysis.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b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: Overview of the proteomic profiles of gastric cancer samples with 5 different </w:t>
      </w:r>
      <w:r>
        <w:rPr>
          <w:rFonts w:ascii="Times New Roman" w:hAnsi="Times New Roman" w:cs="Times New Roman"/>
          <w:sz w:val="20"/>
          <w:szCs w:val="20"/>
        </w:rPr>
        <w:t>AOPs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. The highest- and lowest- abundance proteins were shown in the box.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c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: Overview of the overlapped proteins and the coverage of overlapped proteins in gastric cancer samples with 5 different </w:t>
      </w:r>
      <w:r>
        <w:rPr>
          <w:rFonts w:ascii="Times New Roman" w:hAnsi="Times New Roman" w:cs="Times New Roman"/>
          <w:sz w:val="20"/>
          <w:szCs w:val="20"/>
        </w:rPr>
        <w:t>AOPs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510270" w:rsidRDefault="00510270" w:rsidP="0051027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upplementary Fig.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2, related to Fig. 3.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: Principal component analysis (PCA) of proteomic data in 20 gastric cancer samples.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b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: Consensus clustering analysis of proteomic data in 20 gastric cancer samples (left) and the distribution of the samples with different </w:t>
      </w:r>
      <w:r>
        <w:rPr>
          <w:rFonts w:ascii="Times New Roman" w:hAnsi="Times New Roman" w:cs="Times New Roman"/>
          <w:sz w:val="20"/>
          <w:szCs w:val="20"/>
        </w:rPr>
        <w:t>AOPs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 3 clusters (right).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c: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Spearman</w:t>
      </w:r>
      <w:r>
        <w:rPr>
          <w:rFonts w:ascii="Times New Roman" w:hAnsi="Times New Roman" w:cs="Times New Roman"/>
          <w:sz w:val="20"/>
          <w:szCs w:val="20"/>
        </w:rPr>
        <w:t xml:space="preserve">’s) correlation analysis of </w:t>
      </w:r>
      <w:r>
        <w:rPr>
          <w:rFonts w:ascii="Times New Roman" w:hAnsi="Times New Roman" w:cs="Times New Roman" w:hint="eastAsia"/>
          <w:sz w:val="20"/>
          <w:szCs w:val="20"/>
        </w:rPr>
        <w:t>20 gastric cancer samples.</w:t>
      </w:r>
    </w:p>
    <w:p w:rsidR="00510270" w:rsidRDefault="00510270" w:rsidP="00510270">
      <w:pPr>
        <w:spacing w:beforeLines="50" w:before="156" w:afterLines="50" w:after="156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Additional file 2:</w:t>
      </w:r>
      <w:r>
        <w:rPr>
          <w:rFonts w:ascii="Times New Roman" w:hAnsi="Times New Roman" w:cs="Times New Roman" w:hint="eastAsia"/>
          <w:sz w:val="20"/>
          <w:szCs w:val="20"/>
        </w:rPr>
        <w:t xml:space="preserve"> Supplementary Table S1. The protein expression and biological pathways of trace samples with different amounts of peptides (AOPs) in gastrointestinal cancer.</w:t>
      </w:r>
    </w:p>
    <w:p w:rsidR="00000F57" w:rsidRDefault="0018493C"/>
    <w:sectPr w:rsidR="00000F5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70"/>
    <w:rsid w:val="0007695B"/>
    <w:rsid w:val="0018493C"/>
    <w:rsid w:val="00510270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DB9FD-7931-4F1A-BC43-52E69240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27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2022-04-20T12:31:00Z</dcterms:created>
  <dcterms:modified xsi:type="dcterms:W3CDTF">2022-04-20T12:33:00Z</dcterms:modified>
</cp:coreProperties>
</file>