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jc w:val="center"/>
      </w:pPr>
      <w:r>
        <w:t>An Interlaboratory Method Comparison Study of GB 4789.40-2016 and ISO 22964:2017</w:t>
      </w:r>
    </w:p>
    <w:p>
      <w:pPr>
        <w:pStyle w:val="5"/>
        <w:jc w:val="center"/>
      </w:pPr>
      <w:r>
        <w:t xml:space="preserve">Detection of </w:t>
      </w:r>
      <w:r>
        <w:rPr>
          <w:i/>
        </w:rPr>
        <w:t>Cronobacter</w:t>
      </w:r>
      <w:r>
        <w:t xml:space="preserve"> spp. in Infant Formula Products</w:t>
      </w:r>
    </w:p>
    <w:p/>
    <w:p>
      <w:pPr>
        <w:pStyle w:val="5"/>
        <w:jc w:val="center"/>
      </w:pPr>
      <w:r>
        <w:t>Supplementary Information</w:t>
      </w:r>
    </w:p>
    <w:p>
      <w:pPr>
        <w:rPr>
          <w:rFonts w:cs="Times New Roman"/>
        </w:rPr>
      </w:pPr>
    </w:p>
    <w:p/>
    <w:p>
      <w:pPr>
        <w:pStyle w:val="2"/>
      </w:pPr>
      <w:r>
        <w:t>1. Materials</w:t>
      </w:r>
    </w:p>
    <w:p/>
    <w:p>
      <w:pPr>
        <w:jc w:val="center"/>
      </w:pPr>
      <w:r>
        <w:rPr>
          <w:b/>
        </w:rPr>
        <w:t>Table S1</w:t>
      </w:r>
      <w:r>
        <w:t>. Formula of culture media used in the study</w:t>
      </w:r>
    </w:p>
    <w:tbl>
      <w:tblPr>
        <w:tblStyle w:val="7"/>
        <w:tblW w:w="7900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0"/>
        <w:gridCol w:w="960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40" w:type="dxa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960" w:type="dxa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g/L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Druggan-Forsythe-Iversen Agar (DFI, pH 7.3±0.2)</w:t>
            </w:r>
          </w:p>
        </w:tc>
        <w:tc>
          <w:tcPr>
            <w:tcW w:w="96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Tryptone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Soy peptone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Sodium chloride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Ferric ammonium citrate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Sodium desoxycholate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Sodium thiosulphate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Chromogen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Agar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400" w:firstLineChars="200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4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Chromogenic </w:t>
            </w:r>
            <w:r>
              <w:rPr>
                <w:rFonts w:eastAsia="Times New Roman" w:cs="Times New Roman"/>
                <w:b/>
                <w:i/>
                <w:color w:val="000000"/>
                <w:sz w:val="20"/>
                <w:szCs w:val="20"/>
              </w:rPr>
              <w:t>Cronobacter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 Isolation Agar (CCI, pH 7.3±0.2)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4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Yeast extract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4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Sodium chloride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4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Tryptone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4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Sodium thiosulphate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0.25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4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Sodium desoxycholate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4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Ferric ammonium citrate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0.15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4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5-bromo-4-chloro-3-indolyl-α, D-glucopyranoside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13.2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4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Agar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1200" w:firstLineChars="600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i/>
                <w:color w:val="000000"/>
                <w:sz w:val="20"/>
                <w:szCs w:val="20"/>
              </w:rPr>
              <w:t xml:space="preserve">Cronobacter 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Screening Broth Base (CSB, pH 7.4±0.2)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i/>
                <w:color w:val="000000"/>
                <w:sz w:val="20"/>
                <w:szCs w:val="20"/>
              </w:rPr>
              <w:t>10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4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Peptone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4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Meat extract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4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Sodium chloride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4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Bromocresol purple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4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Sucrose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4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4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Modified Lauryl Sulphate Trypyose Broth Base (mLST, pH 6.6±0.2)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i/>
                <w:color w:val="000000"/>
                <w:sz w:val="20"/>
                <w:szCs w:val="20"/>
              </w:rPr>
              <w:t>34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4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Sodium chloride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4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Enzymatic digest of animal and plant tissue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4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Lactose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2.75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4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Potassium dihydrogen phosphate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2.75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4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Dipotassium hydrogen phosphate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4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Sodium lauryl sulphate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4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4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Buffered Peptone Water (BPW, pH 7.4±0.2)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4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Enzymatic digest of casein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4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Sodium chloride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3.5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4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Anhydrous di-sodium hydrogen phosphate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1.5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4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Potassium dihydrogen phosphate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</w:tbl>
    <w:p/>
    <w:p>
      <w:pPr>
        <w:pStyle w:val="2"/>
      </w:pPr>
      <w:r>
        <w:t>2. Data analysis</w:t>
      </w:r>
    </w:p>
    <w:p/>
    <w:p>
      <w:r>
        <w:t>2.1 Summary of results categories</w:t>
      </w:r>
    </w:p>
    <w:p>
      <w:pPr>
        <w:jc w:val="center"/>
      </w:pPr>
      <w:r>
        <w:rPr>
          <w:b/>
        </w:rPr>
        <w:t>Table S2.</w:t>
      </w:r>
      <w:r>
        <w:t xml:space="preserve"> Summary of results obtained with the reference and alternative methods for each category </w:t>
      </w:r>
      <w:r>
        <w:fldChar w:fldCharType="begin"/>
      </w:r>
      <w:r>
        <w:instrText xml:space="preserve"> ADDIN EN.CITE &lt;EndNote&gt;&lt;Cite&gt;&lt;Author&gt;International Organization for Standardization&lt;/Author&gt;&lt;Year&gt;2016&lt;/Year&gt;&lt;RecNum&gt;166&lt;/RecNum&gt;&lt;DisplayText&gt;[1]&lt;/DisplayText&gt;&lt;record&gt;&lt;rec-number&gt;166&lt;/rec-number&gt;&lt;foreign-keys&gt;&lt;key app="EN" db-id="9eafvfvai2dszneresr59ff99dp2zdxpxr5d"&gt;166&lt;/key&gt;&lt;/foreign-keys&gt;&lt;ref-type name="Standard"&gt;58&lt;/ref-type&gt;&lt;contributors&gt;&lt;authors&gt;&lt;author&gt;International Organization for Standardization,,&lt;/author&gt;&lt;/authors&gt;&lt;/contributors&gt;&lt;titles&gt;&lt;title&gt;ISO 16140-2:2016 Microbiology of the food chain-Method validation-Part 2: Protocol for the validation of alternative (proprietary) methods against a reference method&lt;/title&gt;&lt;/titles&gt;&lt;dates&gt;&lt;year&gt;2016&lt;/year&gt;&lt;/dates&gt;&lt;urls&gt;&lt;/urls&gt;&lt;/record&gt;&lt;/Cite&gt;&lt;/EndNote&gt;</w:instrText>
      </w:r>
      <w:r>
        <w:fldChar w:fldCharType="separate"/>
      </w:r>
      <w:r>
        <w:t>[</w:t>
      </w:r>
      <w:r>
        <w:fldChar w:fldCharType="begin"/>
      </w:r>
      <w:r>
        <w:instrText xml:space="preserve"> HYPERLINK \l "_ENREF_1" \o "International Organization for Standardization, 2016 #166" </w:instrText>
      </w:r>
      <w:r>
        <w:fldChar w:fldCharType="separate"/>
      </w:r>
      <w:r>
        <w:t>1</w:t>
      </w:r>
      <w:r>
        <w:fldChar w:fldCharType="end"/>
      </w:r>
      <w:r>
        <w:t>]</w:t>
      </w:r>
      <w:r>
        <w:fldChar w:fldCharType="end"/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6"/>
        <w:gridCol w:w="3117"/>
        <w:gridCol w:w="3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6" w:type="dxa"/>
            <w:tcBorders>
              <w:top w:val="nil"/>
              <w:left w:val="nil"/>
            </w:tcBorders>
          </w:tcPr>
          <w:p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17" w:type="dxa"/>
          </w:tcPr>
          <w:p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Reference-method positive</w:t>
            </w:r>
          </w:p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(R+)</w:t>
            </w:r>
          </w:p>
        </w:tc>
        <w:tc>
          <w:tcPr>
            <w:tcW w:w="3117" w:type="dxa"/>
          </w:tcPr>
          <w:p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Reference-method negative</w:t>
            </w:r>
          </w:p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(R-)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6" w:type="dxa"/>
          </w:tcPr>
          <w:p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Alternative-method positive</w:t>
            </w:r>
          </w:p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(A+)</w:t>
            </w:r>
          </w:p>
        </w:tc>
        <w:tc>
          <w:tcPr>
            <w:tcW w:w="3117" w:type="dxa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+/+</w:t>
            </w:r>
          </w:p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Positive Agreement (PA)</w:t>
            </w:r>
          </w:p>
        </w:tc>
        <w:tc>
          <w:tcPr>
            <w:tcW w:w="3117" w:type="dxa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-/+</w:t>
            </w:r>
          </w:p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Positive Deviation (PD)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6" w:type="dxa"/>
          </w:tcPr>
          <w:p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Alternative-method negative</w:t>
            </w:r>
          </w:p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</w:p>
        </w:tc>
        <w:tc>
          <w:tcPr>
            <w:tcW w:w="3117" w:type="dxa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+/-</w:t>
            </w:r>
          </w:p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Negative Deviation (ND)</w:t>
            </w:r>
          </w:p>
        </w:tc>
        <w:tc>
          <w:tcPr>
            <w:tcW w:w="3117" w:type="dxa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-/-</w:t>
            </w:r>
          </w:p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Negative Agreement (NA)</w:t>
            </w:r>
          </w:p>
        </w:tc>
      </w:tr>
    </w:tbl>
    <w:p/>
    <w:p>
      <w:r>
        <w:t xml:space="preserve">2.2 Calculation of acceptability limits (AL) for sensitivity in the interlaboratory study </w:t>
      </w:r>
      <w:r>
        <w:fldChar w:fldCharType="begin"/>
      </w:r>
      <w:r>
        <w:instrText xml:space="preserve"> ADDIN EN.CITE &lt;EndNote&gt;&lt;Cite&gt;&lt;Author&gt;International Organization for Standardization&lt;/Author&gt;&lt;Year&gt;2016&lt;/Year&gt;&lt;RecNum&gt;166&lt;/RecNum&gt;&lt;DisplayText&gt;[1]&lt;/DisplayText&gt;&lt;record&gt;&lt;rec-number&gt;166&lt;/rec-number&gt;&lt;foreign-keys&gt;&lt;key app="EN" db-id="9eafvfvai2dszneresr59ff99dp2zdxpxr5d"&gt;166&lt;/key&gt;&lt;/foreign-keys&gt;&lt;ref-type name="Standard"&gt;58&lt;/ref-type&gt;&lt;contributors&gt;&lt;authors&gt;&lt;author&gt;International Organization for Standardization,,&lt;/author&gt;&lt;/authors&gt;&lt;/contributors&gt;&lt;titles&gt;&lt;title&gt;ISO 16140-2:2016 Microbiology of the food chain-Method validation-Part 2: Protocol for the validation of alternative (proprietary) methods against a reference method&lt;/title&gt;&lt;/titles&gt;&lt;dates&gt;&lt;year&gt;2016&lt;/year&gt;&lt;/dates&gt;&lt;urls&gt;&lt;/urls&gt;&lt;/record&gt;&lt;/Cite&gt;&lt;/EndNote&gt;</w:instrText>
      </w:r>
      <w:r>
        <w:fldChar w:fldCharType="separate"/>
      </w:r>
      <w:r>
        <w:t>[</w:t>
      </w:r>
      <w:r>
        <w:fldChar w:fldCharType="begin"/>
      </w:r>
      <w:r>
        <w:instrText xml:space="preserve"> HYPERLINK \l "_ENREF_1" \o "International Organization for Standardization, 2016 #166" </w:instrText>
      </w:r>
      <w:r>
        <w:fldChar w:fldCharType="separate"/>
      </w:r>
      <w:r>
        <w:t>1</w:t>
      </w:r>
      <w:r>
        <w:fldChar w:fldCharType="end"/>
      </w:r>
      <w:r>
        <w:t>]</w:t>
      </w:r>
      <w:r>
        <w:fldChar w:fldCharType="end"/>
      </w:r>
    </w:p>
    <w:p>
      <w:pPr>
        <w:pStyle w:val="18"/>
        <w:rPr>
          <w:color w:val="221F1F"/>
          <w:sz w:val="22"/>
          <w:szCs w:val="22"/>
        </w:rPr>
      </w:pPr>
      <w:r>
        <w:rPr>
          <w:color w:val="221F1F"/>
          <w:sz w:val="22"/>
          <w:szCs w:val="22"/>
        </w:rPr>
        <w:t>The AL is defined as [(ND – PD)</w:t>
      </w:r>
      <w:r>
        <w:rPr>
          <w:color w:val="221F1F"/>
          <w:sz w:val="17"/>
          <w:szCs w:val="17"/>
        </w:rPr>
        <w:t>max</w:t>
      </w:r>
      <w:r>
        <w:rPr>
          <w:color w:val="221F1F"/>
          <w:sz w:val="22"/>
          <w:szCs w:val="22"/>
        </w:rPr>
        <w:t xml:space="preserve">] and calculated per level where fractional recovery was obtained as described below using the following three parameters: </w:t>
      </w:r>
    </w:p>
    <w:p>
      <w:pPr>
        <w:pStyle w:val="18"/>
        <w:rPr>
          <w:color w:val="221F1F"/>
          <w:sz w:val="22"/>
          <w:szCs w:val="22"/>
        </w:rPr>
      </w:pPr>
    </w:p>
    <w:p>
      <w:pPr>
        <w:pStyle w:val="18"/>
        <w:ind w:firstLine="3420"/>
        <w:rPr>
          <w:color w:val="221F1F"/>
          <w:sz w:val="22"/>
          <w:szCs w:val="22"/>
        </w:rPr>
      </w:pPr>
      <m:oMath>
        <m:sSub>
          <m:sSubPr>
            <m:ctrlPr>
              <w:rPr>
                <w:rFonts w:ascii="Cambria Math" w:hAnsi="Cambria Math"/>
                <w:color w:val="221F1F"/>
                <w:sz w:val="22"/>
                <w:szCs w:val="22"/>
              </w:rPr>
            </m:ctrlPr>
          </m:sSubPr>
          <m:e>
            <m:d>
              <m:dPr>
                <m:ctrlPr>
                  <w:rPr>
                    <w:rFonts w:ascii="Cambria Math" w:hAnsi="Cambria Math"/>
                    <w:color w:val="221F1F"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color w:val="221F1F"/>
                    <w:sz w:val="22"/>
                    <w:szCs w:val="22"/>
                  </w:rPr>
                  <m:t>p+</m:t>
                </m:r>
                <m:ctrlPr>
                  <w:rPr>
                    <w:rFonts w:ascii="Cambria Math" w:hAnsi="Cambria Math"/>
                    <w:color w:val="221F1F"/>
                    <w:sz w:val="22"/>
                    <w:szCs w:val="22"/>
                  </w:rPr>
                </m:ctrlPr>
              </m:e>
            </m:d>
            <m:ctrlPr>
              <w:rPr>
                <w:rFonts w:ascii="Cambria Math" w:hAnsi="Cambria Math"/>
                <w:color w:val="221F1F"/>
                <w:sz w:val="22"/>
                <w:szCs w:val="22"/>
              </w:rPr>
            </m:ctrlPr>
          </m:e>
          <m:sub>
            <m:r>
              <w:rPr>
                <w:rFonts w:ascii="Cambria Math" w:hAnsi="Cambria Math"/>
                <w:color w:val="221F1F"/>
                <w:sz w:val="22"/>
                <w:szCs w:val="22"/>
              </w:rPr>
              <m:t>ref</m:t>
            </m:r>
            <m:ctrlPr>
              <w:rPr>
                <w:rFonts w:ascii="Cambria Math" w:hAnsi="Cambria Math"/>
                <w:color w:val="221F1F"/>
                <w:sz w:val="22"/>
                <w:szCs w:val="22"/>
              </w:rPr>
            </m:ctrlPr>
          </m:sub>
        </m:sSub>
        <m:r>
          <w:rPr>
            <w:rFonts w:ascii="Cambria Math" w:hAnsi="Cambria Math"/>
            <w:color w:val="221F1F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color w:val="221F1F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221F1F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color w:val="221F1F"/>
                    <w:sz w:val="22"/>
                    <w:szCs w:val="22"/>
                  </w:rPr>
                  <m:t>P</m:t>
                </m:r>
                <m:ctrlPr>
                  <w:rPr>
                    <w:rFonts w:ascii="Cambria Math" w:hAnsi="Cambria Math"/>
                    <w:i/>
                    <w:color w:val="221F1F"/>
                    <w:sz w:val="22"/>
                    <w:szCs w:val="22"/>
                  </w:rPr>
                </m:ctrlPr>
              </m:e>
              <m:sub>
                <m:r>
                  <w:rPr>
                    <w:rFonts w:ascii="Cambria Math" w:hAnsi="Cambria Math"/>
                    <w:color w:val="221F1F"/>
                    <w:sz w:val="22"/>
                    <w:szCs w:val="22"/>
                  </w:rPr>
                  <m:t>x</m:t>
                </m:r>
                <m:ctrlPr>
                  <w:rPr>
                    <w:rFonts w:ascii="Cambria Math" w:hAnsi="Cambria Math"/>
                    <w:i/>
                    <w:color w:val="221F1F"/>
                    <w:sz w:val="22"/>
                    <w:szCs w:val="22"/>
                  </w:rPr>
                </m:ctrlPr>
              </m:sub>
            </m:sSub>
            <m:ctrlPr>
              <w:rPr>
                <w:rFonts w:ascii="Cambria Math" w:hAnsi="Cambria Math"/>
                <w:i/>
                <w:color w:val="221F1F"/>
                <w:sz w:val="22"/>
                <w:szCs w:val="22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  <w:i/>
                    <w:color w:val="221F1F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color w:val="221F1F"/>
                    <w:sz w:val="22"/>
                    <w:szCs w:val="22"/>
                  </w:rPr>
                  <m:t>N</m:t>
                </m:r>
                <m:ctrlPr>
                  <w:rPr>
                    <w:rFonts w:ascii="Cambria Math" w:hAnsi="Cambria Math"/>
                    <w:i/>
                    <w:color w:val="221F1F"/>
                    <w:sz w:val="22"/>
                    <w:szCs w:val="22"/>
                  </w:rPr>
                </m:ctrlPr>
              </m:e>
              <m:sub>
                <m:r>
                  <w:rPr>
                    <w:rFonts w:ascii="Cambria Math" w:hAnsi="Cambria Math"/>
                    <w:color w:val="221F1F"/>
                    <w:sz w:val="22"/>
                    <w:szCs w:val="22"/>
                  </w:rPr>
                  <m:t>x</m:t>
                </m:r>
                <m:ctrlPr>
                  <w:rPr>
                    <w:rFonts w:ascii="Cambria Math" w:hAnsi="Cambria Math"/>
                    <w:i/>
                    <w:color w:val="221F1F"/>
                    <w:sz w:val="22"/>
                    <w:szCs w:val="22"/>
                  </w:rPr>
                </m:ctrlPr>
              </m:sub>
            </m:sSub>
            <m:ctrlPr>
              <w:rPr>
                <w:rFonts w:ascii="Cambria Math" w:hAnsi="Cambria Math"/>
                <w:i/>
                <w:color w:val="221F1F"/>
                <w:sz w:val="22"/>
                <w:szCs w:val="22"/>
              </w:rPr>
            </m:ctrlPr>
          </m:den>
        </m:f>
      </m:oMath>
      <w:r>
        <w:rPr>
          <w:color w:val="221F1F"/>
          <w:sz w:val="22"/>
          <w:szCs w:val="22"/>
        </w:rPr>
        <w:tab/>
      </w:r>
      <w:r>
        <w:rPr>
          <w:color w:val="221F1F"/>
          <w:sz w:val="22"/>
          <w:szCs w:val="22"/>
        </w:rPr>
        <w:tab/>
      </w:r>
      <w:r>
        <w:rPr>
          <w:color w:val="221F1F"/>
          <w:sz w:val="22"/>
          <w:szCs w:val="22"/>
        </w:rPr>
        <w:tab/>
      </w:r>
      <w:r>
        <w:rPr>
          <w:color w:val="221F1F"/>
          <w:sz w:val="22"/>
          <w:szCs w:val="22"/>
        </w:rPr>
        <w:tab/>
      </w:r>
      <w:r>
        <w:rPr>
          <w:color w:val="221F1F"/>
          <w:sz w:val="22"/>
          <w:szCs w:val="22"/>
        </w:rPr>
        <w:tab/>
      </w:r>
      <w:r>
        <w:rPr>
          <w:color w:val="221F1F"/>
          <w:sz w:val="22"/>
          <w:szCs w:val="22"/>
        </w:rPr>
        <w:tab/>
      </w:r>
      <w:r>
        <w:rPr>
          <w:color w:val="221F1F"/>
          <w:sz w:val="22"/>
          <w:szCs w:val="22"/>
        </w:rPr>
        <w:t>(S1)</w:t>
      </w:r>
      <w:r>
        <w:rPr>
          <w:color w:val="221F1F"/>
          <w:sz w:val="22"/>
          <w:szCs w:val="22"/>
        </w:rPr>
        <w:tab/>
      </w:r>
    </w:p>
    <w:p>
      <w:pPr>
        <w:pStyle w:val="18"/>
        <w:rPr>
          <w:color w:val="221F1F"/>
          <w:sz w:val="22"/>
          <w:szCs w:val="22"/>
        </w:rPr>
      </w:pPr>
    </w:p>
    <w:p>
      <w:pPr>
        <w:pStyle w:val="18"/>
        <w:rPr>
          <w:color w:val="221F1F"/>
          <w:sz w:val="22"/>
          <w:szCs w:val="22"/>
        </w:rPr>
      </w:pPr>
      <w:r>
        <w:rPr>
          <w:color w:val="221F1F"/>
          <w:sz w:val="22"/>
          <w:szCs w:val="22"/>
        </w:rPr>
        <w:t>where</w:t>
      </w:r>
    </w:p>
    <w:p>
      <w:pPr>
        <w:pStyle w:val="18"/>
        <w:rPr>
          <w:color w:val="221F1F"/>
          <w:sz w:val="22"/>
          <w:szCs w:val="22"/>
        </w:rPr>
      </w:pPr>
      <w:r>
        <w:rPr>
          <w:i/>
          <w:iCs/>
          <w:color w:val="221F1F"/>
          <w:sz w:val="22"/>
          <w:szCs w:val="22"/>
        </w:rPr>
        <w:t xml:space="preserve">Px </w:t>
      </w:r>
      <w:r>
        <w:rPr>
          <w:iCs/>
          <w:color w:val="221F1F"/>
          <w:sz w:val="22"/>
          <w:szCs w:val="22"/>
        </w:rPr>
        <w:t>=</w:t>
      </w:r>
      <w:r>
        <w:rPr>
          <w:color w:val="221F1F"/>
          <w:sz w:val="22"/>
          <w:szCs w:val="22"/>
        </w:rPr>
        <w:t xml:space="preserve"> number of samples with a positive result obtained with the reference method at level x </w:t>
      </w:r>
    </w:p>
    <w:p>
      <w:pPr>
        <w:pStyle w:val="18"/>
        <w:rPr>
          <w:color w:val="221F1F"/>
          <w:sz w:val="22"/>
          <w:szCs w:val="22"/>
        </w:rPr>
      </w:pPr>
      <w:r>
        <w:rPr>
          <w:color w:val="221F1F"/>
          <w:sz w:val="22"/>
          <w:szCs w:val="22"/>
        </w:rPr>
        <w:t>(L1 or L2) for all laboratories;</w:t>
      </w:r>
    </w:p>
    <w:p>
      <w:pPr>
        <w:pStyle w:val="18"/>
        <w:rPr>
          <w:color w:val="221F1F"/>
          <w:sz w:val="22"/>
          <w:szCs w:val="22"/>
        </w:rPr>
      </w:pPr>
      <w:r>
        <w:rPr>
          <w:i/>
          <w:iCs/>
          <w:color w:val="221F1F"/>
          <w:sz w:val="22"/>
          <w:szCs w:val="22"/>
        </w:rPr>
        <w:t xml:space="preserve">Nx </w:t>
      </w:r>
      <w:r>
        <w:rPr>
          <w:iCs/>
          <w:color w:val="221F1F"/>
          <w:sz w:val="22"/>
          <w:szCs w:val="22"/>
        </w:rPr>
        <w:t>=</w:t>
      </w:r>
      <w:r>
        <w:rPr>
          <w:color w:val="221F1F"/>
          <w:sz w:val="22"/>
          <w:szCs w:val="22"/>
        </w:rPr>
        <w:t xml:space="preserve"> number of samples tested at level </w:t>
      </w:r>
      <w:r>
        <w:rPr>
          <w:i/>
          <w:iCs/>
          <w:color w:val="221F1F"/>
          <w:sz w:val="22"/>
          <w:szCs w:val="22"/>
        </w:rPr>
        <w:t xml:space="preserve">x </w:t>
      </w:r>
      <w:r>
        <w:rPr>
          <w:color w:val="221F1F"/>
          <w:sz w:val="22"/>
          <w:szCs w:val="22"/>
        </w:rPr>
        <w:t>(</w:t>
      </w:r>
      <w:r>
        <w:rPr>
          <w:i/>
          <w:iCs/>
          <w:color w:val="221F1F"/>
          <w:sz w:val="22"/>
          <w:szCs w:val="22"/>
        </w:rPr>
        <w:t>L</w:t>
      </w:r>
      <w:r>
        <w:rPr>
          <w:color w:val="221F1F"/>
          <w:sz w:val="17"/>
          <w:szCs w:val="17"/>
        </w:rPr>
        <w:t xml:space="preserve">1 </w:t>
      </w:r>
      <w:r>
        <w:rPr>
          <w:color w:val="221F1F"/>
          <w:sz w:val="22"/>
          <w:szCs w:val="22"/>
        </w:rPr>
        <w:t xml:space="preserve">or </w:t>
      </w:r>
      <w:r>
        <w:rPr>
          <w:i/>
          <w:iCs/>
          <w:color w:val="221F1F"/>
          <w:sz w:val="22"/>
          <w:szCs w:val="22"/>
        </w:rPr>
        <w:t>L</w:t>
      </w:r>
      <w:r>
        <w:rPr>
          <w:color w:val="221F1F"/>
          <w:sz w:val="17"/>
          <w:szCs w:val="17"/>
        </w:rPr>
        <w:t>2</w:t>
      </w:r>
      <w:r>
        <w:rPr>
          <w:color w:val="221F1F"/>
          <w:sz w:val="22"/>
          <w:szCs w:val="22"/>
        </w:rPr>
        <w:t>) with the reference method by all laboratories.</w:t>
      </w:r>
    </w:p>
    <w:p>
      <w:pPr>
        <w:pStyle w:val="18"/>
        <w:rPr>
          <w:sz w:val="17"/>
          <w:szCs w:val="17"/>
        </w:rPr>
      </w:pPr>
      <w:r>
        <w:rPr>
          <w:i/>
          <w:iCs/>
          <w:sz w:val="17"/>
          <w:szCs w:val="17"/>
        </w:rPr>
        <w:t xml:space="preserve"> </w:t>
      </w:r>
    </w:p>
    <w:p>
      <w:pPr>
        <w:pStyle w:val="18"/>
        <w:rPr>
          <w:color w:val="221F1F"/>
          <w:sz w:val="22"/>
          <w:szCs w:val="22"/>
        </w:rPr>
      </w:pPr>
    </w:p>
    <w:p>
      <w:pPr>
        <w:ind w:firstLine="3420"/>
        <w:rPr>
          <w:color w:val="221F1F"/>
        </w:rPr>
      </w:pPr>
      <m:oMath>
        <m:sSub>
          <m:sSubPr>
            <m:ctrlPr>
              <w:rPr>
                <w:rFonts w:ascii="Cambria Math" w:hAnsi="Cambria Math" w:cs="Cambria"/>
                <w:color w:val="221F1F"/>
              </w:rPr>
            </m:ctrlPr>
          </m:sSubPr>
          <m:e>
            <m:d>
              <m:dPr>
                <m:ctrlPr>
                  <w:rPr>
                    <w:rFonts w:ascii="Cambria Math" w:hAnsi="Cambria Math" w:cs="Cambria"/>
                    <w:color w:val="221F1F"/>
                  </w:rPr>
                </m:ctrlPr>
              </m:dPr>
              <m:e>
                <m:r>
                  <w:rPr>
                    <w:rFonts w:ascii="Cambria Math" w:hAnsi="Cambria Math"/>
                    <w:color w:val="221F1F"/>
                  </w:rPr>
                  <m:t>p+</m:t>
                </m:r>
                <m:ctrlPr>
                  <w:rPr>
                    <w:rFonts w:ascii="Cambria Math" w:hAnsi="Cambria Math" w:cs="Cambria"/>
                    <w:color w:val="221F1F"/>
                  </w:rPr>
                </m:ctrlPr>
              </m:e>
            </m:d>
            <m:ctrlPr>
              <w:rPr>
                <w:rFonts w:ascii="Cambria Math" w:hAnsi="Cambria Math" w:cs="Cambria"/>
                <w:color w:val="221F1F"/>
              </w:rPr>
            </m:ctrlPr>
          </m:e>
          <m:sub>
            <m:r>
              <w:rPr>
                <w:rFonts w:ascii="Cambria Math" w:hAnsi="Cambria Math"/>
                <w:color w:val="221F1F"/>
              </w:rPr>
              <m:t>alt</m:t>
            </m:r>
            <m:ctrlPr>
              <w:rPr>
                <w:rFonts w:ascii="Cambria Math" w:hAnsi="Cambria Math" w:cs="Cambria"/>
                <w:color w:val="221F1F"/>
              </w:rPr>
            </m:ctrlPr>
          </m:sub>
        </m:sSub>
        <m:r>
          <w:rPr>
            <w:rFonts w:ascii="Cambria Math" w:hAnsi="Cambria Math"/>
            <w:color w:val="221F1F"/>
          </w:rPr>
          <m:t>=</m:t>
        </m:r>
        <m:f>
          <m:fPr>
            <m:ctrlPr>
              <w:rPr>
                <w:rFonts w:ascii="Cambria Math" w:hAnsi="Cambria Math" w:cs="Cambria"/>
                <w:i/>
                <w:color w:val="221F1F"/>
              </w:rPr>
            </m:ctrlPr>
          </m:fPr>
          <m:num>
            <m:sSub>
              <m:sSubPr>
                <m:ctrlPr>
                  <w:rPr>
                    <w:rFonts w:ascii="Cambria Math" w:hAnsi="Cambria Math" w:cs="Cambria"/>
                    <w:i/>
                    <w:color w:val="221F1F"/>
                  </w:rPr>
                </m:ctrlPr>
              </m:sSubPr>
              <m:e>
                <m:r>
                  <w:rPr>
                    <w:rFonts w:ascii="Cambria Math" w:hAnsi="Cambria Math"/>
                    <w:color w:val="221F1F"/>
                  </w:rPr>
                  <m:t>CP</m:t>
                </m:r>
                <m:ctrlPr>
                  <w:rPr>
                    <w:rFonts w:ascii="Cambria Math" w:hAnsi="Cambria Math" w:cs="Cambria"/>
                    <w:i/>
                    <w:color w:val="221F1F"/>
                  </w:rPr>
                </m:ctrlPr>
              </m:e>
              <m:sub>
                <m:r>
                  <w:rPr>
                    <w:rFonts w:ascii="Cambria Math" w:hAnsi="Cambria Math"/>
                    <w:color w:val="221F1F"/>
                  </w:rPr>
                  <m:t>x</m:t>
                </m:r>
                <m:ctrlPr>
                  <w:rPr>
                    <w:rFonts w:ascii="Cambria Math" w:hAnsi="Cambria Math" w:cs="Cambria"/>
                    <w:i/>
                    <w:color w:val="221F1F"/>
                  </w:rPr>
                </m:ctrlPr>
              </m:sub>
            </m:sSub>
            <m:ctrlPr>
              <w:rPr>
                <w:rFonts w:ascii="Cambria Math" w:hAnsi="Cambria Math" w:cs="Cambria"/>
                <w:i/>
                <w:color w:val="221F1F"/>
              </w:rPr>
            </m:ctrlPr>
          </m:num>
          <m:den>
            <m:sSub>
              <m:sSubPr>
                <m:ctrlPr>
                  <w:rPr>
                    <w:rFonts w:ascii="Cambria Math" w:hAnsi="Cambria Math" w:cs="Cambria"/>
                    <w:i/>
                    <w:color w:val="221F1F"/>
                  </w:rPr>
                </m:ctrlPr>
              </m:sSubPr>
              <m:e>
                <m:r>
                  <w:rPr>
                    <w:rFonts w:ascii="Cambria Math" w:hAnsi="Cambria Math"/>
                    <w:color w:val="221F1F"/>
                  </w:rPr>
                  <m:t>N</m:t>
                </m:r>
                <m:ctrlPr>
                  <w:rPr>
                    <w:rFonts w:ascii="Cambria Math" w:hAnsi="Cambria Math" w:cs="Cambria"/>
                    <w:i/>
                    <w:color w:val="221F1F"/>
                  </w:rPr>
                </m:ctrlPr>
              </m:e>
              <m:sub>
                <m:r>
                  <w:rPr>
                    <w:rFonts w:ascii="Cambria Math" w:hAnsi="Cambria Math"/>
                    <w:color w:val="221F1F"/>
                  </w:rPr>
                  <m:t>x</m:t>
                </m:r>
                <m:ctrlPr>
                  <w:rPr>
                    <w:rFonts w:ascii="Cambria Math" w:hAnsi="Cambria Math" w:cs="Cambria"/>
                    <w:i/>
                    <w:color w:val="221F1F"/>
                  </w:rPr>
                </m:ctrlPr>
              </m:sub>
            </m:sSub>
            <m:ctrlPr>
              <w:rPr>
                <w:rFonts w:ascii="Cambria Math" w:hAnsi="Cambria Math" w:cs="Cambria"/>
                <w:i/>
                <w:color w:val="221F1F"/>
              </w:rPr>
            </m:ctrlPr>
          </m:den>
        </m:f>
      </m:oMath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</w:rPr>
        <w:t>(S2)</w:t>
      </w:r>
    </w:p>
    <w:p>
      <w:pPr>
        <w:rPr>
          <w:color w:val="221F1F"/>
        </w:rPr>
      </w:pPr>
      <w:r>
        <w:rPr>
          <w:color w:val="221F1F"/>
        </w:rPr>
        <w:t>where</w:t>
      </w:r>
    </w:p>
    <w:p>
      <w:pPr>
        <w:rPr>
          <w:color w:val="221F1F"/>
        </w:rPr>
      </w:pPr>
      <w:r>
        <w:rPr>
          <w:i/>
          <w:iCs/>
          <w:color w:val="221F1F"/>
        </w:rPr>
        <w:t>CPx</w:t>
      </w:r>
      <w:r>
        <w:rPr>
          <w:iCs/>
          <w:color w:val="221F1F"/>
        </w:rPr>
        <w:t xml:space="preserve"> = </w:t>
      </w:r>
      <w:r>
        <w:rPr>
          <w:color w:val="221F1F"/>
        </w:rPr>
        <w:t xml:space="preserve">number of samples with a confirmed positive result obtained with the alternative method at level </w:t>
      </w:r>
      <w:r>
        <w:rPr>
          <w:i/>
          <w:iCs/>
          <w:color w:val="221F1F"/>
        </w:rPr>
        <w:t xml:space="preserve">x </w:t>
      </w:r>
      <w:r>
        <w:rPr>
          <w:color w:val="221F1F"/>
        </w:rPr>
        <w:t>(</w:t>
      </w:r>
      <w:r>
        <w:rPr>
          <w:i/>
          <w:iCs/>
          <w:color w:val="221F1F"/>
        </w:rPr>
        <w:t>L</w:t>
      </w:r>
      <w:r>
        <w:rPr>
          <w:color w:val="221F1F"/>
          <w:sz w:val="17"/>
          <w:szCs w:val="17"/>
        </w:rPr>
        <w:t xml:space="preserve">1 </w:t>
      </w:r>
      <w:r>
        <w:rPr>
          <w:color w:val="221F1F"/>
        </w:rPr>
        <w:t xml:space="preserve">or </w:t>
      </w:r>
      <w:r>
        <w:rPr>
          <w:i/>
          <w:iCs/>
          <w:color w:val="221F1F"/>
        </w:rPr>
        <w:t>L</w:t>
      </w:r>
      <w:r>
        <w:rPr>
          <w:color w:val="221F1F"/>
          <w:sz w:val="17"/>
          <w:szCs w:val="17"/>
        </w:rPr>
        <w:t>2</w:t>
      </w:r>
      <w:r>
        <w:rPr>
          <w:color w:val="221F1F"/>
        </w:rPr>
        <w:t>) for all laboratories;</w:t>
      </w:r>
    </w:p>
    <w:p>
      <w:pPr>
        <w:rPr>
          <w:color w:val="221F1F"/>
        </w:rPr>
      </w:pPr>
      <w:r>
        <w:rPr>
          <w:i/>
          <w:color w:val="221F1F"/>
        </w:rPr>
        <w:t>Nx</w:t>
      </w:r>
      <w:r>
        <w:rPr>
          <w:color w:val="221F1F"/>
        </w:rPr>
        <w:t xml:space="preserve"> = number of samples tested at level </w:t>
      </w:r>
      <w:r>
        <w:rPr>
          <w:i/>
          <w:iCs/>
          <w:color w:val="221F1F"/>
        </w:rPr>
        <w:t xml:space="preserve">x </w:t>
      </w:r>
      <w:r>
        <w:rPr>
          <w:color w:val="221F1F"/>
        </w:rPr>
        <w:t>(</w:t>
      </w:r>
      <w:r>
        <w:rPr>
          <w:i/>
          <w:iCs/>
          <w:color w:val="221F1F"/>
        </w:rPr>
        <w:t>L</w:t>
      </w:r>
      <w:r>
        <w:rPr>
          <w:color w:val="221F1F"/>
          <w:sz w:val="17"/>
          <w:szCs w:val="17"/>
        </w:rPr>
        <w:t xml:space="preserve">1 </w:t>
      </w:r>
      <w:r>
        <w:rPr>
          <w:color w:val="221F1F"/>
        </w:rPr>
        <w:t xml:space="preserve">or </w:t>
      </w:r>
      <w:r>
        <w:rPr>
          <w:i/>
          <w:iCs/>
          <w:color w:val="221F1F"/>
        </w:rPr>
        <w:t>L</w:t>
      </w:r>
      <w:r>
        <w:rPr>
          <w:color w:val="221F1F"/>
          <w:sz w:val="17"/>
          <w:szCs w:val="17"/>
        </w:rPr>
        <w:t>2</w:t>
      </w:r>
      <w:r>
        <w:rPr>
          <w:color w:val="221F1F"/>
        </w:rPr>
        <w:t>) with the alternative method by all laboratories.</w:t>
      </w:r>
    </w:p>
    <w:p>
      <w:pPr>
        <w:ind w:firstLine="810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ND-PD</m:t>
                </m:r>
                <m:ctrlPr>
                  <w:rPr>
                    <w:rFonts w:ascii="Cambria Math" w:hAnsi="Cambria Math"/>
                  </w:rPr>
                </m:ctrlPr>
              </m:e>
            </m:d>
            <m:ctrlPr>
              <w:rPr>
                <w:rFonts w:ascii="Cambria Math" w:hAnsi="Cambria Math"/>
              </w:rPr>
            </m:ctrlPr>
          </m:e>
          <m:sub>
            <m:r>
              <w:rPr>
                <w:rFonts w:ascii="Cambria Math" w:hAnsi="Cambria Math"/>
              </w:rPr>
              <m:t>max</m:t>
            </m:r>
            <m:ctrlPr>
              <w:rPr>
                <w:rFonts w:ascii="Cambria Math" w:hAnsi="Cambria Math"/>
              </w:rPr>
            </m:ctrlPr>
          </m:sub>
        </m:sSub>
        <m:r>
          <w:rPr>
            <w:rFonts w:ascii="Cambria Math" w:hAnsi="Cambria Math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>
            <m:ctrlPr>
              <w:rPr>
                <w:rFonts w:ascii="Cambria Math" w:hAnsi="Cambria Math"/>
                <w:i/>
              </w:rPr>
            </m:ctrlPr>
          </m:deg>
          <m:e>
            <m:r>
              <w:rPr>
                <w:rFonts w:ascii="Cambria Math" w:hAnsi="Cambria Math"/>
              </w:rPr>
              <m:t>3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i/>
                  </w:rPr>
                </m:ctrlPr>
              </m:e>
              <m:sub>
                <m: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i/>
                  </w:rPr>
                </m:ctrlPr>
              </m:sub>
            </m:sSub>
            <m:r>
              <w:rPr>
                <w:rFonts w:ascii="Cambria Math" w:hAnsi="Cambria Math"/>
              </w:rPr>
              <m:t>×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p+</m:t>
                        </m: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>
                    </m:d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  <m:sub>
                    <m:r>
                      <w:rPr>
                        <w:rFonts w:ascii="Cambria Math" w:hAnsi="Cambria Math"/>
                      </w:rPr>
                      <m:t>ref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p+</m:t>
                        </m: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>
                    </m:d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  <m:sub>
                    <m:r>
                      <w:rPr>
                        <w:rFonts w:ascii="Cambria Math" w:hAnsi="Cambria Math"/>
                      </w:rPr>
                      <m:t>alt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sub>
                </m:sSub>
                <m:r>
                  <w:rPr>
                    <w:rFonts w:ascii="Cambria Math" w:hAnsi="Cambria Math"/>
                  </w:rPr>
                  <m:t>-2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p+</m:t>
                            </m: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e>
                        </m:d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>
                      <m:sub>
                        <m:r>
                          <w:rPr>
                            <w:rFonts w:ascii="Cambria Math" w:hAnsi="Cambria Math"/>
                          </w:rPr>
                          <m:t>ref</m:t>
                        </m: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ub>
                    </m:sSub>
                    <m:r>
                      <w:rPr>
                        <w:rFonts w:ascii="Cambria Math" w:hAnsi="Cambria Math"/>
                      </w:rPr>
                      <m:t>×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p+</m:t>
                            </m: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e>
                        </m:d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>
                      <m:sub>
                        <m:r>
                          <w:rPr>
                            <w:rFonts w:ascii="Cambria Math" w:hAnsi="Cambria Math"/>
                          </w:rPr>
                          <m:t>alt</m:t>
                        </m: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ub>
                    </m:sSub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d>
                <m:ctrlPr>
                  <w:rPr>
                    <w:rFonts w:ascii="Cambria Math" w:hAnsi="Cambria Math"/>
                    <w:i/>
                  </w:rPr>
                </m:ctrlPr>
              </m:e>
            </m:d>
            <m:ctrlPr>
              <w:rPr>
                <w:rFonts w:ascii="Cambria Math" w:hAnsi="Cambria Math"/>
                <w:i/>
              </w:rPr>
            </m:ctrlPr>
          </m:e>
        </m:rad>
      </m:oMath>
      <w:r>
        <w:tab/>
      </w:r>
      <w:r>
        <w:tab/>
      </w:r>
      <w:r>
        <w:t>(S3)</w:t>
      </w:r>
    </w:p>
    <w:p>
      <w:r>
        <w:t>where</w:t>
      </w:r>
    </w:p>
    <w:p>
      <w:r>
        <w:rPr>
          <w:i/>
          <w:color w:val="221F1F"/>
        </w:rPr>
        <w:t>Nx</w:t>
      </w:r>
      <w:r>
        <w:rPr>
          <w:color w:val="221F1F"/>
        </w:rPr>
        <w:t xml:space="preserve"> = number of samples tested at level x (L1 or L2) with the reference method by all laboratories</w:t>
      </w:r>
    </w:p>
    <w:p/>
    <w:p>
      <w:pPr>
        <w:pStyle w:val="2"/>
      </w:pPr>
      <w:r>
        <w:t xml:space="preserve">3. Matrix background microbial load </w:t>
      </w:r>
    </w:p>
    <w:p/>
    <w:p>
      <w:pPr>
        <w:jc w:val="center"/>
      </w:pPr>
      <w:r>
        <w:rPr>
          <w:b/>
        </w:rPr>
        <w:t>Table S3.</w:t>
      </w:r>
      <w:r>
        <w:t xml:space="preserve"> Single laboratory study - Background microbial load of blank product matrices</w:t>
      </w:r>
    </w:p>
    <w:tbl>
      <w:tblPr>
        <w:tblStyle w:val="8"/>
        <w:tblW w:w="9355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5"/>
        <w:gridCol w:w="1224"/>
        <w:gridCol w:w="1224"/>
        <w:gridCol w:w="1224"/>
        <w:gridCol w:w="1224"/>
        <w:gridCol w:w="1224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35" w:type="dxa"/>
            <w:tcBorders>
              <w:top w:val="single" w:color="auto" w:sz="8" w:space="0"/>
            </w:tcBorders>
          </w:tcPr>
          <w:p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6120" w:type="dxa"/>
            <w:gridSpan w:val="5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Replicate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35" w:type="dxa"/>
            <w:tcBorders>
              <w:bottom w:val="single" w:color="auto" w:sz="4" w:space="0"/>
            </w:tcBorders>
          </w:tcPr>
          <w:p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5" w:type="dxa"/>
            <w:gridSpan w:val="6"/>
            <w:tcBorders>
              <w:top w:val="single" w:color="auto" w:sz="4" w:space="0"/>
            </w:tcBorders>
            <w:vAlign w:val="center"/>
          </w:tcPr>
          <w:p>
            <w:pPr>
              <w:spacing w:before="60" w:after="6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Matrix 1: Dehydrated base milk powder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35" w:type="dxa"/>
          </w:tcPr>
          <w:p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APC (CFU/g)</w:t>
            </w:r>
          </w:p>
        </w:tc>
        <w:tc>
          <w:tcPr>
            <w:tcW w:w="1224" w:type="dxa"/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&lt;10</w:t>
            </w:r>
          </w:p>
        </w:tc>
        <w:tc>
          <w:tcPr>
            <w:tcW w:w="1224" w:type="dxa"/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&lt;10</w:t>
            </w:r>
          </w:p>
        </w:tc>
        <w:tc>
          <w:tcPr>
            <w:tcW w:w="1224" w:type="dxa"/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&lt;10</w:t>
            </w:r>
          </w:p>
        </w:tc>
        <w:tc>
          <w:tcPr>
            <w:tcW w:w="1224" w:type="dxa"/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&lt;10</w:t>
            </w:r>
          </w:p>
        </w:tc>
        <w:tc>
          <w:tcPr>
            <w:tcW w:w="1224" w:type="dxa"/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&lt;10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35" w:type="dxa"/>
          </w:tcPr>
          <w:p>
            <w:pPr>
              <w:spacing w:after="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Enterobacteriaceae</w:t>
            </w:r>
            <w:r>
              <w:rPr>
                <w:sz w:val="20"/>
                <w:szCs w:val="20"/>
              </w:rPr>
              <w:t xml:space="preserve"> (CFU/g)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&lt;10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&lt;10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&lt;10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&lt;10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&lt;10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35" w:type="dxa"/>
            <w:tcBorders>
              <w:bottom w:val="single" w:color="auto" w:sz="4" w:space="0"/>
            </w:tcBorders>
          </w:tcPr>
          <w:p>
            <w:pPr>
              <w:spacing w:after="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Cronobacter</w:t>
            </w:r>
            <w:r>
              <w:rPr>
                <w:sz w:val="20"/>
                <w:szCs w:val="20"/>
              </w:rPr>
              <w:t xml:space="preserve"> spp. /100 g</w:t>
            </w:r>
          </w:p>
        </w:tc>
        <w:tc>
          <w:tcPr>
            <w:tcW w:w="1224" w:type="dxa"/>
            <w:tcBorders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  <w:r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24" w:type="dxa"/>
            <w:tcBorders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1224" w:type="dxa"/>
            <w:tcBorders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1224" w:type="dxa"/>
            <w:tcBorders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1224" w:type="dxa"/>
            <w:tcBorders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5" w:type="dxa"/>
            <w:gridSpan w:val="6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before="60" w:after="6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Matrix 2: Non-probiotic infant milk formula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35" w:type="dxa"/>
          </w:tcPr>
          <w:p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APC (CFU/g)</w:t>
            </w:r>
          </w:p>
        </w:tc>
        <w:tc>
          <w:tcPr>
            <w:tcW w:w="1224" w:type="dxa"/>
            <w:tcBorders>
              <w:top w:val="nil"/>
              <w:bottom w:val="nil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&lt;10</w:t>
            </w:r>
          </w:p>
        </w:tc>
        <w:tc>
          <w:tcPr>
            <w:tcW w:w="1224" w:type="dxa"/>
            <w:tcBorders>
              <w:top w:val="nil"/>
              <w:bottom w:val="nil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&lt;10</w:t>
            </w:r>
          </w:p>
        </w:tc>
        <w:tc>
          <w:tcPr>
            <w:tcW w:w="1224" w:type="dxa"/>
            <w:tcBorders>
              <w:top w:val="nil"/>
              <w:bottom w:val="nil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&lt;10</w:t>
            </w:r>
          </w:p>
        </w:tc>
        <w:tc>
          <w:tcPr>
            <w:tcW w:w="1224" w:type="dxa"/>
            <w:tcBorders>
              <w:top w:val="nil"/>
              <w:bottom w:val="nil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&lt;10</w:t>
            </w:r>
          </w:p>
        </w:tc>
        <w:tc>
          <w:tcPr>
            <w:tcW w:w="1224" w:type="dxa"/>
            <w:tcBorders>
              <w:top w:val="nil"/>
              <w:bottom w:val="nil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&lt;10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35" w:type="dxa"/>
          </w:tcPr>
          <w:p>
            <w:pPr>
              <w:spacing w:after="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Enterobacteriaceae</w:t>
            </w:r>
            <w:r>
              <w:rPr>
                <w:sz w:val="20"/>
                <w:szCs w:val="20"/>
              </w:rPr>
              <w:t xml:space="preserve"> (CFU/g)</w:t>
            </w:r>
          </w:p>
        </w:tc>
        <w:tc>
          <w:tcPr>
            <w:tcW w:w="1224" w:type="dxa"/>
            <w:tcBorders>
              <w:top w:val="nil"/>
              <w:bottom w:val="nil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&lt;10</w:t>
            </w:r>
          </w:p>
        </w:tc>
        <w:tc>
          <w:tcPr>
            <w:tcW w:w="1224" w:type="dxa"/>
            <w:tcBorders>
              <w:top w:val="nil"/>
              <w:bottom w:val="nil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&lt;10</w:t>
            </w:r>
          </w:p>
        </w:tc>
        <w:tc>
          <w:tcPr>
            <w:tcW w:w="1224" w:type="dxa"/>
            <w:tcBorders>
              <w:top w:val="nil"/>
              <w:bottom w:val="nil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&lt;10</w:t>
            </w:r>
          </w:p>
        </w:tc>
        <w:tc>
          <w:tcPr>
            <w:tcW w:w="1224" w:type="dxa"/>
            <w:tcBorders>
              <w:top w:val="nil"/>
              <w:bottom w:val="nil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&lt;10</w:t>
            </w:r>
          </w:p>
        </w:tc>
        <w:tc>
          <w:tcPr>
            <w:tcW w:w="1224" w:type="dxa"/>
            <w:tcBorders>
              <w:top w:val="nil"/>
              <w:bottom w:val="nil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&lt;10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35" w:type="dxa"/>
            <w:tcBorders>
              <w:bottom w:val="single" w:color="auto" w:sz="4" w:space="0"/>
            </w:tcBorders>
          </w:tcPr>
          <w:p>
            <w:pPr>
              <w:spacing w:after="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Cronobacter</w:t>
            </w:r>
            <w:r>
              <w:rPr>
                <w:sz w:val="20"/>
                <w:szCs w:val="20"/>
              </w:rPr>
              <w:t xml:space="preserve"> spp. /100 g</w:t>
            </w:r>
          </w:p>
        </w:tc>
        <w:tc>
          <w:tcPr>
            <w:tcW w:w="1224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1224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1224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1224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1224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5" w:type="dxa"/>
            <w:gridSpan w:val="6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before="60" w:after="6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Matrix 3: Probiotic infant milk formula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35" w:type="dxa"/>
          </w:tcPr>
          <w:p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APC (CFU/g)</w:t>
            </w:r>
          </w:p>
        </w:tc>
        <w:tc>
          <w:tcPr>
            <w:tcW w:w="1224" w:type="dxa"/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24" w:type="dxa"/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224" w:type="dxa"/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224" w:type="dxa"/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224" w:type="dxa"/>
            <w:tcBorders>
              <w:top w:val="nil"/>
              <w:bottom w:val="nil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35" w:type="dxa"/>
          </w:tcPr>
          <w:p>
            <w:pPr>
              <w:spacing w:after="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Enterobacteriaceae</w:t>
            </w:r>
            <w:r>
              <w:rPr>
                <w:sz w:val="20"/>
                <w:szCs w:val="20"/>
              </w:rPr>
              <w:t xml:space="preserve"> (CFU/g)</w:t>
            </w:r>
          </w:p>
        </w:tc>
        <w:tc>
          <w:tcPr>
            <w:tcW w:w="1224" w:type="dxa"/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&lt;10</w:t>
            </w:r>
          </w:p>
        </w:tc>
        <w:tc>
          <w:tcPr>
            <w:tcW w:w="1224" w:type="dxa"/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&lt;10</w:t>
            </w:r>
          </w:p>
        </w:tc>
        <w:tc>
          <w:tcPr>
            <w:tcW w:w="1224" w:type="dxa"/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&lt;10</w:t>
            </w:r>
          </w:p>
        </w:tc>
        <w:tc>
          <w:tcPr>
            <w:tcW w:w="1224" w:type="dxa"/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&lt;10</w:t>
            </w:r>
          </w:p>
        </w:tc>
        <w:tc>
          <w:tcPr>
            <w:tcW w:w="1224" w:type="dxa"/>
            <w:tcBorders>
              <w:top w:val="nil"/>
              <w:bottom w:val="nil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&lt;10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35" w:type="dxa"/>
            <w:tcBorders>
              <w:bottom w:val="nil"/>
            </w:tcBorders>
          </w:tcPr>
          <w:p>
            <w:pPr>
              <w:spacing w:after="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Cronobacter</w:t>
            </w:r>
            <w:r>
              <w:rPr>
                <w:sz w:val="20"/>
                <w:szCs w:val="20"/>
              </w:rPr>
              <w:t xml:space="preserve"> spp. (/100 g)</w:t>
            </w:r>
          </w:p>
        </w:tc>
        <w:tc>
          <w:tcPr>
            <w:tcW w:w="1224" w:type="dxa"/>
            <w:tcBorders>
              <w:bottom w:val="nil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1224" w:type="dxa"/>
            <w:tcBorders>
              <w:bottom w:val="nil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1224" w:type="dxa"/>
            <w:tcBorders>
              <w:bottom w:val="nil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1224" w:type="dxa"/>
            <w:tcBorders>
              <w:bottom w:val="nil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  <w:tc>
          <w:tcPr>
            <w:tcW w:w="1224" w:type="dxa"/>
            <w:tcBorders>
              <w:top w:val="nil"/>
              <w:bottom w:val="nil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35" w:type="dxa"/>
            <w:tcBorders>
              <w:top w:val="nil"/>
              <w:bottom w:val="single" w:color="auto" w:sz="8" w:space="0"/>
            </w:tcBorders>
          </w:tcPr>
          <w:p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Lactic acid bacteria (CFU/g)</w:t>
            </w:r>
          </w:p>
        </w:tc>
        <w:tc>
          <w:tcPr>
            <w:tcW w:w="1224" w:type="dxa"/>
            <w:tcBorders>
              <w:top w:val="nil"/>
              <w:bottom w:val="single" w:color="auto" w:sz="8" w:space="0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</w:t>
            </w:r>
            <w:r>
              <w:rPr>
                <w:rFonts w:cs="Times New Roman"/>
                <w:sz w:val="20"/>
                <w:szCs w:val="20"/>
              </w:rPr>
              <w:t>×</w:t>
            </w: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224" w:type="dxa"/>
            <w:tcBorders>
              <w:top w:val="nil"/>
              <w:bottom w:val="single" w:color="auto" w:sz="8" w:space="0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3.9</w:t>
            </w:r>
            <w:r>
              <w:rPr>
                <w:rFonts w:cs="Times New Roman"/>
                <w:sz w:val="20"/>
                <w:szCs w:val="20"/>
              </w:rPr>
              <w:t>×</w:t>
            </w: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224" w:type="dxa"/>
            <w:tcBorders>
              <w:top w:val="nil"/>
              <w:bottom w:val="single" w:color="auto" w:sz="8" w:space="0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4.9</w:t>
            </w:r>
            <w:r>
              <w:rPr>
                <w:rFonts w:cs="Times New Roman"/>
                <w:sz w:val="20"/>
                <w:szCs w:val="20"/>
              </w:rPr>
              <w:t>×</w:t>
            </w: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224" w:type="dxa"/>
            <w:tcBorders>
              <w:top w:val="nil"/>
              <w:bottom w:val="single" w:color="auto" w:sz="8" w:space="0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</w:t>
            </w:r>
            <w:r>
              <w:rPr>
                <w:rFonts w:cs="Times New Roman"/>
                <w:sz w:val="20"/>
                <w:szCs w:val="20"/>
              </w:rPr>
              <w:t>×</w:t>
            </w: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224" w:type="dxa"/>
            <w:tcBorders>
              <w:top w:val="nil"/>
              <w:bottom w:val="single" w:color="auto" w:sz="8" w:space="0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4.9</w:t>
            </w:r>
            <w:r>
              <w:rPr>
                <w:rFonts w:cs="Times New Roman"/>
                <w:sz w:val="20"/>
                <w:szCs w:val="20"/>
              </w:rPr>
              <w:t>×</w:t>
            </w: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</w:tr>
    </w:tbl>
    <w:p>
      <w:pPr>
        <w:rPr>
          <w:sz w:val="16"/>
          <w:szCs w:val="16"/>
        </w:rPr>
      </w:pPr>
      <w:r>
        <w:rPr>
          <w:sz w:val="16"/>
          <w:szCs w:val="16"/>
        </w:rPr>
        <w:t>*ND: Not detected.</w:t>
      </w:r>
    </w:p>
    <w:p>
      <w:pPr>
        <w:jc w:val="center"/>
      </w:pPr>
      <w:r>
        <w:rPr>
          <w:b/>
        </w:rPr>
        <w:t>Table S4.</w:t>
      </w:r>
      <w:r>
        <w:t xml:space="preserve"> Single laboratory study - Thermal stress efficiency of test cultures</w:t>
      </w:r>
    </w:p>
    <w:tbl>
      <w:tblPr>
        <w:tblStyle w:val="8"/>
        <w:tblW w:w="9355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8"/>
        <w:gridCol w:w="1558"/>
        <w:gridCol w:w="1558"/>
        <w:gridCol w:w="1981"/>
        <w:gridCol w:w="270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8" w:type="dxa"/>
            <w:tcBorders>
              <w:top w:val="single" w:color="auto" w:sz="8" w:space="0"/>
            </w:tcBorders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color="auto" w:sz="8" w:space="0"/>
            </w:tcBorders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539" w:type="dxa"/>
            <w:gridSpan w:val="2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Colony count</w:t>
            </w:r>
          </w:p>
        </w:tc>
        <w:tc>
          <w:tcPr>
            <w:tcW w:w="2700" w:type="dxa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Stress efficiency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8" w:type="dxa"/>
            <w:tcBorders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Strain</w:t>
            </w:r>
          </w:p>
        </w:tc>
        <w:tc>
          <w:tcPr>
            <w:tcW w:w="1558" w:type="dxa"/>
            <w:tcBorders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Medium</w:t>
            </w:r>
          </w:p>
        </w:tc>
        <w:tc>
          <w:tcPr>
            <w:tcW w:w="155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CFU/mL</w:t>
            </w:r>
          </w:p>
        </w:tc>
        <w:tc>
          <w:tcPr>
            <w:tcW w:w="198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</w:t>
            </w:r>
            <w:r>
              <w:rPr>
                <w:sz w:val="20"/>
                <w:szCs w:val="20"/>
                <w:vertAlign w:val="subscript"/>
              </w:rPr>
              <w:t>10</w:t>
            </w:r>
            <w:r>
              <w:rPr>
                <w:sz w:val="20"/>
                <w:szCs w:val="20"/>
              </w:rPr>
              <w:t xml:space="preserve"> CFU/mL</w:t>
            </w:r>
          </w:p>
        </w:tc>
        <w:tc>
          <w:tcPr>
            <w:tcW w:w="270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</w:t>
            </w:r>
            <w:r>
              <w:rPr>
                <w:sz w:val="20"/>
                <w:szCs w:val="20"/>
                <w:vertAlign w:val="subscript"/>
              </w:rPr>
              <w:t>10</w:t>
            </w:r>
            <w:r>
              <w:rPr>
                <w:sz w:val="20"/>
                <w:szCs w:val="20"/>
              </w:rPr>
              <w:t xml:space="preserve"> CFU/mL reduction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8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after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C. sakazakii</w:t>
            </w:r>
          </w:p>
          <w:p>
            <w:pPr>
              <w:spacing w:after="0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(ATCC 29544)</w:t>
            </w:r>
          </w:p>
        </w:tc>
        <w:tc>
          <w:tcPr>
            <w:tcW w:w="1558" w:type="dxa"/>
            <w:tcBorders>
              <w:top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TSA</w:t>
            </w:r>
          </w:p>
        </w:tc>
        <w:tc>
          <w:tcPr>
            <w:tcW w:w="1558" w:type="dxa"/>
            <w:tcBorders>
              <w:top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</w:t>
            </w:r>
            <w:r>
              <w:rPr>
                <w:rFonts w:cs="Times New Roman"/>
                <w:sz w:val="20"/>
                <w:szCs w:val="20"/>
              </w:rPr>
              <w:t>×</w:t>
            </w: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981" w:type="dxa"/>
            <w:tcBorders>
              <w:top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8.20</w:t>
            </w:r>
          </w:p>
        </w:tc>
        <w:tc>
          <w:tcPr>
            <w:tcW w:w="2700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558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58" w:type="dxa"/>
            <w:tcBorders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DFI</w:t>
            </w:r>
          </w:p>
        </w:tc>
        <w:tc>
          <w:tcPr>
            <w:tcW w:w="1558" w:type="dxa"/>
            <w:tcBorders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  <w:r>
              <w:rPr>
                <w:rFonts w:cs="Times New Roman"/>
                <w:sz w:val="20"/>
                <w:szCs w:val="20"/>
              </w:rPr>
              <w:t>×</w:t>
            </w: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981" w:type="dxa"/>
            <w:tcBorders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7.51</w:t>
            </w:r>
          </w:p>
        </w:tc>
        <w:tc>
          <w:tcPr>
            <w:tcW w:w="270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8" w:type="dxa"/>
            <w:vMerge w:val="restart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after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C. malonaticus</w:t>
            </w:r>
          </w:p>
          <w:p>
            <w:pPr>
              <w:spacing w:after="0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(DSM 18702)</w:t>
            </w:r>
          </w:p>
        </w:tc>
        <w:tc>
          <w:tcPr>
            <w:tcW w:w="1558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TSA</w:t>
            </w:r>
          </w:p>
        </w:tc>
        <w:tc>
          <w:tcPr>
            <w:tcW w:w="1558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  <w:r>
              <w:rPr>
                <w:rFonts w:cs="Times New Roman"/>
                <w:sz w:val="20"/>
                <w:szCs w:val="20"/>
              </w:rPr>
              <w:t>×</w:t>
            </w: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981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8.62</w:t>
            </w:r>
          </w:p>
        </w:tc>
        <w:tc>
          <w:tcPr>
            <w:tcW w:w="2700" w:type="dxa"/>
            <w:vMerge w:val="restart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8" w:type="dxa"/>
            <w:vMerge w:val="continue"/>
            <w:tcBorders>
              <w:top w:val="nil"/>
              <w:bottom w:val="single" w:color="auto" w:sz="8" w:space="0"/>
            </w:tcBorders>
            <w:vAlign w:val="center"/>
          </w:tcPr>
          <w:p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bottom w:val="single" w:color="auto" w:sz="8" w:space="0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DFI</w:t>
            </w:r>
          </w:p>
        </w:tc>
        <w:tc>
          <w:tcPr>
            <w:tcW w:w="1558" w:type="dxa"/>
            <w:tcBorders>
              <w:top w:val="nil"/>
              <w:bottom w:val="single" w:color="auto" w:sz="8" w:space="0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  <w:r>
              <w:rPr>
                <w:rFonts w:cs="Times New Roman"/>
                <w:sz w:val="20"/>
                <w:szCs w:val="20"/>
              </w:rPr>
              <w:t>×</w:t>
            </w: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981" w:type="dxa"/>
            <w:tcBorders>
              <w:top w:val="nil"/>
              <w:bottom w:val="single" w:color="auto" w:sz="8" w:space="0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7.32</w:t>
            </w:r>
          </w:p>
        </w:tc>
        <w:tc>
          <w:tcPr>
            <w:tcW w:w="2700" w:type="dxa"/>
            <w:vMerge w:val="continue"/>
            <w:tcBorders>
              <w:top w:val="nil"/>
              <w:bottom w:val="single" w:color="auto" w:sz="8" w:space="0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/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</w:pPr>
      <w:r>
        <w:rPr>
          <w:b/>
        </w:rPr>
        <w:t>Table S</w:t>
      </w:r>
      <w:r>
        <w:rPr>
          <w:rFonts w:hint="eastAsia"/>
          <w:b/>
          <w:lang w:val="en-US" w:eastAsia="zh-CN"/>
        </w:rPr>
        <w:t>5</w:t>
      </w:r>
      <w:r>
        <w:t>. Single laboratory study - Results summary per matrix type/strain/method at the low contamination level (L</w:t>
      </w:r>
      <w:r>
        <w:rPr>
          <w:vertAlign w:val="subscript"/>
        </w:rPr>
        <w:t>1</w:t>
      </w:r>
      <w:r>
        <w:t>)</w:t>
      </w:r>
    </w:p>
    <w:tbl>
      <w:tblPr>
        <w:tblStyle w:val="8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1530"/>
        <w:gridCol w:w="2430"/>
        <w:gridCol w:w="1260"/>
        <w:gridCol w:w="1170"/>
        <w:gridCol w:w="1165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5" w:type="dxa"/>
            <w:vMerge w:val="restart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Method</w:t>
            </w:r>
          </w:p>
        </w:tc>
        <w:tc>
          <w:tcPr>
            <w:tcW w:w="1530" w:type="dxa"/>
            <w:vMerge w:val="restart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Strain</w:t>
            </w:r>
          </w:p>
        </w:tc>
        <w:tc>
          <w:tcPr>
            <w:tcW w:w="2430" w:type="dxa"/>
            <w:vMerge w:val="restart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Matrix Type</w:t>
            </w:r>
          </w:p>
        </w:tc>
        <w:tc>
          <w:tcPr>
            <w:tcW w:w="2430" w:type="dxa"/>
            <w:gridSpan w:val="2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Number of results</w:t>
            </w:r>
          </w:p>
        </w:tc>
        <w:tc>
          <w:tcPr>
            <w:tcW w:w="1165" w:type="dxa"/>
            <w:vMerge w:val="restart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5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30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430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Positive</w:t>
            </w:r>
          </w:p>
        </w:tc>
        <w:tc>
          <w:tcPr>
            <w:tcW w:w="11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Negative</w:t>
            </w:r>
          </w:p>
        </w:tc>
        <w:tc>
          <w:tcPr>
            <w:tcW w:w="1165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5" w:type="dxa"/>
            <w:vMerge w:val="restart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 method</w:t>
            </w:r>
          </w:p>
          <w:p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GB 4789.40-2016</w:t>
            </w:r>
          </w:p>
        </w:tc>
        <w:tc>
          <w:tcPr>
            <w:tcW w:w="1530" w:type="dxa"/>
            <w:vMerge w:val="restart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after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C. sakazakii</w:t>
            </w:r>
          </w:p>
          <w:p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ATCC 29544</w:t>
            </w:r>
          </w:p>
        </w:tc>
        <w:tc>
          <w:tcPr>
            <w:tcW w:w="2430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Non-probiotic ingredient</w:t>
            </w:r>
          </w:p>
        </w:tc>
        <w:tc>
          <w:tcPr>
            <w:tcW w:w="1260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170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165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30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Non-probiotic infant formula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1165" w:type="dxa"/>
            <w:tcBorders>
              <w:top w:val="nil"/>
              <w:bottom w:val="nil"/>
            </w:tcBorders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30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Probiotic infant formula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165" w:type="dxa"/>
            <w:tcBorders>
              <w:top w:val="nil"/>
              <w:bottom w:val="nil"/>
            </w:tcBorders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malonaticus</w:t>
            </w:r>
          </w:p>
          <w:p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DSM 18702</w:t>
            </w:r>
          </w:p>
        </w:tc>
        <w:tc>
          <w:tcPr>
            <w:tcW w:w="2430" w:type="dxa"/>
            <w:tcBorders>
              <w:top w:val="nil"/>
              <w:bottom w:val="nil"/>
            </w:tcBorders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Non-probiotic ingredient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65" w:type="dxa"/>
            <w:tcBorders>
              <w:top w:val="nil"/>
              <w:bottom w:val="nil"/>
            </w:tcBorders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30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Non-probiotic infant formula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165" w:type="dxa"/>
            <w:tcBorders>
              <w:top w:val="nil"/>
              <w:bottom w:val="nil"/>
            </w:tcBorders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30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Probiotic infant formula</w:t>
            </w:r>
          </w:p>
        </w:tc>
        <w:tc>
          <w:tcPr>
            <w:tcW w:w="1260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170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165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5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</w:t>
            </w:r>
          </w:p>
        </w:tc>
        <w:tc>
          <w:tcPr>
            <w:tcW w:w="243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 (47.5%)</w:t>
            </w:r>
          </w:p>
        </w:tc>
        <w:tc>
          <w:tcPr>
            <w:tcW w:w="11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 (52.5%)</w:t>
            </w:r>
          </w:p>
        </w:tc>
        <w:tc>
          <w:tcPr>
            <w:tcW w:w="11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 (100%)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5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Alternative method</w:t>
            </w:r>
          </w:p>
          <w:p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ISO 22964:2017</w:t>
            </w:r>
          </w:p>
        </w:tc>
        <w:tc>
          <w:tcPr>
            <w:tcW w:w="1530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after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C. sakazakii</w:t>
            </w:r>
          </w:p>
          <w:p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ATCC 29544</w:t>
            </w:r>
          </w:p>
        </w:tc>
        <w:tc>
          <w:tcPr>
            <w:tcW w:w="2430" w:type="dxa"/>
            <w:tcBorders>
              <w:top w:val="single" w:color="auto" w:sz="4" w:space="0"/>
            </w:tcBorders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Non-probiotic ingredient</w:t>
            </w:r>
          </w:p>
        </w:tc>
        <w:tc>
          <w:tcPr>
            <w:tcW w:w="1260" w:type="dxa"/>
            <w:tcBorders>
              <w:top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170" w:type="dxa"/>
            <w:tcBorders>
              <w:top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1165" w:type="dxa"/>
            <w:tcBorders>
              <w:top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5" w:type="dxa"/>
            <w:vMerge w:val="continue"/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30" w:type="dxa"/>
            <w:vMerge w:val="continue"/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430" w:type="dxa"/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Non-probiotic infant formula</w:t>
            </w:r>
          </w:p>
        </w:tc>
        <w:tc>
          <w:tcPr>
            <w:tcW w:w="1260" w:type="dxa"/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70" w:type="dxa"/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1165" w:type="dxa"/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5" w:type="dxa"/>
            <w:vMerge w:val="continue"/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30" w:type="dxa"/>
            <w:vMerge w:val="continue"/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430" w:type="dxa"/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Probiotic infant formula</w:t>
            </w:r>
          </w:p>
        </w:tc>
        <w:tc>
          <w:tcPr>
            <w:tcW w:w="1260" w:type="dxa"/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170" w:type="dxa"/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165" w:type="dxa"/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5" w:type="dxa"/>
            <w:vMerge w:val="continue"/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malonaticus</w:t>
            </w:r>
          </w:p>
          <w:p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DSM 18702</w:t>
            </w:r>
          </w:p>
        </w:tc>
        <w:tc>
          <w:tcPr>
            <w:tcW w:w="2430" w:type="dxa"/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Non-probiotic ingredient</w:t>
            </w:r>
          </w:p>
        </w:tc>
        <w:tc>
          <w:tcPr>
            <w:tcW w:w="1260" w:type="dxa"/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70" w:type="dxa"/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165" w:type="dxa"/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5" w:type="dxa"/>
            <w:vMerge w:val="continue"/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30" w:type="dxa"/>
            <w:vMerge w:val="continue"/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430" w:type="dxa"/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Non-probiotic infant formula</w:t>
            </w:r>
          </w:p>
        </w:tc>
        <w:tc>
          <w:tcPr>
            <w:tcW w:w="1260" w:type="dxa"/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170" w:type="dxa"/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65" w:type="dxa"/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5" w:type="dxa"/>
            <w:vMerge w:val="continue"/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3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430" w:type="dxa"/>
            <w:tcBorders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Probiotic infant formula</w:t>
            </w:r>
          </w:p>
        </w:tc>
        <w:tc>
          <w:tcPr>
            <w:tcW w:w="1260" w:type="dxa"/>
            <w:tcBorders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170" w:type="dxa"/>
            <w:tcBorders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165" w:type="dxa"/>
            <w:tcBorders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5" w:type="dxa"/>
            <w:vMerge w:val="continue"/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color="auto" w:sz="4" w:space="0"/>
              <w:bottom w:val="single" w:color="auto" w:sz="8" w:space="0"/>
            </w:tcBorders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</w:t>
            </w:r>
          </w:p>
        </w:tc>
        <w:tc>
          <w:tcPr>
            <w:tcW w:w="2430" w:type="dxa"/>
            <w:tcBorders>
              <w:top w:val="single" w:color="auto" w:sz="4" w:space="0"/>
              <w:bottom w:val="single" w:color="auto" w:sz="8" w:space="0"/>
            </w:tcBorders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auto" w:sz="4" w:space="0"/>
              <w:bottom w:val="single" w:color="auto" w:sz="8" w:space="0"/>
            </w:tcBorders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 (49.5%)</w:t>
            </w:r>
          </w:p>
        </w:tc>
        <w:tc>
          <w:tcPr>
            <w:tcW w:w="1170" w:type="dxa"/>
            <w:tcBorders>
              <w:top w:val="single" w:color="auto" w:sz="4" w:space="0"/>
              <w:bottom w:val="single" w:color="auto" w:sz="8" w:space="0"/>
            </w:tcBorders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 (50.5%)</w:t>
            </w:r>
          </w:p>
        </w:tc>
        <w:tc>
          <w:tcPr>
            <w:tcW w:w="1165" w:type="dxa"/>
            <w:tcBorders>
              <w:top w:val="single" w:color="auto" w:sz="4" w:space="0"/>
              <w:bottom w:val="single" w:color="auto" w:sz="8" w:space="0"/>
            </w:tcBorders>
            <w:vAlign w:val="center"/>
          </w:tcPr>
          <w:p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 (100%)</w:t>
            </w:r>
          </w:p>
        </w:tc>
      </w:tr>
    </w:tbl>
    <w:p/>
    <w:p/>
    <w:p>
      <w:pPr>
        <w:jc w:val="center"/>
        <w:rPr>
          <w:rFonts w:hint="eastAsia"/>
          <w:lang w:eastAsia="zh-CN"/>
        </w:rPr>
      </w:pPr>
      <w:r>
        <w:rPr>
          <w:rFonts w:hint="eastAsia"/>
          <w:b/>
          <w:sz w:val="20"/>
          <w:szCs w:val="20"/>
          <w:lang w:val="en-US" w:eastAsia="zh-CN"/>
        </w:rPr>
        <w:t xml:space="preserve">Figure S6 </w:t>
      </w:r>
      <w:r>
        <w:t>Single laboratory study -</w:t>
      </w:r>
      <w:r>
        <w:rPr>
          <w:rFonts w:hint="eastAsia"/>
          <w:lang w:eastAsia="zh-CN"/>
        </w:rPr>
        <w:t>Presentation of the RLOD of the alternative method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1"/>
        <w:gridCol w:w="850"/>
        <w:gridCol w:w="992"/>
        <w:gridCol w:w="993"/>
        <w:gridCol w:w="1417"/>
        <w:gridCol w:w="851"/>
        <w:gridCol w:w="708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1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Matrix/Strain</w:t>
            </w:r>
          </w:p>
        </w:tc>
        <w:tc>
          <w:tcPr>
            <w:tcW w:w="850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RLOD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RLODL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RLODU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B</w:t>
            </w:r>
            <w:r>
              <w:rPr>
                <w:rFonts w:hint="eastAsia"/>
                <w:sz w:val="20"/>
                <w:szCs w:val="20"/>
                <w:lang w:eastAsia="zh-CN"/>
              </w:rPr>
              <w:t>=ln(RLOD)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S</w:t>
            </w:r>
            <w:r>
              <w:rPr>
                <w:rFonts w:hint="eastAsia"/>
                <w:sz w:val="20"/>
                <w:szCs w:val="20"/>
                <w:lang w:eastAsia="zh-CN"/>
              </w:rPr>
              <w:t>n(d)</w:t>
            </w:r>
          </w:p>
        </w:tc>
        <w:tc>
          <w:tcPr>
            <w:tcW w:w="708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Z-test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p-value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1" w:type="dxa"/>
            <w:shd w:val="clear" w:color="auto" w:fill="auto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I</w:t>
            </w:r>
            <w:r>
              <w:rPr>
                <w:rFonts w:hint="eastAsia"/>
                <w:sz w:val="20"/>
                <w:szCs w:val="20"/>
                <w:lang w:eastAsia="zh-CN"/>
              </w:rPr>
              <w:t>ngredient /ATCC29544</w:t>
            </w:r>
          </w:p>
        </w:tc>
        <w:tc>
          <w:tcPr>
            <w:tcW w:w="850" w:type="dxa"/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1.871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0.916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3.819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0.626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0.357</w:t>
            </w:r>
          </w:p>
        </w:tc>
        <w:tc>
          <w:tcPr>
            <w:tcW w:w="708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1.755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0.079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1" w:type="dxa"/>
            <w:shd w:val="clear" w:color="auto" w:fill="auto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Non-probiotic infant formula/ATCC29544</w:t>
            </w:r>
          </w:p>
        </w:tc>
        <w:tc>
          <w:tcPr>
            <w:tcW w:w="850" w:type="dxa"/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0.717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0.296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1.739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-0.332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0.443</w:t>
            </w:r>
          </w:p>
        </w:tc>
        <w:tc>
          <w:tcPr>
            <w:tcW w:w="708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0.750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1.547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1" w:type="dxa"/>
            <w:shd w:val="clear" w:color="auto" w:fill="auto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Probiotic infant formula/ATCC29544</w:t>
            </w:r>
          </w:p>
        </w:tc>
        <w:tc>
          <w:tcPr>
            <w:tcW w:w="850" w:type="dxa"/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1.570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0.804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3.064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0.451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0.335</w:t>
            </w:r>
          </w:p>
        </w:tc>
        <w:tc>
          <w:tcPr>
            <w:tcW w:w="708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1.348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0.178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1" w:type="dxa"/>
            <w:shd w:val="clear" w:color="auto" w:fill="auto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Combine</w:t>
            </w:r>
          </w:p>
        </w:tc>
        <w:tc>
          <w:tcPr>
            <w:tcW w:w="850" w:type="dxa"/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1.343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0.882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2.045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0.295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0.210</w:t>
            </w:r>
          </w:p>
        </w:tc>
        <w:tc>
          <w:tcPr>
            <w:tcW w:w="708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1.404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0.160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3" w:type="dxa"/>
            <w:gridSpan w:val="8"/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1" w:type="dxa"/>
            <w:shd w:val="clear" w:color="auto" w:fill="auto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I</w:t>
            </w:r>
            <w:r>
              <w:rPr>
                <w:rFonts w:hint="eastAsia"/>
                <w:sz w:val="20"/>
                <w:szCs w:val="20"/>
                <w:lang w:eastAsia="zh-CN"/>
              </w:rPr>
              <w:t>ngredient /DSM18702</w:t>
            </w:r>
          </w:p>
        </w:tc>
        <w:tc>
          <w:tcPr>
            <w:tcW w:w="850" w:type="dxa"/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0.487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0.194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1.222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-0.720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0.460</w:t>
            </w:r>
          </w:p>
        </w:tc>
        <w:tc>
          <w:tcPr>
            <w:tcW w:w="708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1.565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1.882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1" w:type="dxa"/>
            <w:shd w:val="clear" w:color="auto" w:fill="auto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Non-probiotic infant formula/DSM18702</w:t>
            </w:r>
          </w:p>
        </w:tc>
        <w:tc>
          <w:tcPr>
            <w:tcW w:w="850" w:type="dxa"/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0.698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0.235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2.074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-0.359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0.544</w:t>
            </w:r>
          </w:p>
        </w:tc>
        <w:tc>
          <w:tcPr>
            <w:tcW w:w="708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0.660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1.491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1" w:type="dxa"/>
            <w:shd w:val="clear" w:color="auto" w:fill="auto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Probiotic infant formula/DSM18702</w:t>
            </w:r>
          </w:p>
        </w:tc>
        <w:tc>
          <w:tcPr>
            <w:tcW w:w="850" w:type="dxa"/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0.861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0.392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1.894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-0.149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0.394</w:t>
            </w:r>
          </w:p>
        </w:tc>
        <w:tc>
          <w:tcPr>
            <w:tcW w:w="708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0.379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1.295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1" w:type="dxa"/>
            <w:shd w:val="clear" w:color="auto" w:fill="auto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Combine</w:t>
            </w:r>
          </w:p>
        </w:tc>
        <w:tc>
          <w:tcPr>
            <w:tcW w:w="850" w:type="dxa"/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0.689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0.414</w:t>
            </w:r>
          </w:p>
        </w:tc>
        <w:tc>
          <w:tcPr>
            <w:tcW w:w="993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1.146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-0.373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0.255</w:t>
            </w:r>
          </w:p>
        </w:tc>
        <w:tc>
          <w:tcPr>
            <w:tcW w:w="708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1.464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1.857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3" w:type="dxa"/>
            <w:gridSpan w:val="8"/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1" w:type="dxa"/>
            <w:shd w:val="clear" w:color="auto" w:fill="auto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I</w:t>
            </w:r>
            <w:r>
              <w:rPr>
                <w:rFonts w:hint="eastAsia"/>
                <w:sz w:val="20"/>
                <w:szCs w:val="20"/>
                <w:lang w:eastAsia="zh-CN"/>
              </w:rPr>
              <w:t>ngredient /ATCC29544&amp;DSM18702</w:t>
            </w:r>
          </w:p>
        </w:tc>
        <w:tc>
          <w:tcPr>
            <w:tcW w:w="850" w:type="dxa"/>
            <w:shd w:val="clear" w:color="auto" w:fill="FFFFFF"/>
            <w:noWrap w:val="0"/>
            <w:vAlign w:val="center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1.124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0.649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1.947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0.1175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0.2752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0.425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0.671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1" w:type="dxa"/>
            <w:shd w:val="clear" w:color="auto" w:fill="auto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Non-probiotic infant formula/ATCC29544&amp;DSM18702</w:t>
            </w:r>
          </w:p>
        </w:tc>
        <w:tc>
          <w:tcPr>
            <w:tcW w:w="850" w:type="dxa"/>
            <w:shd w:val="clear" w:color="auto" w:fill="FFFFFF"/>
            <w:noWrap w:val="0"/>
            <w:vAlign w:val="center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0.710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0.357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2.1.410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-0.343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0.343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0.999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1.682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1" w:type="dxa"/>
            <w:shd w:val="clear" w:color="auto" w:fill="auto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Probiotic infant formula/ATCC29544&amp;DSM18702</w:t>
            </w:r>
          </w:p>
        </w:tc>
        <w:tc>
          <w:tcPr>
            <w:tcW w:w="850" w:type="dxa"/>
            <w:shd w:val="clear" w:color="auto" w:fill="FFFFFF"/>
            <w:noWrap w:val="0"/>
            <w:vAlign w:val="center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1.232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0.737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2.031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0.202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0.253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0.795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0.427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1" w:type="dxa"/>
            <w:shd w:val="clear" w:color="auto" w:fill="auto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Acceptance Limit</w:t>
            </w:r>
          </w:p>
        </w:tc>
        <w:tc>
          <w:tcPr>
            <w:tcW w:w="850" w:type="dxa"/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2.5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rPr>
                <w:rFonts w:hint="eastAsia"/>
                <w:sz w:val="20"/>
                <w:szCs w:val="20"/>
                <w:lang w:eastAsia="zh-CN"/>
              </w:rPr>
            </w:pPr>
          </w:p>
        </w:tc>
      </w:tr>
    </w:tbl>
    <w:p>
      <w:pPr>
        <w:pStyle w:val="23"/>
        <w:widowControl w:val="0"/>
        <w:autoSpaceDE w:val="0"/>
        <w:autoSpaceDN w:val="0"/>
        <w:snapToGrid/>
        <w:spacing w:after="0"/>
        <w:ind w:firstLine="0" w:firstLineChars="0"/>
        <w:rPr>
          <w:rFonts w:hint="eastAsia" w:ascii="Times New Roman" w:hAnsi="Times New Roman" w:eastAsia="宋体" w:cs="Times New Roman"/>
          <w:sz w:val="20"/>
          <w:szCs w:val="20"/>
          <w:lang w:val="en-US" w:eastAsia="zh-CN" w:bidi="ar-SA"/>
        </w:rPr>
      </w:pPr>
      <w:r>
        <w:rPr>
          <w:rFonts w:hint="eastAsia" w:ascii="Times New Roman" w:hAnsi="Times New Roman" w:eastAsia="宋体"/>
          <w:b/>
        </w:rPr>
        <w:t xml:space="preserve"> -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 w:bidi="ar-SA"/>
        </w:rPr>
        <w:t xml:space="preserve"> RLOD: the estimated relative level of detection value</w:t>
      </w:r>
    </w:p>
    <w:p>
      <w:pPr>
        <w:pStyle w:val="23"/>
        <w:widowControl w:val="0"/>
        <w:autoSpaceDE w:val="0"/>
        <w:autoSpaceDN w:val="0"/>
        <w:snapToGrid/>
        <w:spacing w:after="0"/>
        <w:ind w:firstLine="0" w:firstLineChars="0"/>
        <w:rPr>
          <w:rFonts w:hint="eastAsia" w:ascii="Times New Roman" w:hAnsi="Times New Roman" w:eastAsia="宋体" w:cs="Times New Roman"/>
          <w:sz w:val="20"/>
          <w:szCs w:val="20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sz w:val="20"/>
          <w:szCs w:val="20"/>
          <w:lang w:val="en-US" w:eastAsia="zh-CN" w:bidi="ar-SA"/>
        </w:rPr>
        <w:t xml:space="preserve"> - RLODU: the upper limit of the 95% confidence interval for RLOD</w:t>
      </w:r>
    </w:p>
    <w:p>
      <w:pPr>
        <w:pStyle w:val="23"/>
        <w:widowControl w:val="0"/>
        <w:autoSpaceDE w:val="0"/>
        <w:autoSpaceDN w:val="0"/>
        <w:snapToGrid/>
        <w:spacing w:after="0"/>
        <w:ind w:firstLine="0" w:firstLineChars="0"/>
        <w:rPr>
          <w:rFonts w:hint="eastAsia" w:ascii="Times New Roman" w:hAnsi="Times New Roman" w:eastAsia="宋体" w:cs="Times New Roman"/>
          <w:sz w:val="20"/>
          <w:szCs w:val="20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sz w:val="20"/>
          <w:szCs w:val="20"/>
          <w:lang w:val="en-US" w:eastAsia="zh-CN" w:bidi="ar-SA"/>
        </w:rPr>
        <w:t xml:space="preserve"> - RLODL: the lower limit of the 95% confidence interval for RLOD</w:t>
      </w:r>
    </w:p>
    <w:p>
      <w:pPr>
        <w:pStyle w:val="23"/>
        <w:widowControl w:val="0"/>
        <w:autoSpaceDE w:val="0"/>
        <w:autoSpaceDN w:val="0"/>
        <w:snapToGrid/>
        <w:spacing w:after="0"/>
        <w:ind w:firstLine="0" w:firstLineChars="0"/>
        <w:rPr>
          <w:rFonts w:hint="eastAsia" w:ascii="Times New Roman" w:hAnsi="Times New Roman" w:eastAsia="宋体" w:cs="Times New Roman"/>
          <w:sz w:val="20"/>
          <w:szCs w:val="20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sz w:val="20"/>
          <w:szCs w:val="20"/>
          <w:lang w:val="en-US" w:eastAsia="zh-CN" w:bidi="ar-SA"/>
        </w:rPr>
        <w:t xml:space="preserve"> - b=ln(RLOD): logarithm of the RLOD value</w:t>
      </w:r>
    </w:p>
    <w:p>
      <w:pPr>
        <w:pStyle w:val="23"/>
        <w:widowControl w:val="0"/>
        <w:autoSpaceDE w:val="0"/>
        <w:autoSpaceDN w:val="0"/>
        <w:snapToGrid/>
        <w:spacing w:after="0"/>
        <w:ind w:firstLine="0" w:firstLineChars="0"/>
        <w:rPr>
          <w:rFonts w:hint="eastAsia" w:ascii="Times New Roman" w:hAnsi="Times New Roman" w:eastAsia="宋体" w:cs="Times New Roman"/>
          <w:sz w:val="20"/>
          <w:szCs w:val="20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sz w:val="20"/>
          <w:szCs w:val="20"/>
          <w:lang w:val="en-US" w:eastAsia="zh-CN" w:bidi="ar-SA"/>
        </w:rPr>
        <w:t xml:space="preserve"> - sd(b): standard deviation of b</w:t>
      </w:r>
    </w:p>
    <w:p>
      <w:pPr>
        <w:pStyle w:val="23"/>
        <w:widowControl w:val="0"/>
        <w:autoSpaceDE w:val="0"/>
        <w:autoSpaceDN w:val="0"/>
        <w:snapToGrid/>
        <w:spacing w:after="0"/>
        <w:ind w:firstLine="0" w:firstLineChars="0"/>
        <w:rPr>
          <w:rFonts w:hint="eastAsia" w:ascii="Times New Roman" w:hAnsi="Times New Roman" w:eastAsia="宋体" w:cs="Times New Roman"/>
          <w:sz w:val="20"/>
          <w:szCs w:val="20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sz w:val="20"/>
          <w:szCs w:val="20"/>
          <w:lang w:val="en-US" w:eastAsia="zh-CN" w:bidi="ar-SA"/>
        </w:rPr>
        <w:t xml:space="preserve"> - z-Test statistic: absolute value of the test statistic of the z-Test with the null hypothesis H0: b=0</w:t>
      </w:r>
    </w:p>
    <w:p>
      <w:pPr>
        <w:pStyle w:val="23"/>
        <w:widowControl w:val="0"/>
        <w:autoSpaceDE w:val="0"/>
        <w:autoSpaceDN w:val="0"/>
        <w:snapToGrid/>
        <w:spacing w:after="0"/>
        <w:ind w:firstLine="0" w:firstLineChars="0"/>
        <w:rPr>
          <w:rFonts w:hint="eastAsia" w:ascii="Times New Roman" w:hAnsi="Times New Roman" w:eastAsia="宋体" w:cs="Times New Roman"/>
          <w:sz w:val="20"/>
          <w:szCs w:val="20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sz w:val="20"/>
          <w:szCs w:val="20"/>
          <w:lang w:val="en-US" w:eastAsia="zh-CN" w:bidi="ar-SA"/>
        </w:rPr>
        <w:t xml:space="preserve"> - p-value: p-value of the z-Test</w:t>
      </w:r>
    </w:p>
    <w:p>
      <w:pPr>
        <w:rPr>
          <w:rFonts w:hint="default"/>
          <w:lang w:val="en-US" w:eastAsia="zh-CN"/>
        </w:rPr>
        <w:sectPr>
          <w:pgSz w:w="12240" w:h="15840"/>
          <w:pgMar w:top="1440" w:right="1440" w:bottom="1440" w:left="1440" w:header="720" w:footer="720" w:gutter="0"/>
          <w:cols w:space="720" w:num="1"/>
          <w:docGrid w:linePitch="360" w:charSpace="0"/>
        </w:sectPr>
      </w:pPr>
    </w:p>
    <w:p/>
    <w:p>
      <w:pPr>
        <w:jc w:val="center"/>
      </w:pPr>
      <w:r>
        <w:rPr>
          <w:b/>
        </w:rPr>
        <w:t>Figure S1</w:t>
      </w:r>
      <w:r>
        <w:t xml:space="preserve">. Single laboratory study - Changes in </w:t>
      </w:r>
      <w:r>
        <w:rPr>
          <w:i/>
        </w:rPr>
        <w:t>Cronobacter</w:t>
      </w:r>
      <w:r>
        <w:t xml:space="preserve"> count of the seed inocula during the sample stabilization period</w:t>
      </w:r>
    </w:p>
    <w:p>
      <w:pPr>
        <w:jc w:val="center"/>
      </w:pPr>
      <w:r>
        <w:drawing>
          <wp:inline distT="0" distB="0" distL="0" distR="0">
            <wp:extent cx="4194810" cy="2517140"/>
            <wp:effectExtent l="0" t="0" r="15240" b="165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4810" cy="2517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ind w:firstLine="361" w:firstLineChars="150"/>
        <w:jc w:val="both"/>
        <w:rPr>
          <w:rFonts w:hint="eastAsia"/>
          <w:b/>
          <w:sz w:val="24"/>
          <w:szCs w:val="24"/>
          <w:lang w:eastAsia="zh-CN"/>
        </w:rPr>
      </w:pPr>
    </w:p>
    <w:p>
      <w:pPr>
        <w:rPr>
          <w:rFonts w:hint="eastAsia"/>
          <w:b/>
          <w:sz w:val="24"/>
          <w:szCs w:val="24"/>
          <w:lang w:eastAsia="zh-CN"/>
        </w:rPr>
      </w:pPr>
      <w:r>
        <w:rPr>
          <w:rFonts w:hint="eastAsia"/>
          <w:b/>
          <w:sz w:val="24"/>
          <w:szCs w:val="24"/>
          <w:lang w:eastAsia="zh-CN"/>
        </w:rPr>
        <w:br w:type="page"/>
      </w:r>
    </w:p>
    <w:p>
      <w:pPr>
        <w:ind w:firstLine="361" w:firstLineChars="150"/>
        <w:jc w:val="both"/>
        <w:rPr>
          <w:rFonts w:hint="eastAsia" w:eastAsiaTheme="minorEastAsia"/>
          <w:b/>
          <w:lang w:eastAsia="zh-CN"/>
        </w:rPr>
      </w:pPr>
      <w:r>
        <w:rPr>
          <w:rFonts w:hint="eastAsia"/>
          <w:b/>
          <w:sz w:val="24"/>
          <w:szCs w:val="24"/>
          <w:lang w:eastAsia="zh-CN"/>
        </w:rPr>
        <w:t>Figure.</w:t>
      </w:r>
      <w:r>
        <w:rPr>
          <w:rFonts w:hint="eastAsia"/>
          <w:b/>
          <w:sz w:val="24"/>
          <w:szCs w:val="24"/>
          <w:lang w:val="en-US" w:eastAsia="zh-CN"/>
        </w:rPr>
        <w:t>S2</w:t>
      </w:r>
      <w:r>
        <w:rPr>
          <w:rFonts w:hint="eastAsia"/>
          <w:b/>
          <w:sz w:val="24"/>
          <w:szCs w:val="24"/>
          <w:lang w:eastAsia="zh-CN"/>
        </w:rPr>
        <w:t xml:space="preserve"> </w:t>
      </w:r>
      <w:r>
        <w:rPr>
          <w:rFonts w:hint="eastAsia"/>
          <w:i/>
          <w:iCs/>
          <w:sz w:val="24"/>
          <w:szCs w:val="24"/>
          <w:lang w:eastAsia="zh-CN"/>
        </w:rPr>
        <w:t xml:space="preserve">gyrB </w:t>
      </w:r>
      <w:r>
        <w:rPr>
          <w:rFonts w:hint="eastAsia"/>
          <w:sz w:val="24"/>
          <w:szCs w:val="24"/>
          <w:lang w:eastAsia="zh-CN"/>
        </w:rPr>
        <w:t>sequencing result of ATCC29544 and dsm18702</w:t>
      </w:r>
    </w:p>
    <w:p>
      <w:pPr>
        <w:spacing w:after="160" w:line="259" w:lineRule="auto"/>
        <w:rPr>
          <w:b/>
        </w:rPr>
      </w:pPr>
      <w:r>
        <w:rPr>
          <w:rFonts w:hint="eastAsia" w:eastAsiaTheme="minorEastAsia"/>
          <w:b/>
          <w:lang w:eastAsia="zh-CN"/>
        </w:rPr>
        <w:drawing>
          <wp:inline distT="0" distB="0" distL="114300" distR="114300">
            <wp:extent cx="5496560" cy="2044700"/>
            <wp:effectExtent l="0" t="0" r="8890" b="12700"/>
            <wp:docPr id="1" name="图片 1" descr="gyrB blast resu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gyrB blast result"/>
                    <pic:cNvPicPr>
                      <a:picLocks noChangeAspect="1"/>
                    </pic:cNvPicPr>
                  </pic:nvPicPr>
                  <pic:blipFill>
                    <a:blip r:embed="rId5"/>
                    <a:srcRect l="1645" r="3411"/>
                    <a:stretch>
                      <a:fillRect/>
                    </a:stretch>
                  </pic:blipFill>
                  <pic:spPr>
                    <a:xfrm>
                      <a:off x="0" y="0"/>
                      <a:ext cx="549656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b/>
        </w:rPr>
      </w:pPr>
      <w:r>
        <w:rPr>
          <w:b/>
        </w:rPr>
        <w:br w:type="page"/>
      </w:r>
    </w:p>
    <w:p>
      <w:pPr>
        <w:jc w:val="center"/>
        <w:rPr>
          <w:b/>
        </w:rPr>
      </w:pPr>
      <w:r>
        <w:rPr>
          <w:b/>
        </w:rPr>
        <w:t>Table S</w:t>
      </w:r>
      <w:r>
        <w:rPr>
          <w:rFonts w:hint="eastAsia"/>
          <w:b/>
          <w:lang w:val="en-US" w:eastAsia="zh-CN"/>
        </w:rPr>
        <w:t>7</w:t>
      </w:r>
      <w:r>
        <w:rPr>
          <w:b/>
        </w:rPr>
        <w:t xml:space="preserve">. </w:t>
      </w:r>
      <w:r>
        <w:t>Interlaboratory study -</w:t>
      </w:r>
      <w:r>
        <w:rPr>
          <w:b/>
        </w:rPr>
        <w:t xml:space="preserve"> </w:t>
      </w:r>
      <w:r>
        <w:t>Thermal stress efficiency of the test culture</w:t>
      </w:r>
    </w:p>
    <w:tbl>
      <w:tblPr>
        <w:tblStyle w:val="8"/>
        <w:tblW w:w="9355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8"/>
        <w:gridCol w:w="1558"/>
        <w:gridCol w:w="1558"/>
        <w:gridCol w:w="1981"/>
        <w:gridCol w:w="270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8" w:type="dxa"/>
            <w:tcBorders>
              <w:top w:val="single" w:color="auto" w:sz="8" w:space="0"/>
            </w:tcBorders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color="auto" w:sz="8" w:space="0"/>
            </w:tcBorders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539" w:type="dxa"/>
            <w:gridSpan w:val="2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Colony count</w:t>
            </w:r>
          </w:p>
        </w:tc>
        <w:tc>
          <w:tcPr>
            <w:tcW w:w="2700" w:type="dxa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Stress efficiency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8" w:type="dxa"/>
            <w:tcBorders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Strain</w:t>
            </w:r>
          </w:p>
        </w:tc>
        <w:tc>
          <w:tcPr>
            <w:tcW w:w="1558" w:type="dxa"/>
            <w:tcBorders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Medium</w:t>
            </w:r>
          </w:p>
        </w:tc>
        <w:tc>
          <w:tcPr>
            <w:tcW w:w="155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CFU/mL</w:t>
            </w:r>
          </w:p>
        </w:tc>
        <w:tc>
          <w:tcPr>
            <w:tcW w:w="198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</w:t>
            </w:r>
            <w:r>
              <w:rPr>
                <w:sz w:val="20"/>
                <w:szCs w:val="20"/>
                <w:vertAlign w:val="subscript"/>
              </w:rPr>
              <w:t>10</w:t>
            </w:r>
            <w:r>
              <w:rPr>
                <w:sz w:val="20"/>
                <w:szCs w:val="20"/>
              </w:rPr>
              <w:t xml:space="preserve"> CFU/mL</w:t>
            </w:r>
          </w:p>
        </w:tc>
        <w:tc>
          <w:tcPr>
            <w:tcW w:w="270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</w:t>
            </w:r>
            <w:r>
              <w:rPr>
                <w:sz w:val="20"/>
                <w:szCs w:val="20"/>
                <w:vertAlign w:val="subscript"/>
              </w:rPr>
              <w:t>10</w:t>
            </w:r>
            <w:r>
              <w:rPr>
                <w:sz w:val="20"/>
                <w:szCs w:val="20"/>
              </w:rPr>
              <w:t xml:space="preserve"> CFU/mL reduction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8" w:type="dxa"/>
            <w:vMerge w:val="restart"/>
            <w:tcBorders>
              <w:top w:val="single" w:color="auto" w:sz="4" w:space="0"/>
              <w:bottom w:val="single" w:color="auto" w:sz="8" w:space="0"/>
            </w:tcBorders>
            <w:vAlign w:val="center"/>
          </w:tcPr>
          <w:p>
            <w:pPr>
              <w:spacing w:after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C. sakazakii</w:t>
            </w:r>
          </w:p>
          <w:p>
            <w:pPr>
              <w:spacing w:after="0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(ATCC 29544)</w:t>
            </w:r>
          </w:p>
        </w:tc>
        <w:tc>
          <w:tcPr>
            <w:tcW w:w="1558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TSA</w:t>
            </w:r>
          </w:p>
        </w:tc>
        <w:tc>
          <w:tcPr>
            <w:tcW w:w="1558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</w:t>
            </w:r>
            <w:r>
              <w:rPr>
                <w:rFonts w:cs="Times New Roman"/>
                <w:sz w:val="20"/>
                <w:szCs w:val="20"/>
              </w:rPr>
              <w:t>×</w:t>
            </w: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981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8.23</w:t>
            </w:r>
          </w:p>
        </w:tc>
        <w:tc>
          <w:tcPr>
            <w:tcW w:w="2700" w:type="dxa"/>
            <w:vMerge w:val="restart"/>
            <w:tcBorders>
              <w:top w:val="single" w:color="auto" w:sz="4" w:space="0"/>
              <w:bottom w:val="single" w:color="auto" w:sz="8" w:space="0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1558" w:type="dxa"/>
            <w:vMerge w:val="continue"/>
            <w:tcBorders>
              <w:top w:val="single" w:color="auto" w:sz="8" w:space="0"/>
              <w:bottom w:val="single" w:color="auto" w:sz="12" w:space="0"/>
            </w:tcBorders>
            <w:vAlign w:val="center"/>
          </w:tcPr>
          <w:p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DFI</w:t>
            </w:r>
          </w:p>
        </w:tc>
        <w:tc>
          <w:tcPr>
            <w:tcW w:w="1558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</w:t>
            </w:r>
            <w:r>
              <w:rPr>
                <w:rFonts w:cs="Times New Roman"/>
                <w:sz w:val="20"/>
                <w:szCs w:val="20"/>
              </w:rPr>
              <w:t>×</w:t>
            </w: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981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6.97</w:t>
            </w:r>
          </w:p>
        </w:tc>
        <w:tc>
          <w:tcPr>
            <w:tcW w:w="2700" w:type="dxa"/>
            <w:vMerge w:val="continue"/>
            <w:tcBorders>
              <w:top w:val="single" w:color="auto" w:sz="8" w:space="0"/>
              <w:bottom w:val="single" w:color="auto" w:sz="12" w:space="0"/>
            </w:tcBorders>
            <w:vAlign w:val="center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>
      <w:pPr>
        <w:rPr>
          <w:b/>
        </w:rPr>
      </w:pPr>
      <w:r>
        <w:rPr>
          <w:b/>
        </w:rPr>
        <w:br w:type="page"/>
      </w:r>
    </w:p>
    <w:p>
      <w:pPr>
        <w:jc w:val="center"/>
        <w:rPr>
          <w:b/>
        </w:rPr>
      </w:pPr>
    </w:p>
    <w:p>
      <w:pPr>
        <w:jc w:val="center"/>
        <w:rPr>
          <w:b/>
        </w:rPr>
      </w:pPr>
      <w:r>
        <w:rPr>
          <w:b/>
        </w:rPr>
        <w:t>Figure S</w:t>
      </w:r>
      <w:r>
        <w:rPr>
          <w:rFonts w:hint="eastAsia"/>
          <w:b/>
          <w:lang w:val="en-US" w:eastAsia="zh-CN"/>
        </w:rPr>
        <w:t>3</w:t>
      </w:r>
      <w:r>
        <w:rPr>
          <w:b/>
        </w:rPr>
        <w:t xml:space="preserve">. </w:t>
      </w:r>
      <w:r>
        <w:t xml:space="preserve">Interlaboratory study - Changes in </w:t>
      </w:r>
      <w:r>
        <w:rPr>
          <w:i/>
        </w:rPr>
        <w:t>Cronobacter</w:t>
      </w:r>
      <w:r>
        <w:t xml:space="preserve"> count of the seed inocula during the sample stabilization period</w:t>
      </w:r>
    </w:p>
    <w:p>
      <w:pPr>
        <w:jc w:val="center"/>
        <w:rPr>
          <w:b/>
        </w:rPr>
      </w:pPr>
      <w:r>
        <w:rPr>
          <w:b/>
        </w:rPr>
        <w:drawing>
          <wp:inline distT="0" distB="0" distL="0" distR="0">
            <wp:extent cx="5788025" cy="3709035"/>
            <wp:effectExtent l="0" t="0" r="3175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88152" cy="37093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after="160" w:line="259" w:lineRule="auto"/>
        <w:rPr>
          <w:b/>
        </w:rPr>
      </w:pPr>
      <w:r>
        <w:rPr>
          <w:b/>
        </w:rPr>
        <w:br w:type="page"/>
      </w:r>
    </w:p>
    <w:p>
      <w:pPr>
        <w:jc w:val="center"/>
        <w:rPr>
          <w:highlight w:val="none"/>
        </w:rPr>
      </w:pPr>
      <w:r>
        <w:rPr>
          <w:b/>
          <w:highlight w:val="none"/>
        </w:rPr>
        <w:t>Table S</w:t>
      </w:r>
      <w:r>
        <w:rPr>
          <w:rFonts w:hint="eastAsia"/>
          <w:b/>
          <w:highlight w:val="none"/>
          <w:lang w:val="en-US" w:eastAsia="zh-CN"/>
        </w:rPr>
        <w:t>8</w:t>
      </w:r>
      <w:r>
        <w:rPr>
          <w:b/>
          <w:highlight w:val="none"/>
        </w:rPr>
        <w:t xml:space="preserve">. </w:t>
      </w:r>
      <w:r>
        <w:rPr>
          <w:highlight w:val="none"/>
        </w:rPr>
        <w:t>Interlaboratory study – Sample condition upon receipt and analysis dates</w:t>
      </w:r>
    </w:p>
    <w:tbl>
      <w:tblPr>
        <w:tblStyle w:val="8"/>
        <w:tblW w:w="9450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1543"/>
        <w:gridCol w:w="1788"/>
        <w:gridCol w:w="1466"/>
        <w:gridCol w:w="1786"/>
        <w:gridCol w:w="162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Collaborator</w:t>
            </w:r>
          </w:p>
        </w:tc>
        <w:tc>
          <w:tcPr>
            <w:tcW w:w="1543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Sample shipment date</w:t>
            </w:r>
          </w:p>
        </w:tc>
        <w:tc>
          <w:tcPr>
            <w:tcW w:w="1788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Temperature upon shipping (°C)</w:t>
            </w:r>
          </w:p>
        </w:tc>
        <w:tc>
          <w:tcPr>
            <w:tcW w:w="1466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Sample receipt date</w:t>
            </w:r>
          </w:p>
        </w:tc>
        <w:tc>
          <w:tcPr>
            <w:tcW w:w="1786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Temperature upon receipt (°C)</w:t>
            </w:r>
          </w:p>
        </w:tc>
        <w:tc>
          <w:tcPr>
            <w:tcW w:w="1620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Sample analysis date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tcBorders>
              <w:top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Cs/>
                <w:sz w:val="20"/>
                <w:szCs w:val="20"/>
                <w:highlight w:val="none"/>
              </w:rPr>
              <w:t>1</w:t>
            </w:r>
          </w:p>
        </w:tc>
        <w:tc>
          <w:tcPr>
            <w:tcW w:w="1543" w:type="dxa"/>
            <w:tcBorders>
              <w:top w:val="single" w:color="auto" w:sz="4" w:space="0"/>
            </w:tcBorders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Cs/>
                <w:sz w:val="20"/>
                <w:szCs w:val="20"/>
                <w:highlight w:val="none"/>
              </w:rPr>
              <w:t>5/20/2019</w:t>
            </w:r>
          </w:p>
        </w:tc>
        <w:tc>
          <w:tcPr>
            <w:tcW w:w="1788" w:type="dxa"/>
            <w:tcBorders>
              <w:top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Cs/>
                <w:sz w:val="20"/>
                <w:szCs w:val="20"/>
                <w:highlight w:val="none"/>
              </w:rPr>
              <w:t>4</w:t>
            </w:r>
          </w:p>
        </w:tc>
        <w:tc>
          <w:tcPr>
            <w:tcW w:w="1466" w:type="dxa"/>
            <w:tcBorders>
              <w:top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 xml:space="preserve">5/22/2019 </w:t>
            </w:r>
          </w:p>
        </w:tc>
        <w:tc>
          <w:tcPr>
            <w:tcW w:w="1786" w:type="dxa"/>
            <w:tcBorders>
              <w:top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Cs/>
                <w:sz w:val="20"/>
                <w:szCs w:val="20"/>
                <w:highlight w:val="none"/>
              </w:rPr>
              <w:t>24</w:t>
            </w:r>
          </w:p>
        </w:tc>
        <w:tc>
          <w:tcPr>
            <w:tcW w:w="1620" w:type="dxa"/>
            <w:tcBorders>
              <w:top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5/29/2019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Cs/>
                <w:sz w:val="20"/>
                <w:szCs w:val="20"/>
                <w:highlight w:val="none"/>
              </w:rPr>
              <w:t>2</w:t>
            </w:r>
          </w:p>
        </w:tc>
        <w:tc>
          <w:tcPr>
            <w:tcW w:w="1543" w:type="dxa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Cs/>
                <w:sz w:val="20"/>
                <w:szCs w:val="20"/>
                <w:highlight w:val="none"/>
              </w:rPr>
              <w:t>5/20/2019</w:t>
            </w:r>
          </w:p>
        </w:tc>
        <w:tc>
          <w:tcPr>
            <w:tcW w:w="1788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Cs/>
                <w:sz w:val="20"/>
                <w:szCs w:val="20"/>
                <w:highlight w:val="none"/>
              </w:rPr>
              <w:t>4</w:t>
            </w:r>
          </w:p>
        </w:tc>
        <w:tc>
          <w:tcPr>
            <w:tcW w:w="1466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 xml:space="preserve">5/22/2019 </w:t>
            </w:r>
          </w:p>
        </w:tc>
        <w:tc>
          <w:tcPr>
            <w:tcW w:w="1786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Cs/>
                <w:sz w:val="20"/>
                <w:szCs w:val="20"/>
                <w:highlight w:val="none"/>
              </w:rPr>
              <w:t>6</w:t>
            </w:r>
          </w:p>
        </w:tc>
        <w:tc>
          <w:tcPr>
            <w:tcW w:w="162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5/27/2019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Cs/>
                <w:sz w:val="20"/>
                <w:szCs w:val="20"/>
                <w:highlight w:val="none"/>
              </w:rPr>
              <w:t>3</w:t>
            </w:r>
          </w:p>
        </w:tc>
        <w:tc>
          <w:tcPr>
            <w:tcW w:w="1543" w:type="dxa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Cs/>
                <w:sz w:val="20"/>
                <w:szCs w:val="20"/>
                <w:highlight w:val="none"/>
              </w:rPr>
              <w:t>5/20/2019</w:t>
            </w:r>
          </w:p>
        </w:tc>
        <w:tc>
          <w:tcPr>
            <w:tcW w:w="1788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Cs/>
                <w:sz w:val="20"/>
                <w:szCs w:val="20"/>
                <w:highlight w:val="none"/>
              </w:rPr>
              <w:t>4</w:t>
            </w:r>
          </w:p>
        </w:tc>
        <w:tc>
          <w:tcPr>
            <w:tcW w:w="1466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 xml:space="preserve">5/22/2019 </w:t>
            </w:r>
          </w:p>
        </w:tc>
        <w:tc>
          <w:tcPr>
            <w:tcW w:w="1786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Cs/>
                <w:sz w:val="20"/>
                <w:szCs w:val="20"/>
                <w:highlight w:val="none"/>
              </w:rPr>
              <w:t>4</w:t>
            </w:r>
          </w:p>
        </w:tc>
        <w:tc>
          <w:tcPr>
            <w:tcW w:w="162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5/27/2019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Cs/>
                <w:sz w:val="20"/>
                <w:szCs w:val="20"/>
                <w:highlight w:val="none"/>
              </w:rPr>
              <w:t>4</w:t>
            </w:r>
          </w:p>
        </w:tc>
        <w:tc>
          <w:tcPr>
            <w:tcW w:w="1543" w:type="dxa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Cs/>
                <w:sz w:val="20"/>
                <w:szCs w:val="20"/>
                <w:highlight w:val="none"/>
              </w:rPr>
              <w:t>5/20/2019</w:t>
            </w:r>
          </w:p>
        </w:tc>
        <w:tc>
          <w:tcPr>
            <w:tcW w:w="1788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Cs/>
                <w:sz w:val="20"/>
                <w:szCs w:val="20"/>
                <w:highlight w:val="none"/>
              </w:rPr>
              <w:t>4</w:t>
            </w:r>
          </w:p>
        </w:tc>
        <w:tc>
          <w:tcPr>
            <w:tcW w:w="1466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 xml:space="preserve">5/22/2019 </w:t>
            </w:r>
          </w:p>
        </w:tc>
        <w:tc>
          <w:tcPr>
            <w:tcW w:w="1786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Cs/>
                <w:sz w:val="20"/>
                <w:szCs w:val="20"/>
                <w:highlight w:val="none"/>
              </w:rPr>
              <w:t>8.2</w:t>
            </w:r>
          </w:p>
        </w:tc>
        <w:tc>
          <w:tcPr>
            <w:tcW w:w="162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5/22/2019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Cs/>
                <w:sz w:val="20"/>
                <w:szCs w:val="20"/>
                <w:highlight w:val="none"/>
              </w:rPr>
              <w:t>5</w:t>
            </w:r>
          </w:p>
        </w:tc>
        <w:tc>
          <w:tcPr>
            <w:tcW w:w="1543" w:type="dxa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Cs/>
                <w:sz w:val="20"/>
                <w:szCs w:val="20"/>
                <w:highlight w:val="none"/>
              </w:rPr>
              <w:t>5/20/2019</w:t>
            </w:r>
          </w:p>
        </w:tc>
        <w:tc>
          <w:tcPr>
            <w:tcW w:w="1788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Cs/>
                <w:sz w:val="20"/>
                <w:szCs w:val="20"/>
                <w:highlight w:val="none"/>
              </w:rPr>
              <w:t>4</w:t>
            </w:r>
          </w:p>
        </w:tc>
        <w:tc>
          <w:tcPr>
            <w:tcW w:w="1466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 xml:space="preserve">5/21/2019 </w:t>
            </w:r>
          </w:p>
        </w:tc>
        <w:tc>
          <w:tcPr>
            <w:tcW w:w="1786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Cs/>
                <w:sz w:val="20"/>
                <w:szCs w:val="20"/>
                <w:highlight w:val="none"/>
              </w:rPr>
              <w:t>8</w:t>
            </w:r>
          </w:p>
        </w:tc>
        <w:tc>
          <w:tcPr>
            <w:tcW w:w="162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5/26/2019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Cs/>
                <w:sz w:val="20"/>
                <w:szCs w:val="20"/>
                <w:highlight w:val="none"/>
              </w:rPr>
              <w:t>6</w:t>
            </w:r>
          </w:p>
        </w:tc>
        <w:tc>
          <w:tcPr>
            <w:tcW w:w="1543" w:type="dxa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Cs/>
                <w:sz w:val="20"/>
                <w:szCs w:val="20"/>
                <w:highlight w:val="none"/>
              </w:rPr>
              <w:t>5/20/2019</w:t>
            </w:r>
          </w:p>
        </w:tc>
        <w:tc>
          <w:tcPr>
            <w:tcW w:w="1788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Cs/>
                <w:sz w:val="20"/>
                <w:szCs w:val="20"/>
                <w:highlight w:val="none"/>
              </w:rPr>
              <w:t>4</w:t>
            </w:r>
          </w:p>
        </w:tc>
        <w:tc>
          <w:tcPr>
            <w:tcW w:w="1466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 xml:space="preserve">5/22/2019 </w:t>
            </w:r>
          </w:p>
        </w:tc>
        <w:tc>
          <w:tcPr>
            <w:tcW w:w="1786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Cs/>
                <w:sz w:val="20"/>
                <w:szCs w:val="20"/>
                <w:highlight w:val="none"/>
              </w:rPr>
              <w:t>Not measured</w:t>
            </w:r>
          </w:p>
        </w:tc>
        <w:tc>
          <w:tcPr>
            <w:tcW w:w="162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5/22/2019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Cs/>
                <w:sz w:val="20"/>
                <w:szCs w:val="20"/>
                <w:highlight w:val="none"/>
              </w:rPr>
              <w:t>7</w:t>
            </w:r>
          </w:p>
        </w:tc>
        <w:tc>
          <w:tcPr>
            <w:tcW w:w="1543" w:type="dxa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Cs/>
                <w:sz w:val="20"/>
                <w:szCs w:val="20"/>
                <w:highlight w:val="none"/>
              </w:rPr>
              <w:t>5/20/2019</w:t>
            </w:r>
          </w:p>
        </w:tc>
        <w:tc>
          <w:tcPr>
            <w:tcW w:w="1788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Cs/>
                <w:sz w:val="20"/>
                <w:szCs w:val="20"/>
                <w:highlight w:val="none"/>
              </w:rPr>
              <w:t>4</w:t>
            </w:r>
          </w:p>
        </w:tc>
        <w:tc>
          <w:tcPr>
            <w:tcW w:w="1466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 xml:space="preserve">5/21/2019 </w:t>
            </w:r>
          </w:p>
        </w:tc>
        <w:tc>
          <w:tcPr>
            <w:tcW w:w="1786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Cs/>
                <w:sz w:val="20"/>
                <w:szCs w:val="20"/>
                <w:highlight w:val="none"/>
              </w:rPr>
              <w:t>20</w:t>
            </w:r>
          </w:p>
        </w:tc>
        <w:tc>
          <w:tcPr>
            <w:tcW w:w="162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5/21/2019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Cs/>
                <w:sz w:val="20"/>
                <w:szCs w:val="20"/>
                <w:highlight w:val="none"/>
              </w:rPr>
              <w:t>8</w:t>
            </w:r>
          </w:p>
        </w:tc>
        <w:tc>
          <w:tcPr>
            <w:tcW w:w="1543" w:type="dxa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Cs/>
                <w:sz w:val="20"/>
                <w:szCs w:val="20"/>
                <w:highlight w:val="none"/>
              </w:rPr>
              <w:t>5/20/2019</w:t>
            </w:r>
          </w:p>
        </w:tc>
        <w:tc>
          <w:tcPr>
            <w:tcW w:w="1788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Cs/>
                <w:sz w:val="20"/>
                <w:szCs w:val="20"/>
                <w:highlight w:val="none"/>
              </w:rPr>
              <w:t>4</w:t>
            </w:r>
          </w:p>
        </w:tc>
        <w:tc>
          <w:tcPr>
            <w:tcW w:w="1466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 xml:space="preserve">5/21/2019 </w:t>
            </w:r>
          </w:p>
        </w:tc>
        <w:tc>
          <w:tcPr>
            <w:tcW w:w="1786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Cs/>
                <w:sz w:val="20"/>
                <w:szCs w:val="20"/>
                <w:highlight w:val="none"/>
              </w:rPr>
              <w:t>4</w:t>
            </w:r>
          </w:p>
        </w:tc>
        <w:tc>
          <w:tcPr>
            <w:tcW w:w="162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5/21/2019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Cs/>
                <w:sz w:val="20"/>
                <w:szCs w:val="20"/>
                <w:highlight w:val="none"/>
              </w:rPr>
              <w:t>9</w:t>
            </w:r>
          </w:p>
        </w:tc>
        <w:tc>
          <w:tcPr>
            <w:tcW w:w="1543" w:type="dxa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Cs/>
                <w:sz w:val="20"/>
                <w:szCs w:val="20"/>
                <w:highlight w:val="none"/>
              </w:rPr>
              <w:t>5/20/2019</w:t>
            </w:r>
          </w:p>
        </w:tc>
        <w:tc>
          <w:tcPr>
            <w:tcW w:w="1788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Cs/>
                <w:sz w:val="20"/>
                <w:szCs w:val="20"/>
                <w:highlight w:val="none"/>
              </w:rPr>
              <w:t>4</w:t>
            </w:r>
          </w:p>
        </w:tc>
        <w:tc>
          <w:tcPr>
            <w:tcW w:w="1466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 xml:space="preserve">5/21/2019 </w:t>
            </w:r>
          </w:p>
        </w:tc>
        <w:tc>
          <w:tcPr>
            <w:tcW w:w="1786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Cs/>
                <w:sz w:val="20"/>
                <w:szCs w:val="20"/>
                <w:highlight w:val="none"/>
              </w:rPr>
              <w:t>6</w:t>
            </w:r>
          </w:p>
        </w:tc>
        <w:tc>
          <w:tcPr>
            <w:tcW w:w="162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5/21/2019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Cs/>
                <w:sz w:val="20"/>
                <w:szCs w:val="20"/>
                <w:highlight w:val="none"/>
              </w:rPr>
              <w:t>10</w:t>
            </w:r>
          </w:p>
        </w:tc>
        <w:tc>
          <w:tcPr>
            <w:tcW w:w="1543" w:type="dxa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Cs/>
                <w:sz w:val="20"/>
                <w:szCs w:val="20"/>
                <w:highlight w:val="none"/>
              </w:rPr>
              <w:t>5/20/2019</w:t>
            </w:r>
          </w:p>
        </w:tc>
        <w:tc>
          <w:tcPr>
            <w:tcW w:w="1788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Cs/>
                <w:sz w:val="20"/>
                <w:szCs w:val="20"/>
                <w:highlight w:val="none"/>
              </w:rPr>
              <w:t>4</w:t>
            </w:r>
          </w:p>
        </w:tc>
        <w:tc>
          <w:tcPr>
            <w:tcW w:w="1466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 xml:space="preserve">5/23/2019 </w:t>
            </w:r>
          </w:p>
        </w:tc>
        <w:tc>
          <w:tcPr>
            <w:tcW w:w="1786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Cs/>
                <w:sz w:val="20"/>
                <w:szCs w:val="20"/>
                <w:highlight w:val="none"/>
              </w:rPr>
              <w:t>6</w:t>
            </w:r>
          </w:p>
        </w:tc>
        <w:tc>
          <w:tcPr>
            <w:tcW w:w="162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5/23/2019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Cs/>
                <w:sz w:val="20"/>
                <w:szCs w:val="20"/>
                <w:highlight w:val="none"/>
              </w:rPr>
              <w:t>11</w:t>
            </w:r>
          </w:p>
        </w:tc>
        <w:tc>
          <w:tcPr>
            <w:tcW w:w="1543" w:type="dxa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Cs/>
                <w:sz w:val="20"/>
                <w:szCs w:val="20"/>
                <w:highlight w:val="none"/>
              </w:rPr>
              <w:t>5/20/2019</w:t>
            </w:r>
          </w:p>
        </w:tc>
        <w:tc>
          <w:tcPr>
            <w:tcW w:w="1788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Cs/>
                <w:sz w:val="20"/>
                <w:szCs w:val="20"/>
                <w:highlight w:val="none"/>
              </w:rPr>
              <w:t>4</w:t>
            </w:r>
          </w:p>
        </w:tc>
        <w:tc>
          <w:tcPr>
            <w:tcW w:w="1466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 xml:space="preserve">5/21/2019 </w:t>
            </w:r>
          </w:p>
        </w:tc>
        <w:tc>
          <w:tcPr>
            <w:tcW w:w="1786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Cs/>
                <w:sz w:val="20"/>
                <w:szCs w:val="20"/>
                <w:highlight w:val="none"/>
              </w:rPr>
              <w:t>Not measured</w:t>
            </w:r>
          </w:p>
        </w:tc>
        <w:tc>
          <w:tcPr>
            <w:tcW w:w="162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5/21/2019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Cs/>
                <w:sz w:val="20"/>
                <w:szCs w:val="20"/>
                <w:highlight w:val="none"/>
              </w:rPr>
              <w:t>12</w:t>
            </w:r>
          </w:p>
        </w:tc>
        <w:tc>
          <w:tcPr>
            <w:tcW w:w="1543" w:type="dxa"/>
            <w:tcBorders>
              <w:bottom w:val="single" w:color="auto" w:sz="8" w:space="0"/>
            </w:tcBorders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Cs/>
                <w:sz w:val="20"/>
                <w:szCs w:val="20"/>
                <w:highlight w:val="none"/>
              </w:rPr>
              <w:t>5/20/2019</w:t>
            </w:r>
          </w:p>
        </w:tc>
        <w:tc>
          <w:tcPr>
            <w:tcW w:w="1788" w:type="dxa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Cs/>
                <w:sz w:val="20"/>
                <w:szCs w:val="20"/>
                <w:highlight w:val="none"/>
              </w:rPr>
              <w:t>4</w:t>
            </w:r>
          </w:p>
        </w:tc>
        <w:tc>
          <w:tcPr>
            <w:tcW w:w="1466" w:type="dxa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 xml:space="preserve">5/21/2019 </w:t>
            </w:r>
          </w:p>
        </w:tc>
        <w:tc>
          <w:tcPr>
            <w:tcW w:w="1786" w:type="dxa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Cs/>
                <w:sz w:val="20"/>
                <w:szCs w:val="20"/>
                <w:highlight w:val="none"/>
              </w:rPr>
              <w:t>15.8</w:t>
            </w:r>
          </w:p>
        </w:tc>
        <w:tc>
          <w:tcPr>
            <w:tcW w:w="1620" w:type="dxa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cs="Times New Roman"/>
                <w:sz w:val="20"/>
                <w:szCs w:val="20"/>
                <w:highlight w:val="none"/>
              </w:rPr>
              <w:t>5/27/2019</w:t>
            </w:r>
          </w:p>
        </w:tc>
      </w:tr>
    </w:tbl>
    <w:p>
      <w:pPr>
        <w:jc w:val="center"/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/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jc w:val="center"/>
      </w:pPr>
      <w:r>
        <w:rPr>
          <w:b/>
        </w:rPr>
        <w:t xml:space="preserve">Table </w:t>
      </w:r>
      <w:r>
        <w:t>S</w:t>
      </w:r>
      <w:r>
        <w:rPr>
          <w:rFonts w:hint="eastAsia"/>
          <w:lang w:val="en-US" w:eastAsia="zh-CN"/>
        </w:rPr>
        <w:t>9</w:t>
      </w:r>
      <w:r>
        <w:t>. Interlaboratory Study - Results reported by collaborating laboratories (reference &amp; alternative methods)</w:t>
      </w:r>
    </w:p>
    <w:tbl>
      <w:tblPr>
        <w:tblStyle w:val="8"/>
        <w:tblW w:w="0" w:type="auto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300"/>
        <w:gridCol w:w="1300"/>
        <w:gridCol w:w="1300"/>
        <w:gridCol w:w="1300"/>
        <w:gridCol w:w="1300"/>
        <w:gridCol w:w="1300"/>
        <w:gridCol w:w="1300"/>
        <w:gridCol w:w="1300"/>
        <w:gridCol w:w="1300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vMerge w:val="restart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snapToGrid w:val="0"/>
              <w:spacing w:after="0" w:line="28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Collaborator</w:t>
            </w:r>
          </w:p>
        </w:tc>
        <w:tc>
          <w:tcPr>
            <w:tcW w:w="11700" w:type="dxa"/>
            <w:gridSpan w:val="9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Contamination Level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rPr>
                <w:sz w:val="20"/>
                <w:szCs w:val="20"/>
              </w:rPr>
            </w:pPr>
          </w:p>
        </w:tc>
        <w:tc>
          <w:tcPr>
            <w:tcW w:w="390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 Method</w:t>
            </w:r>
          </w:p>
        </w:tc>
        <w:tc>
          <w:tcPr>
            <w:tcW w:w="3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 Method</w:t>
            </w:r>
          </w:p>
        </w:tc>
        <w:tc>
          <w:tcPr>
            <w:tcW w:w="3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 Method Confirmed by Reference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i/>
                <w:sz w:val="20"/>
                <w:szCs w:val="20"/>
                <w:vertAlign w:val="subscript"/>
              </w:rPr>
            </w:pPr>
            <w:r>
              <w:rPr>
                <w:i/>
                <w:sz w:val="20"/>
                <w:szCs w:val="20"/>
              </w:rPr>
              <w:t>L</w:t>
            </w:r>
            <w:r>
              <w:rPr>
                <w:i/>
                <w:sz w:val="20"/>
                <w:szCs w:val="20"/>
                <w:vertAlign w:val="subscript"/>
              </w:rPr>
              <w:t>0</w:t>
            </w:r>
          </w:p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0 MPN/10g</w:t>
            </w:r>
          </w:p>
        </w:tc>
        <w:tc>
          <w:tcPr>
            <w:tcW w:w="13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i/>
                <w:sz w:val="20"/>
                <w:szCs w:val="20"/>
                <w:vertAlign w:val="subscript"/>
              </w:rPr>
            </w:pPr>
            <w:r>
              <w:rPr>
                <w:i/>
                <w:sz w:val="20"/>
                <w:szCs w:val="20"/>
              </w:rPr>
              <w:t>L</w:t>
            </w:r>
            <w:r>
              <w:rPr>
                <w:i/>
                <w:sz w:val="20"/>
                <w:szCs w:val="20"/>
                <w:vertAlign w:val="subscript"/>
              </w:rPr>
              <w:t>1</w:t>
            </w:r>
          </w:p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1.30 MPN/10g</w:t>
            </w:r>
          </w:p>
        </w:tc>
        <w:tc>
          <w:tcPr>
            <w:tcW w:w="13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i/>
                <w:sz w:val="20"/>
                <w:szCs w:val="20"/>
                <w:vertAlign w:val="subscript"/>
              </w:rPr>
            </w:pPr>
            <w:r>
              <w:rPr>
                <w:i/>
                <w:sz w:val="20"/>
                <w:szCs w:val="20"/>
              </w:rPr>
              <w:t>L</w:t>
            </w:r>
            <w:r>
              <w:rPr>
                <w:i/>
                <w:sz w:val="20"/>
                <w:szCs w:val="20"/>
                <w:vertAlign w:val="subscript"/>
              </w:rPr>
              <w:t>2</w:t>
            </w:r>
          </w:p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2.21 MPN/10g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i/>
                <w:sz w:val="20"/>
                <w:szCs w:val="20"/>
                <w:vertAlign w:val="subscript"/>
              </w:rPr>
            </w:pPr>
            <w:r>
              <w:rPr>
                <w:i/>
                <w:sz w:val="20"/>
                <w:szCs w:val="20"/>
              </w:rPr>
              <w:t>L</w:t>
            </w:r>
            <w:r>
              <w:rPr>
                <w:i/>
                <w:sz w:val="20"/>
                <w:szCs w:val="20"/>
                <w:vertAlign w:val="subscript"/>
              </w:rPr>
              <w:t>0</w:t>
            </w:r>
          </w:p>
          <w:p>
            <w:pPr>
              <w:snapToGrid w:val="0"/>
              <w:spacing w:after="0" w:line="288" w:lineRule="auto"/>
              <w:jc w:val="center"/>
              <w:rPr>
                <w:i/>
                <w:sz w:val="20"/>
                <w:szCs w:val="20"/>
              </w:rPr>
            </w:pPr>
            <w:r>
              <w:rPr>
                <w:sz w:val="18"/>
                <w:szCs w:val="20"/>
              </w:rPr>
              <w:t>0 MPN/10g</w:t>
            </w:r>
          </w:p>
        </w:tc>
        <w:tc>
          <w:tcPr>
            <w:tcW w:w="130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napToGrid w:val="0"/>
              <w:spacing w:after="0" w:line="288" w:lineRule="auto"/>
              <w:jc w:val="center"/>
              <w:rPr>
                <w:i/>
                <w:sz w:val="20"/>
                <w:szCs w:val="20"/>
                <w:vertAlign w:val="subscript"/>
              </w:rPr>
            </w:pPr>
            <w:r>
              <w:rPr>
                <w:i/>
                <w:sz w:val="20"/>
                <w:szCs w:val="20"/>
              </w:rPr>
              <w:t>L</w:t>
            </w:r>
            <w:r>
              <w:rPr>
                <w:i/>
                <w:sz w:val="20"/>
                <w:szCs w:val="20"/>
                <w:vertAlign w:val="subscript"/>
              </w:rPr>
              <w:t>1</w:t>
            </w:r>
          </w:p>
          <w:p>
            <w:pPr>
              <w:snapToGrid w:val="0"/>
              <w:spacing w:after="0" w:line="288" w:lineRule="auto"/>
              <w:jc w:val="center"/>
              <w:rPr>
                <w:i/>
                <w:sz w:val="20"/>
                <w:szCs w:val="20"/>
              </w:rPr>
            </w:pPr>
            <w:r>
              <w:rPr>
                <w:sz w:val="18"/>
                <w:szCs w:val="20"/>
              </w:rPr>
              <w:t>1.30 MPN/10g</w:t>
            </w:r>
          </w:p>
        </w:tc>
        <w:tc>
          <w:tcPr>
            <w:tcW w:w="13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after="0" w:line="288" w:lineRule="auto"/>
              <w:jc w:val="center"/>
              <w:rPr>
                <w:i/>
                <w:sz w:val="20"/>
                <w:szCs w:val="20"/>
                <w:vertAlign w:val="subscript"/>
              </w:rPr>
            </w:pPr>
            <w:r>
              <w:rPr>
                <w:i/>
                <w:sz w:val="20"/>
                <w:szCs w:val="20"/>
              </w:rPr>
              <w:t>L</w:t>
            </w:r>
            <w:r>
              <w:rPr>
                <w:i/>
                <w:sz w:val="20"/>
                <w:szCs w:val="20"/>
                <w:vertAlign w:val="subscript"/>
              </w:rPr>
              <w:t>2</w:t>
            </w:r>
          </w:p>
          <w:p>
            <w:pPr>
              <w:snapToGrid w:val="0"/>
              <w:spacing w:after="0" w:line="288" w:lineRule="auto"/>
              <w:jc w:val="center"/>
              <w:rPr>
                <w:i/>
                <w:sz w:val="20"/>
                <w:szCs w:val="20"/>
              </w:rPr>
            </w:pPr>
            <w:r>
              <w:rPr>
                <w:sz w:val="18"/>
                <w:szCs w:val="20"/>
              </w:rPr>
              <w:t>2.21 MPN/10g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i/>
                <w:sz w:val="20"/>
                <w:szCs w:val="20"/>
                <w:vertAlign w:val="subscript"/>
              </w:rPr>
            </w:pPr>
            <w:r>
              <w:rPr>
                <w:i/>
                <w:sz w:val="20"/>
                <w:szCs w:val="20"/>
              </w:rPr>
              <w:t>L</w:t>
            </w:r>
            <w:r>
              <w:rPr>
                <w:i/>
                <w:sz w:val="20"/>
                <w:szCs w:val="20"/>
                <w:vertAlign w:val="subscript"/>
              </w:rPr>
              <w:t>0</w:t>
            </w:r>
          </w:p>
          <w:p>
            <w:pPr>
              <w:snapToGrid w:val="0"/>
              <w:spacing w:after="0" w:line="288" w:lineRule="auto"/>
              <w:jc w:val="center"/>
              <w:rPr>
                <w:i/>
                <w:sz w:val="20"/>
                <w:szCs w:val="20"/>
              </w:rPr>
            </w:pPr>
            <w:r>
              <w:rPr>
                <w:sz w:val="18"/>
                <w:szCs w:val="20"/>
              </w:rPr>
              <w:t>0 MPN/10g</w:t>
            </w:r>
          </w:p>
        </w:tc>
        <w:tc>
          <w:tcPr>
            <w:tcW w:w="130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napToGrid w:val="0"/>
              <w:spacing w:after="0" w:line="288" w:lineRule="auto"/>
              <w:jc w:val="center"/>
              <w:rPr>
                <w:i/>
                <w:sz w:val="20"/>
                <w:szCs w:val="20"/>
                <w:vertAlign w:val="subscript"/>
              </w:rPr>
            </w:pPr>
            <w:r>
              <w:rPr>
                <w:i/>
                <w:sz w:val="20"/>
                <w:szCs w:val="20"/>
              </w:rPr>
              <w:t>L</w:t>
            </w:r>
            <w:r>
              <w:rPr>
                <w:i/>
                <w:sz w:val="20"/>
                <w:szCs w:val="20"/>
                <w:vertAlign w:val="subscript"/>
              </w:rPr>
              <w:t>1</w:t>
            </w:r>
          </w:p>
          <w:p>
            <w:pPr>
              <w:snapToGrid w:val="0"/>
              <w:spacing w:after="0" w:line="288" w:lineRule="auto"/>
              <w:jc w:val="center"/>
              <w:rPr>
                <w:i/>
                <w:sz w:val="20"/>
                <w:szCs w:val="20"/>
              </w:rPr>
            </w:pPr>
            <w:r>
              <w:rPr>
                <w:sz w:val="18"/>
                <w:szCs w:val="20"/>
              </w:rPr>
              <w:t>1.30 MPN/10g</w:t>
            </w:r>
          </w:p>
        </w:tc>
        <w:tc>
          <w:tcPr>
            <w:tcW w:w="130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napToGrid w:val="0"/>
              <w:spacing w:after="0" w:line="288" w:lineRule="auto"/>
              <w:jc w:val="center"/>
              <w:rPr>
                <w:i/>
                <w:sz w:val="20"/>
                <w:szCs w:val="20"/>
                <w:vertAlign w:val="subscript"/>
              </w:rPr>
            </w:pPr>
            <w:r>
              <w:rPr>
                <w:i/>
                <w:sz w:val="20"/>
                <w:szCs w:val="20"/>
              </w:rPr>
              <w:t>L</w:t>
            </w:r>
            <w:r>
              <w:rPr>
                <w:i/>
                <w:sz w:val="20"/>
                <w:szCs w:val="20"/>
                <w:vertAlign w:val="subscript"/>
              </w:rPr>
              <w:t>2</w:t>
            </w:r>
          </w:p>
          <w:p>
            <w:pPr>
              <w:snapToGrid w:val="0"/>
              <w:spacing w:after="0" w:line="288" w:lineRule="auto"/>
              <w:jc w:val="center"/>
              <w:rPr>
                <w:i/>
                <w:sz w:val="20"/>
                <w:szCs w:val="20"/>
              </w:rPr>
            </w:pPr>
            <w:r>
              <w:rPr>
                <w:sz w:val="18"/>
                <w:szCs w:val="20"/>
              </w:rPr>
              <w:t>2.21 MPN/10g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tcBorders>
              <w:top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Laboratory 1</w:t>
            </w:r>
          </w:p>
        </w:tc>
        <w:tc>
          <w:tcPr>
            <w:tcW w:w="1300" w:type="dxa"/>
            <w:tcBorders>
              <w:top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0/8</w:t>
            </w:r>
          </w:p>
        </w:tc>
        <w:tc>
          <w:tcPr>
            <w:tcW w:w="1300" w:type="dxa"/>
            <w:tcBorders>
              <w:top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3/8</w:t>
            </w:r>
          </w:p>
        </w:tc>
        <w:tc>
          <w:tcPr>
            <w:tcW w:w="130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5/8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0/8</w:t>
            </w:r>
            <w:r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00" w:type="dxa"/>
            <w:tcBorders>
              <w:top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/>
                <w:sz w:val="20"/>
                <w:szCs w:val="20"/>
              </w:rPr>
              <w:t>/8</w:t>
            </w:r>
            <w:r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0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/>
                <w:sz w:val="20"/>
                <w:szCs w:val="20"/>
              </w:rPr>
              <w:t>/8</w:t>
            </w:r>
            <w:r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0/8</w:t>
            </w:r>
            <w:r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00" w:type="dxa"/>
            <w:tcBorders>
              <w:top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/>
                <w:sz w:val="20"/>
                <w:szCs w:val="20"/>
              </w:rPr>
              <w:t>/8</w:t>
            </w:r>
            <w:r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00" w:type="dxa"/>
            <w:tcBorders>
              <w:top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/>
                <w:sz w:val="20"/>
                <w:szCs w:val="20"/>
              </w:rPr>
              <w:t>/8</w:t>
            </w:r>
            <w:r>
              <w:rPr>
                <w:sz w:val="20"/>
                <w:szCs w:val="20"/>
                <w:vertAlign w:val="superscript"/>
              </w:rPr>
              <w:t>a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vAlign w:val="center"/>
          </w:tcPr>
          <w:p>
            <w:pPr>
              <w:snapToGrid w:val="0"/>
              <w:spacing w:after="0" w:line="288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Laboratory 2</w:t>
            </w:r>
          </w:p>
        </w:tc>
        <w:tc>
          <w:tcPr>
            <w:tcW w:w="130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0/8</w:t>
            </w:r>
          </w:p>
        </w:tc>
        <w:tc>
          <w:tcPr>
            <w:tcW w:w="130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3/8</w:t>
            </w:r>
          </w:p>
        </w:tc>
        <w:tc>
          <w:tcPr>
            <w:tcW w:w="1300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4/8</w:t>
            </w:r>
          </w:p>
        </w:tc>
        <w:tc>
          <w:tcPr>
            <w:tcW w:w="1300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0/8</w:t>
            </w:r>
          </w:p>
        </w:tc>
        <w:tc>
          <w:tcPr>
            <w:tcW w:w="130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/>
                <w:sz w:val="20"/>
                <w:szCs w:val="20"/>
              </w:rPr>
              <w:t>/8</w:t>
            </w:r>
          </w:p>
        </w:tc>
        <w:tc>
          <w:tcPr>
            <w:tcW w:w="1300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/>
                <w:sz w:val="20"/>
                <w:szCs w:val="20"/>
              </w:rPr>
              <w:t>/8</w:t>
            </w:r>
          </w:p>
        </w:tc>
        <w:tc>
          <w:tcPr>
            <w:tcW w:w="1300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0/8</w:t>
            </w:r>
          </w:p>
        </w:tc>
        <w:tc>
          <w:tcPr>
            <w:tcW w:w="130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/>
                <w:sz w:val="20"/>
                <w:szCs w:val="20"/>
              </w:rPr>
              <w:t>/8</w:t>
            </w:r>
          </w:p>
        </w:tc>
        <w:tc>
          <w:tcPr>
            <w:tcW w:w="130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/>
                <w:sz w:val="20"/>
                <w:szCs w:val="20"/>
              </w:rPr>
              <w:t>/8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vAlign w:val="center"/>
          </w:tcPr>
          <w:p>
            <w:pPr>
              <w:snapToGrid w:val="0"/>
              <w:spacing w:after="0" w:line="288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Laboratory 3</w:t>
            </w:r>
          </w:p>
        </w:tc>
        <w:tc>
          <w:tcPr>
            <w:tcW w:w="130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0/8</w:t>
            </w:r>
          </w:p>
        </w:tc>
        <w:tc>
          <w:tcPr>
            <w:tcW w:w="130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1/8</w:t>
            </w:r>
          </w:p>
        </w:tc>
        <w:tc>
          <w:tcPr>
            <w:tcW w:w="1300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6/8</w:t>
            </w:r>
          </w:p>
        </w:tc>
        <w:tc>
          <w:tcPr>
            <w:tcW w:w="1300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highlight w:val="none"/>
              </w:rPr>
              <w:t>1/8</w:t>
            </w:r>
          </w:p>
        </w:tc>
        <w:tc>
          <w:tcPr>
            <w:tcW w:w="130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/>
                <w:sz w:val="20"/>
                <w:szCs w:val="20"/>
              </w:rPr>
              <w:t>/8</w:t>
            </w:r>
          </w:p>
        </w:tc>
        <w:tc>
          <w:tcPr>
            <w:tcW w:w="1300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8</w:t>
            </w:r>
            <w:r>
              <w:rPr>
                <w:rFonts w:hint="eastAsia"/>
                <w:sz w:val="20"/>
                <w:szCs w:val="20"/>
              </w:rPr>
              <w:t>/8</w:t>
            </w:r>
          </w:p>
        </w:tc>
        <w:tc>
          <w:tcPr>
            <w:tcW w:w="1300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/>
                <w:sz w:val="20"/>
                <w:szCs w:val="20"/>
                <w:highlight w:val="none"/>
              </w:rPr>
              <w:t>/8</w:t>
            </w:r>
          </w:p>
        </w:tc>
        <w:tc>
          <w:tcPr>
            <w:tcW w:w="130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/>
                <w:sz w:val="20"/>
                <w:szCs w:val="20"/>
              </w:rPr>
              <w:t>/8</w:t>
            </w:r>
          </w:p>
        </w:tc>
        <w:tc>
          <w:tcPr>
            <w:tcW w:w="130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8</w:t>
            </w:r>
            <w:r>
              <w:rPr>
                <w:rFonts w:hint="eastAsia"/>
                <w:sz w:val="20"/>
                <w:szCs w:val="20"/>
              </w:rPr>
              <w:t>/8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vAlign w:val="center"/>
          </w:tcPr>
          <w:p>
            <w:pPr>
              <w:snapToGrid w:val="0"/>
              <w:spacing w:after="0" w:line="288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Laboratory 4</w:t>
            </w:r>
          </w:p>
        </w:tc>
        <w:tc>
          <w:tcPr>
            <w:tcW w:w="130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0/8</w:t>
            </w:r>
          </w:p>
        </w:tc>
        <w:tc>
          <w:tcPr>
            <w:tcW w:w="130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3/8</w:t>
            </w:r>
          </w:p>
        </w:tc>
        <w:tc>
          <w:tcPr>
            <w:tcW w:w="1300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6/8</w:t>
            </w:r>
          </w:p>
        </w:tc>
        <w:tc>
          <w:tcPr>
            <w:tcW w:w="1300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0/8</w:t>
            </w:r>
          </w:p>
        </w:tc>
        <w:tc>
          <w:tcPr>
            <w:tcW w:w="130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/>
                <w:sz w:val="20"/>
                <w:szCs w:val="20"/>
              </w:rPr>
              <w:t>/8</w:t>
            </w:r>
          </w:p>
        </w:tc>
        <w:tc>
          <w:tcPr>
            <w:tcW w:w="1300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7</w:t>
            </w:r>
            <w:r>
              <w:rPr>
                <w:rFonts w:hint="eastAsia"/>
                <w:sz w:val="20"/>
                <w:szCs w:val="20"/>
              </w:rPr>
              <w:t>/8</w:t>
            </w:r>
          </w:p>
        </w:tc>
        <w:tc>
          <w:tcPr>
            <w:tcW w:w="1300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0/8</w:t>
            </w:r>
          </w:p>
        </w:tc>
        <w:tc>
          <w:tcPr>
            <w:tcW w:w="130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/>
                <w:sz w:val="20"/>
                <w:szCs w:val="20"/>
              </w:rPr>
              <w:t>8</w:t>
            </w:r>
          </w:p>
        </w:tc>
        <w:tc>
          <w:tcPr>
            <w:tcW w:w="130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7</w:t>
            </w:r>
            <w:r>
              <w:rPr>
                <w:rFonts w:hint="eastAsia"/>
                <w:sz w:val="20"/>
                <w:szCs w:val="20"/>
              </w:rPr>
              <w:t>/8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vAlign w:val="center"/>
          </w:tcPr>
          <w:p>
            <w:pPr>
              <w:snapToGrid w:val="0"/>
              <w:spacing w:after="0" w:line="288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Laboratory 5</w:t>
            </w:r>
          </w:p>
        </w:tc>
        <w:tc>
          <w:tcPr>
            <w:tcW w:w="130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0/8</w:t>
            </w:r>
          </w:p>
        </w:tc>
        <w:tc>
          <w:tcPr>
            <w:tcW w:w="130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2/8</w:t>
            </w:r>
          </w:p>
        </w:tc>
        <w:tc>
          <w:tcPr>
            <w:tcW w:w="1300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6/8</w:t>
            </w:r>
          </w:p>
        </w:tc>
        <w:tc>
          <w:tcPr>
            <w:tcW w:w="1300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0/8</w:t>
            </w:r>
          </w:p>
        </w:tc>
        <w:tc>
          <w:tcPr>
            <w:tcW w:w="130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/>
                <w:sz w:val="20"/>
                <w:szCs w:val="20"/>
              </w:rPr>
              <w:t>/8</w:t>
            </w:r>
          </w:p>
        </w:tc>
        <w:tc>
          <w:tcPr>
            <w:tcW w:w="1300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/>
                <w:sz w:val="20"/>
                <w:szCs w:val="20"/>
              </w:rPr>
              <w:t>/8</w:t>
            </w:r>
          </w:p>
        </w:tc>
        <w:tc>
          <w:tcPr>
            <w:tcW w:w="1300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0/8</w:t>
            </w:r>
          </w:p>
        </w:tc>
        <w:tc>
          <w:tcPr>
            <w:tcW w:w="130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/>
                <w:sz w:val="20"/>
                <w:szCs w:val="20"/>
              </w:rPr>
              <w:t>/8</w:t>
            </w:r>
          </w:p>
        </w:tc>
        <w:tc>
          <w:tcPr>
            <w:tcW w:w="130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/>
                <w:sz w:val="20"/>
                <w:szCs w:val="20"/>
              </w:rPr>
              <w:t>/8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vAlign w:val="center"/>
          </w:tcPr>
          <w:p>
            <w:pPr>
              <w:snapToGrid w:val="0"/>
              <w:spacing w:after="0" w:line="288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Laboratory 6</w:t>
            </w:r>
            <w:r>
              <w:rPr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30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0/8</w:t>
            </w:r>
          </w:p>
        </w:tc>
        <w:tc>
          <w:tcPr>
            <w:tcW w:w="130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1/8</w:t>
            </w:r>
          </w:p>
        </w:tc>
        <w:tc>
          <w:tcPr>
            <w:tcW w:w="1300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6/8</w:t>
            </w:r>
          </w:p>
        </w:tc>
        <w:tc>
          <w:tcPr>
            <w:tcW w:w="1300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0/8</w:t>
            </w:r>
          </w:p>
        </w:tc>
        <w:tc>
          <w:tcPr>
            <w:tcW w:w="130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/>
                <w:sz w:val="20"/>
                <w:szCs w:val="20"/>
              </w:rPr>
              <w:t>/8</w:t>
            </w:r>
          </w:p>
        </w:tc>
        <w:tc>
          <w:tcPr>
            <w:tcW w:w="1300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7</w:t>
            </w:r>
            <w:r>
              <w:rPr>
                <w:rFonts w:hint="eastAsia"/>
                <w:sz w:val="20"/>
                <w:szCs w:val="20"/>
              </w:rPr>
              <w:t>/8</w:t>
            </w:r>
          </w:p>
        </w:tc>
        <w:tc>
          <w:tcPr>
            <w:tcW w:w="1300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0/8</w:t>
            </w:r>
          </w:p>
        </w:tc>
        <w:tc>
          <w:tcPr>
            <w:tcW w:w="130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/>
                <w:sz w:val="20"/>
                <w:szCs w:val="20"/>
              </w:rPr>
              <w:t>/8</w:t>
            </w:r>
          </w:p>
        </w:tc>
        <w:tc>
          <w:tcPr>
            <w:tcW w:w="130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7</w:t>
            </w:r>
            <w:r>
              <w:rPr>
                <w:rFonts w:hint="eastAsia"/>
                <w:sz w:val="20"/>
                <w:szCs w:val="20"/>
              </w:rPr>
              <w:t>/8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vAlign w:val="center"/>
          </w:tcPr>
          <w:p>
            <w:pPr>
              <w:snapToGrid w:val="0"/>
              <w:spacing w:after="0" w:line="288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Laboratory 7</w:t>
            </w:r>
          </w:p>
        </w:tc>
        <w:tc>
          <w:tcPr>
            <w:tcW w:w="130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0/8</w:t>
            </w:r>
          </w:p>
        </w:tc>
        <w:tc>
          <w:tcPr>
            <w:tcW w:w="130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3/8</w:t>
            </w:r>
          </w:p>
        </w:tc>
        <w:tc>
          <w:tcPr>
            <w:tcW w:w="1300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5/8</w:t>
            </w:r>
          </w:p>
        </w:tc>
        <w:tc>
          <w:tcPr>
            <w:tcW w:w="1300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0/8</w:t>
            </w:r>
          </w:p>
        </w:tc>
        <w:tc>
          <w:tcPr>
            <w:tcW w:w="130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/>
                <w:sz w:val="20"/>
                <w:szCs w:val="20"/>
              </w:rPr>
              <w:t>/8</w:t>
            </w:r>
          </w:p>
        </w:tc>
        <w:tc>
          <w:tcPr>
            <w:tcW w:w="1300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7</w:t>
            </w:r>
            <w:r>
              <w:rPr>
                <w:rFonts w:hint="eastAsia"/>
                <w:sz w:val="20"/>
                <w:szCs w:val="20"/>
              </w:rPr>
              <w:t>/8</w:t>
            </w:r>
          </w:p>
        </w:tc>
        <w:tc>
          <w:tcPr>
            <w:tcW w:w="1300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0/8</w:t>
            </w:r>
          </w:p>
        </w:tc>
        <w:tc>
          <w:tcPr>
            <w:tcW w:w="130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/>
                <w:sz w:val="20"/>
                <w:szCs w:val="20"/>
              </w:rPr>
              <w:t>/8</w:t>
            </w:r>
          </w:p>
        </w:tc>
        <w:tc>
          <w:tcPr>
            <w:tcW w:w="130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7</w:t>
            </w:r>
            <w:r>
              <w:rPr>
                <w:rFonts w:hint="eastAsia"/>
                <w:sz w:val="20"/>
                <w:szCs w:val="20"/>
              </w:rPr>
              <w:t>/8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vAlign w:val="center"/>
          </w:tcPr>
          <w:p>
            <w:pPr>
              <w:snapToGrid w:val="0"/>
              <w:spacing w:after="0" w:line="288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Laboratory 8</w:t>
            </w:r>
          </w:p>
        </w:tc>
        <w:tc>
          <w:tcPr>
            <w:tcW w:w="130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0/8</w:t>
            </w:r>
          </w:p>
        </w:tc>
        <w:tc>
          <w:tcPr>
            <w:tcW w:w="130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3/8</w:t>
            </w:r>
          </w:p>
        </w:tc>
        <w:tc>
          <w:tcPr>
            <w:tcW w:w="1300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6/8</w:t>
            </w:r>
          </w:p>
        </w:tc>
        <w:tc>
          <w:tcPr>
            <w:tcW w:w="1300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0/8</w:t>
            </w:r>
          </w:p>
        </w:tc>
        <w:tc>
          <w:tcPr>
            <w:tcW w:w="130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/>
                <w:sz w:val="20"/>
                <w:szCs w:val="20"/>
              </w:rPr>
              <w:t>/8</w:t>
            </w:r>
          </w:p>
        </w:tc>
        <w:tc>
          <w:tcPr>
            <w:tcW w:w="1300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8</w:t>
            </w:r>
            <w:r>
              <w:rPr>
                <w:rFonts w:hint="eastAsia"/>
                <w:sz w:val="20"/>
                <w:szCs w:val="20"/>
              </w:rPr>
              <w:t>/8</w:t>
            </w:r>
          </w:p>
        </w:tc>
        <w:tc>
          <w:tcPr>
            <w:tcW w:w="1300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0/8</w:t>
            </w:r>
          </w:p>
        </w:tc>
        <w:tc>
          <w:tcPr>
            <w:tcW w:w="130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/>
                <w:sz w:val="20"/>
                <w:szCs w:val="20"/>
              </w:rPr>
              <w:t>/8</w:t>
            </w:r>
          </w:p>
        </w:tc>
        <w:tc>
          <w:tcPr>
            <w:tcW w:w="130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8</w:t>
            </w:r>
            <w:r>
              <w:rPr>
                <w:rFonts w:hint="eastAsia"/>
                <w:sz w:val="20"/>
                <w:szCs w:val="20"/>
              </w:rPr>
              <w:t>/8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vAlign w:val="center"/>
          </w:tcPr>
          <w:p>
            <w:pPr>
              <w:snapToGrid w:val="0"/>
              <w:spacing w:after="0" w:line="288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Laboratory 9</w:t>
            </w:r>
          </w:p>
        </w:tc>
        <w:tc>
          <w:tcPr>
            <w:tcW w:w="130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0/8</w:t>
            </w:r>
          </w:p>
        </w:tc>
        <w:tc>
          <w:tcPr>
            <w:tcW w:w="130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2/8</w:t>
            </w:r>
          </w:p>
        </w:tc>
        <w:tc>
          <w:tcPr>
            <w:tcW w:w="1300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5/8</w:t>
            </w:r>
          </w:p>
        </w:tc>
        <w:tc>
          <w:tcPr>
            <w:tcW w:w="1300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0/8</w:t>
            </w:r>
          </w:p>
        </w:tc>
        <w:tc>
          <w:tcPr>
            <w:tcW w:w="130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/>
                <w:sz w:val="20"/>
                <w:szCs w:val="20"/>
              </w:rPr>
              <w:t>/8</w:t>
            </w:r>
          </w:p>
        </w:tc>
        <w:tc>
          <w:tcPr>
            <w:tcW w:w="1300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8</w:t>
            </w:r>
            <w:r>
              <w:rPr>
                <w:rFonts w:hint="eastAsia"/>
                <w:sz w:val="20"/>
                <w:szCs w:val="20"/>
              </w:rPr>
              <w:t>/8</w:t>
            </w:r>
          </w:p>
        </w:tc>
        <w:tc>
          <w:tcPr>
            <w:tcW w:w="1300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0/8</w:t>
            </w:r>
          </w:p>
        </w:tc>
        <w:tc>
          <w:tcPr>
            <w:tcW w:w="130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/>
                <w:sz w:val="20"/>
                <w:szCs w:val="20"/>
              </w:rPr>
              <w:t>/8</w:t>
            </w:r>
          </w:p>
        </w:tc>
        <w:tc>
          <w:tcPr>
            <w:tcW w:w="130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8</w:t>
            </w:r>
            <w:r>
              <w:rPr>
                <w:rFonts w:hint="eastAsia"/>
                <w:sz w:val="20"/>
                <w:szCs w:val="20"/>
              </w:rPr>
              <w:t>/8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vAlign w:val="center"/>
          </w:tcPr>
          <w:p>
            <w:pPr>
              <w:snapToGrid w:val="0"/>
              <w:spacing w:after="0" w:line="288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Laboratory10</w:t>
            </w:r>
          </w:p>
        </w:tc>
        <w:tc>
          <w:tcPr>
            <w:tcW w:w="130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highlight w:val="none"/>
              </w:rPr>
              <w:t>1/8</w:t>
            </w:r>
          </w:p>
        </w:tc>
        <w:tc>
          <w:tcPr>
            <w:tcW w:w="130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6/8</w:t>
            </w:r>
          </w:p>
        </w:tc>
        <w:tc>
          <w:tcPr>
            <w:tcW w:w="1300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5/8</w:t>
            </w:r>
          </w:p>
        </w:tc>
        <w:tc>
          <w:tcPr>
            <w:tcW w:w="1300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0/8</w:t>
            </w:r>
          </w:p>
        </w:tc>
        <w:tc>
          <w:tcPr>
            <w:tcW w:w="130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/>
                <w:sz w:val="20"/>
                <w:szCs w:val="20"/>
              </w:rPr>
              <w:t>/8</w:t>
            </w:r>
          </w:p>
        </w:tc>
        <w:tc>
          <w:tcPr>
            <w:tcW w:w="1300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6/8</w:t>
            </w:r>
          </w:p>
        </w:tc>
        <w:tc>
          <w:tcPr>
            <w:tcW w:w="1300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0/8</w:t>
            </w:r>
          </w:p>
        </w:tc>
        <w:tc>
          <w:tcPr>
            <w:tcW w:w="130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/>
                <w:sz w:val="20"/>
                <w:szCs w:val="20"/>
              </w:rPr>
              <w:t>/8</w:t>
            </w:r>
          </w:p>
        </w:tc>
        <w:tc>
          <w:tcPr>
            <w:tcW w:w="130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/>
                <w:sz w:val="20"/>
                <w:szCs w:val="20"/>
              </w:rPr>
              <w:t>/8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440" w:type="dxa"/>
            <w:vAlign w:val="center"/>
          </w:tcPr>
          <w:p>
            <w:pPr>
              <w:snapToGrid w:val="0"/>
              <w:spacing w:after="0" w:line="288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Laboratory 11</w:t>
            </w:r>
            <w:r>
              <w:rPr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30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0/8</w:t>
            </w:r>
          </w:p>
        </w:tc>
        <w:tc>
          <w:tcPr>
            <w:tcW w:w="130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2/8</w:t>
            </w:r>
          </w:p>
        </w:tc>
        <w:tc>
          <w:tcPr>
            <w:tcW w:w="1300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4/8</w:t>
            </w:r>
          </w:p>
        </w:tc>
        <w:tc>
          <w:tcPr>
            <w:tcW w:w="1300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0/8</w:t>
            </w:r>
          </w:p>
        </w:tc>
        <w:tc>
          <w:tcPr>
            <w:tcW w:w="130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0/8</w:t>
            </w:r>
          </w:p>
        </w:tc>
        <w:tc>
          <w:tcPr>
            <w:tcW w:w="1300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/>
                <w:sz w:val="20"/>
                <w:szCs w:val="20"/>
              </w:rPr>
              <w:t>/8</w:t>
            </w:r>
          </w:p>
        </w:tc>
        <w:tc>
          <w:tcPr>
            <w:tcW w:w="1300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0/8</w:t>
            </w:r>
          </w:p>
        </w:tc>
        <w:tc>
          <w:tcPr>
            <w:tcW w:w="130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/>
                <w:sz w:val="20"/>
                <w:szCs w:val="20"/>
              </w:rPr>
              <w:t>/8</w:t>
            </w:r>
          </w:p>
        </w:tc>
        <w:tc>
          <w:tcPr>
            <w:tcW w:w="1300" w:type="dxa"/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/>
                <w:sz w:val="20"/>
                <w:szCs w:val="20"/>
              </w:rPr>
              <w:t>/8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Laboratory 12</w:t>
            </w:r>
          </w:p>
        </w:tc>
        <w:tc>
          <w:tcPr>
            <w:tcW w:w="1300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0/8</w:t>
            </w:r>
          </w:p>
        </w:tc>
        <w:tc>
          <w:tcPr>
            <w:tcW w:w="1300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3/8</w:t>
            </w:r>
          </w:p>
        </w:tc>
        <w:tc>
          <w:tcPr>
            <w:tcW w:w="130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7/8</w:t>
            </w:r>
          </w:p>
        </w:tc>
        <w:tc>
          <w:tcPr>
            <w:tcW w:w="1300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0/8</w:t>
            </w:r>
          </w:p>
        </w:tc>
        <w:tc>
          <w:tcPr>
            <w:tcW w:w="1300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/>
                <w:sz w:val="20"/>
                <w:szCs w:val="20"/>
              </w:rPr>
              <w:t>/8</w:t>
            </w:r>
          </w:p>
        </w:tc>
        <w:tc>
          <w:tcPr>
            <w:tcW w:w="130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/>
                <w:sz w:val="20"/>
                <w:szCs w:val="20"/>
              </w:rPr>
              <w:t>/8</w:t>
            </w:r>
          </w:p>
        </w:tc>
        <w:tc>
          <w:tcPr>
            <w:tcW w:w="1300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0/8</w:t>
            </w:r>
          </w:p>
        </w:tc>
        <w:tc>
          <w:tcPr>
            <w:tcW w:w="1300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/>
                <w:sz w:val="20"/>
                <w:szCs w:val="20"/>
              </w:rPr>
              <w:t>/8</w:t>
            </w:r>
          </w:p>
        </w:tc>
        <w:tc>
          <w:tcPr>
            <w:tcW w:w="1300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/>
                <w:sz w:val="20"/>
                <w:szCs w:val="20"/>
              </w:rPr>
              <w:t>/8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tcBorders>
              <w:top w:val="single" w:color="auto" w:sz="4" w:space="0"/>
              <w:bottom w:val="single" w:color="auto" w:sz="8" w:space="0"/>
            </w:tcBorders>
            <w:vAlign w:val="center"/>
          </w:tcPr>
          <w:p>
            <w:pPr>
              <w:snapToGrid w:val="0"/>
              <w:spacing w:after="0" w:line="28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1300" w:type="dxa"/>
            <w:tcBorders>
              <w:top w:val="single" w:color="auto" w:sz="4" w:space="0"/>
              <w:bottom w:val="single" w:color="auto" w:sz="8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</w:t>
            </w:r>
            <w:r>
              <w:rPr>
                <w:rFonts w:hint="eastAsia"/>
                <w:sz w:val="20"/>
                <w:szCs w:val="20"/>
                <w:vertAlign w:val="subscript"/>
              </w:rPr>
              <w:t>0</w:t>
            </w:r>
            <w:r>
              <w:rPr>
                <w:rFonts w:hint="eastAsia"/>
                <w:sz w:val="20"/>
                <w:szCs w:val="20"/>
              </w:rPr>
              <w:t xml:space="preserve"> = 1</w:t>
            </w:r>
          </w:p>
        </w:tc>
        <w:tc>
          <w:tcPr>
            <w:tcW w:w="1300" w:type="dxa"/>
            <w:tcBorders>
              <w:top w:val="single" w:color="auto" w:sz="4" w:space="0"/>
              <w:bottom w:val="single" w:color="auto" w:sz="8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</w:t>
            </w:r>
            <w:r>
              <w:rPr>
                <w:rFonts w:hint="eastAsia"/>
                <w:sz w:val="20"/>
                <w:szCs w:val="20"/>
                <w:vertAlign w:val="subscript"/>
              </w:rPr>
              <w:t>1</w:t>
            </w:r>
            <w:r>
              <w:rPr>
                <w:rFonts w:hint="eastAsia"/>
                <w:sz w:val="20"/>
                <w:szCs w:val="20"/>
              </w:rPr>
              <w:t>= 32</w:t>
            </w:r>
          </w:p>
        </w:tc>
        <w:tc>
          <w:tcPr>
            <w:tcW w:w="1300" w:type="dxa"/>
            <w:tcBorders>
              <w:top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</w:t>
            </w:r>
            <w:r>
              <w:rPr>
                <w:rFonts w:hint="eastAsia"/>
                <w:sz w:val="20"/>
                <w:szCs w:val="20"/>
                <w:vertAlign w:val="subscript"/>
              </w:rPr>
              <w:t>2</w:t>
            </w:r>
            <w:r>
              <w:rPr>
                <w:rFonts w:hint="eastAsia"/>
                <w:sz w:val="20"/>
                <w:szCs w:val="20"/>
              </w:rPr>
              <w:t xml:space="preserve"> = 65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</w:t>
            </w:r>
            <w:r>
              <w:rPr>
                <w:rFonts w:hint="eastAsia"/>
                <w:sz w:val="20"/>
                <w:szCs w:val="20"/>
                <w:vertAlign w:val="subscript"/>
              </w:rPr>
              <w:t>0</w:t>
            </w:r>
            <w:r>
              <w:rPr>
                <w:rFonts w:hint="eastAsia"/>
                <w:sz w:val="20"/>
                <w:szCs w:val="20"/>
              </w:rPr>
              <w:t xml:space="preserve"> = 1</w:t>
            </w:r>
          </w:p>
        </w:tc>
        <w:tc>
          <w:tcPr>
            <w:tcW w:w="1300" w:type="dxa"/>
            <w:tcBorders>
              <w:top w:val="single" w:color="auto" w:sz="4" w:space="0"/>
              <w:bottom w:val="single" w:color="auto" w:sz="8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hint="default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</w:rPr>
              <w:t>P</w:t>
            </w:r>
            <w:r>
              <w:rPr>
                <w:rFonts w:hint="eastAsia"/>
                <w:sz w:val="20"/>
                <w:szCs w:val="20"/>
                <w:vertAlign w:val="subscript"/>
                <w:lang w:val="en-US" w:eastAsia="zh-CN"/>
              </w:rPr>
              <w:t>1</w:t>
            </w:r>
            <w:r>
              <w:rPr>
                <w:rFonts w:hint="eastAsia"/>
                <w:sz w:val="20"/>
                <w:szCs w:val="20"/>
              </w:rPr>
              <w:t xml:space="preserve"> = 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33</w:t>
            </w:r>
          </w:p>
        </w:tc>
        <w:tc>
          <w:tcPr>
            <w:tcW w:w="1300" w:type="dxa"/>
            <w:tcBorders>
              <w:top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hint="eastAsia" w:eastAsiaTheme="minor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P</w:t>
            </w:r>
            <w:r>
              <w:rPr>
                <w:rFonts w:hint="eastAsia"/>
                <w:sz w:val="20"/>
                <w:szCs w:val="20"/>
                <w:vertAlign w:val="subscript"/>
                <w:lang w:val="en-US" w:eastAsia="zh-CN"/>
              </w:rPr>
              <w:t>2</w:t>
            </w:r>
            <w:r>
              <w:rPr>
                <w:rFonts w:hint="eastAsia"/>
                <w:sz w:val="20"/>
                <w:szCs w:val="20"/>
              </w:rPr>
              <w:t xml:space="preserve"> =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76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hint="eastAsia" w:eastAsiaTheme="minor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C</w:t>
            </w:r>
            <w:r>
              <w:rPr>
                <w:rFonts w:hint="eastAsia"/>
                <w:sz w:val="20"/>
                <w:szCs w:val="20"/>
              </w:rPr>
              <w:t>P</w:t>
            </w:r>
            <w:r>
              <w:rPr>
                <w:rFonts w:hint="eastAsia"/>
                <w:sz w:val="20"/>
                <w:szCs w:val="20"/>
                <w:vertAlign w:val="subscript"/>
              </w:rPr>
              <w:t>0</w:t>
            </w:r>
            <w:r>
              <w:rPr>
                <w:rFonts w:hint="eastAsia"/>
                <w:sz w:val="20"/>
                <w:szCs w:val="20"/>
              </w:rPr>
              <w:t xml:space="preserve"> = 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300" w:type="dxa"/>
            <w:tcBorders>
              <w:top w:val="single" w:color="auto" w:sz="4" w:space="0"/>
              <w:bottom w:val="single" w:color="auto" w:sz="8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CP</w:t>
            </w:r>
            <w:r>
              <w:rPr>
                <w:rFonts w:hint="eastAsia"/>
                <w:sz w:val="20"/>
                <w:szCs w:val="20"/>
                <w:vertAlign w:val="subscript"/>
                <w:lang w:val="en-US" w:eastAsia="zh-CN"/>
              </w:rPr>
              <w:t>1</w:t>
            </w:r>
            <w:r>
              <w:rPr>
                <w:rFonts w:hint="eastAsia"/>
                <w:sz w:val="20"/>
                <w:szCs w:val="20"/>
              </w:rPr>
              <w:t xml:space="preserve">  =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36</w:t>
            </w:r>
          </w:p>
        </w:tc>
        <w:tc>
          <w:tcPr>
            <w:tcW w:w="1300" w:type="dxa"/>
            <w:tcBorders>
              <w:top w:val="single" w:color="auto" w:sz="4" w:space="0"/>
              <w:bottom w:val="single" w:color="auto" w:sz="8" w:space="0"/>
            </w:tcBorders>
            <w:vAlign w:val="center"/>
          </w:tcPr>
          <w:p>
            <w:pPr>
              <w:snapToGrid w:val="0"/>
              <w:spacing w:after="0" w:line="288" w:lineRule="auto"/>
              <w:jc w:val="center"/>
              <w:rPr>
                <w:rFonts w:hint="default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C</w:t>
            </w:r>
            <w:r>
              <w:rPr>
                <w:rFonts w:hint="eastAsia"/>
                <w:sz w:val="20"/>
                <w:szCs w:val="20"/>
              </w:rPr>
              <w:t>P</w:t>
            </w:r>
            <w:r>
              <w:rPr>
                <w:rFonts w:hint="eastAsia"/>
                <w:sz w:val="20"/>
                <w:szCs w:val="20"/>
                <w:vertAlign w:val="subscript"/>
                <w:lang w:val="en-US" w:eastAsia="zh-CN"/>
              </w:rPr>
              <w:t>2</w:t>
            </w:r>
            <w:r>
              <w:rPr>
                <w:rFonts w:hint="eastAsia"/>
                <w:sz w:val="20"/>
                <w:szCs w:val="20"/>
              </w:rPr>
              <w:t xml:space="preserve"> =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78</w:t>
            </w:r>
          </w:p>
        </w:tc>
      </w:tr>
    </w:tbl>
    <w:p>
      <w:pPr>
        <w:snapToGrid w:val="0"/>
        <w:spacing w:after="0" w:line="288" w:lineRule="auto"/>
        <w:rPr>
          <w:sz w:val="16"/>
          <w:szCs w:val="20"/>
        </w:rPr>
      </w:pPr>
      <w:r>
        <w:rPr>
          <w:sz w:val="16"/>
          <w:szCs w:val="20"/>
        </w:rPr>
        <w:t>a. Number of positive alternative-method results.</w:t>
      </w:r>
    </w:p>
    <w:p>
      <w:pPr>
        <w:snapToGrid w:val="0"/>
        <w:spacing w:after="0" w:line="288" w:lineRule="auto"/>
        <w:rPr>
          <w:sz w:val="16"/>
          <w:szCs w:val="20"/>
        </w:rPr>
      </w:pPr>
      <w:r>
        <w:rPr>
          <w:sz w:val="16"/>
          <w:szCs w:val="20"/>
        </w:rPr>
        <w:t>b. Number of positive alternative-method results confirmed by the reference method.</w:t>
      </w:r>
    </w:p>
    <w:p>
      <w:r>
        <w:rPr>
          <w:sz w:val="16"/>
          <w:szCs w:val="20"/>
        </w:rPr>
        <w:t>c. Data from Laboratory 6 and 11 are excluded from analysis due to lack of temperature measurement upon arrival.</w:t>
      </w:r>
    </w:p>
    <w:p>
      <w:pPr>
        <w:jc w:val="center"/>
      </w:pPr>
    </w:p>
    <w:p>
      <w:pPr>
        <w:spacing w:after="160" w:line="259" w:lineRule="auto"/>
      </w:pPr>
    </w:p>
    <w:p>
      <w:pPr>
        <w:spacing w:after="160" w:line="259" w:lineRule="auto"/>
        <w:sectPr>
          <w:pgSz w:w="15840" w:h="12240" w:orient="landscape"/>
          <w:pgMar w:top="1440" w:right="1170" w:bottom="1440" w:left="1440" w:header="720" w:footer="720" w:gutter="0"/>
          <w:cols w:space="720" w:num="1"/>
          <w:docGrid w:linePitch="360" w:charSpace="0"/>
        </w:sectPr>
      </w:pPr>
    </w:p>
    <w:p>
      <w:pPr>
        <w:jc w:val="center"/>
        <w:rPr>
          <w:b/>
        </w:rPr>
      </w:pPr>
      <w:bookmarkStart w:id="1" w:name="_GoBack"/>
      <w:bookmarkEnd w:id="1"/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</w:pPr>
      <w:r>
        <w:rPr>
          <w:b/>
        </w:rPr>
        <w:t>Table S</w:t>
      </w:r>
      <w:r>
        <w:rPr>
          <w:rFonts w:hint="eastAsia"/>
          <w:b/>
          <w:lang w:val="en-US" w:eastAsia="zh-CN"/>
        </w:rPr>
        <w:t>10</w:t>
      </w:r>
      <w:r>
        <w:rPr>
          <w:b/>
        </w:rPr>
        <w:t>.</w:t>
      </w:r>
      <w:r>
        <w:t xml:space="preserve"> Interlaboratory Study – RLOD Calculations</w:t>
      </w:r>
    </w:p>
    <w:tbl>
      <w:tblPr>
        <w:tblStyle w:val="8"/>
        <w:tblW w:w="0" w:type="auto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5"/>
        <w:gridCol w:w="1212"/>
        <w:gridCol w:w="881"/>
        <w:gridCol w:w="881"/>
        <w:gridCol w:w="1053"/>
        <w:gridCol w:w="855"/>
        <w:gridCol w:w="847"/>
        <w:gridCol w:w="994"/>
        <w:gridCol w:w="829"/>
        <w:gridCol w:w="819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5" w:type="dxa"/>
            <w:vMerge w:val="restart"/>
            <w:vAlign w:val="center"/>
          </w:tcPr>
          <w:p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</w:t>
            </w:r>
          </w:p>
        </w:tc>
        <w:tc>
          <w:tcPr>
            <w:tcW w:w="1276" w:type="dxa"/>
            <w:vMerge w:val="restart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 effect</w:t>
            </w:r>
          </w:p>
          <w:p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napToGrid w:val="0"/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</w:t>
            </w:r>
            <w:r>
              <w:rPr>
                <w:i/>
                <w:sz w:val="20"/>
                <w:szCs w:val="20"/>
                <w:vertAlign w:val="subscript"/>
              </w:rPr>
              <w:t>i</w:t>
            </w:r>
          </w:p>
        </w:tc>
        <w:tc>
          <w:tcPr>
            <w:tcW w:w="852" w:type="dxa"/>
            <w:vMerge w:val="restart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 method effect</w:t>
            </w:r>
          </w:p>
          <w:p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napToGrid w:val="0"/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</w:t>
            </w:r>
            <w:r>
              <w:rPr>
                <w:i/>
                <w:sz w:val="20"/>
                <w:szCs w:val="20"/>
                <w:vertAlign w:val="subscript"/>
              </w:rPr>
              <w:t>i</w:t>
            </w:r>
          </w:p>
        </w:tc>
        <w:tc>
          <w:tcPr>
            <w:tcW w:w="852" w:type="dxa"/>
            <w:vMerge w:val="restart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SD of log method effect</w:t>
            </w:r>
          </w:p>
          <w:p>
            <w:pPr>
              <w:snapToGrid w:val="0"/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</w:t>
            </w:r>
            <w:r>
              <w:rPr>
                <w:i/>
                <w:sz w:val="20"/>
                <w:szCs w:val="20"/>
                <w:vertAlign w:val="subscript"/>
              </w:rPr>
              <w:t>fi</w:t>
            </w:r>
          </w:p>
        </w:tc>
        <w:tc>
          <w:tcPr>
            <w:tcW w:w="2619" w:type="dxa"/>
            <w:gridSpan w:val="3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LOD</w:t>
            </w:r>
            <w:r>
              <w:rPr>
                <w:sz w:val="20"/>
                <w:szCs w:val="20"/>
                <w:vertAlign w:val="subscript"/>
              </w:rPr>
              <w:t>50%</w:t>
            </w:r>
            <w:r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556" w:type="dxa"/>
            <w:gridSpan w:val="3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LOD</w:t>
            </w:r>
            <w:r>
              <w:rPr>
                <w:sz w:val="20"/>
                <w:szCs w:val="20"/>
                <w:vertAlign w:val="subscript"/>
              </w:rPr>
              <w:t>95%</w:t>
            </w:r>
            <w:r>
              <w:rPr>
                <w:sz w:val="20"/>
                <w:szCs w:val="20"/>
                <w:vertAlign w:val="superscript"/>
              </w:rPr>
              <w:t>b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6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6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Detection limit</w:t>
            </w:r>
          </w:p>
          <w:p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napToGrid w:val="0"/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</w:t>
            </w:r>
            <w:r>
              <w:rPr>
                <w:i/>
                <w:sz w:val="20"/>
                <w:szCs w:val="20"/>
                <w:vertAlign w:val="subscript"/>
              </w:rPr>
              <w:t>0.5,i</w:t>
            </w:r>
          </w:p>
        </w:tc>
        <w:tc>
          <w:tcPr>
            <w:tcW w:w="875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Lower conf. limit</w:t>
            </w:r>
          </w:p>
          <w:p>
            <w:pPr>
              <w:snapToGrid w:val="0"/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</w:t>
            </w:r>
            <w:r>
              <w:rPr>
                <w:i/>
                <w:sz w:val="20"/>
                <w:szCs w:val="20"/>
                <w:vertAlign w:val="subscript"/>
              </w:rPr>
              <w:t>0.5,i,L</w:t>
            </w:r>
          </w:p>
        </w:tc>
        <w:tc>
          <w:tcPr>
            <w:tcW w:w="870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Upper conf. limit</w:t>
            </w:r>
          </w:p>
          <w:p>
            <w:pPr>
              <w:snapToGrid w:val="0"/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</w:t>
            </w:r>
            <w:r>
              <w:rPr>
                <w:i/>
                <w:sz w:val="20"/>
                <w:szCs w:val="20"/>
                <w:vertAlign w:val="subscript"/>
              </w:rPr>
              <w:t>0.5,i,U</w:t>
            </w:r>
          </w:p>
        </w:tc>
        <w:tc>
          <w:tcPr>
            <w:tcW w:w="994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Detection limit</w:t>
            </w:r>
          </w:p>
          <w:p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</w:t>
            </w:r>
            <w:r>
              <w:rPr>
                <w:i/>
                <w:sz w:val="20"/>
                <w:szCs w:val="20"/>
                <w:vertAlign w:val="subscript"/>
              </w:rPr>
              <w:t>0.5,i</w:t>
            </w:r>
          </w:p>
        </w:tc>
        <w:tc>
          <w:tcPr>
            <w:tcW w:w="845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Lower conf. limit</w:t>
            </w:r>
          </w:p>
          <w:p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</w:t>
            </w:r>
            <w:r>
              <w:rPr>
                <w:i/>
                <w:sz w:val="20"/>
                <w:szCs w:val="20"/>
                <w:vertAlign w:val="subscript"/>
              </w:rPr>
              <w:t>0.5,i,L</w:t>
            </w:r>
          </w:p>
        </w:tc>
        <w:tc>
          <w:tcPr>
            <w:tcW w:w="837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Upper conf. limit</w:t>
            </w:r>
          </w:p>
          <w:p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</w:t>
            </w:r>
            <w:r>
              <w:rPr>
                <w:i/>
                <w:sz w:val="20"/>
                <w:szCs w:val="20"/>
                <w:vertAlign w:val="subscript"/>
              </w:rPr>
              <w:t>0.5,i,U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196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</w:t>
            </w:r>
          </w:p>
        </w:tc>
        <w:tc>
          <w:tcPr>
            <w:tcW w:w="896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0.406</w:t>
            </w:r>
          </w:p>
        </w:tc>
        <w:tc>
          <w:tcPr>
            <w:tcW w:w="892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-0.901</w:t>
            </w:r>
          </w:p>
        </w:tc>
        <w:tc>
          <w:tcPr>
            <w:tcW w:w="892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0.114</w:t>
            </w:r>
          </w:p>
        </w:tc>
        <w:tc>
          <w:tcPr>
            <w:tcW w:w="1063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1.71</w:t>
            </w:r>
          </w:p>
        </w:tc>
        <w:tc>
          <w:tcPr>
            <w:tcW w:w="875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1.36</w:t>
            </w:r>
          </w:p>
        </w:tc>
        <w:tc>
          <w:tcPr>
            <w:tcW w:w="870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2.15</w:t>
            </w:r>
          </w:p>
        </w:tc>
        <w:tc>
          <w:tcPr>
            <w:tcW w:w="994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7.38</w:t>
            </w:r>
          </w:p>
        </w:tc>
        <w:tc>
          <w:tcPr>
            <w:tcW w:w="845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5.87</w:t>
            </w:r>
          </w:p>
        </w:tc>
        <w:tc>
          <w:tcPr>
            <w:tcW w:w="837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19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</w:t>
            </w:r>
          </w:p>
        </w:tc>
        <w:tc>
          <w:tcPr>
            <w:tcW w:w="89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0.477</w:t>
            </w:r>
          </w:p>
        </w:tc>
        <w:tc>
          <w:tcPr>
            <w:tcW w:w="892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-0.741</w:t>
            </w:r>
          </w:p>
        </w:tc>
        <w:tc>
          <w:tcPr>
            <w:tcW w:w="892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0.110</w:t>
            </w:r>
          </w:p>
        </w:tc>
        <w:tc>
          <w:tcPr>
            <w:tcW w:w="1063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1.45</w:t>
            </w:r>
          </w:p>
        </w:tc>
        <w:tc>
          <w:tcPr>
            <w:tcW w:w="875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1.17</w:t>
            </w:r>
          </w:p>
        </w:tc>
        <w:tc>
          <w:tcPr>
            <w:tcW w:w="870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1.81</w:t>
            </w:r>
          </w:p>
        </w:tc>
        <w:tc>
          <w:tcPr>
            <w:tcW w:w="994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6.28</w:t>
            </w:r>
          </w:p>
        </w:tc>
        <w:tc>
          <w:tcPr>
            <w:tcW w:w="845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5.05</w:t>
            </w:r>
          </w:p>
        </w:tc>
        <w:tc>
          <w:tcPr>
            <w:tcW w:w="837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7.82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6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Conclusions</w:t>
            </w:r>
          </w:p>
        </w:tc>
        <w:tc>
          <w:tcPr>
            <w:tcW w:w="8209" w:type="dxa"/>
            <w:gridSpan w:val="9"/>
            <w:tcBorders>
              <w:top w:val="single" w:color="auto" w:sz="4" w:space="0"/>
            </w:tcBorders>
            <w:vAlign w:val="center"/>
          </w:tcPr>
          <w:p>
            <w:pPr>
              <w:snapToGrid w:val="0"/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methods are </w:t>
            </w:r>
            <w:r>
              <w:rPr>
                <w:sz w:val="20"/>
                <w:szCs w:val="20"/>
                <w:u w:val="single"/>
              </w:rPr>
              <w:t>not significantly</w:t>
            </w:r>
            <w:r>
              <w:rPr>
                <w:sz w:val="20"/>
                <w:szCs w:val="20"/>
              </w:rPr>
              <w:t xml:space="preserve"> different at the 5% significance level (change in deviance of the model with method effects to the null model D</w:t>
            </w:r>
            <w:r>
              <w:rPr>
                <w:sz w:val="20"/>
                <w:szCs w:val="20"/>
                <w:vertAlign w:val="subscript"/>
              </w:rPr>
              <w:t>method</w:t>
            </w:r>
            <w:r>
              <w:rPr>
                <w:sz w:val="20"/>
                <w:szCs w:val="20"/>
              </w:rPr>
              <w:t>=1 with 1degree of freedom, p-value=0.32).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1" w:type="dxa"/>
            <w:vMerge w:val="continue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55" w:type="dxa"/>
            <w:gridSpan w:val="9"/>
            <w:vAlign w:val="center"/>
          </w:tcPr>
          <w:p>
            <w:pPr>
              <w:snapToGrid w:val="0"/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relative limit of detection (RLOD) of the alternative method, as compared to the reference method, is 0.85 with a 90% confidence interval of 0.66-1.11.</w:t>
            </w:r>
          </w:p>
        </w:tc>
      </w:tr>
    </w:tbl>
    <w:p>
      <w:pPr>
        <w:spacing w:after="40" w:line="259" w:lineRule="auto"/>
        <w:rPr>
          <w:sz w:val="18"/>
          <w:szCs w:val="18"/>
        </w:rPr>
      </w:pPr>
      <w:r>
        <w:rPr>
          <w:sz w:val="18"/>
          <w:szCs w:val="18"/>
        </w:rPr>
        <w:t>a. LOD</w:t>
      </w:r>
      <w:r>
        <w:rPr>
          <w:sz w:val="18"/>
          <w:szCs w:val="18"/>
          <w:vertAlign w:val="subscript"/>
        </w:rPr>
        <w:t>50%</w:t>
      </w:r>
      <w:r>
        <w:rPr>
          <w:sz w:val="18"/>
          <w:szCs w:val="18"/>
        </w:rPr>
        <w:t xml:space="preserve"> : 50% limit of detection in MPN/sample size</w:t>
      </w:r>
    </w:p>
    <w:p>
      <w:pPr>
        <w:spacing w:after="40" w:line="259" w:lineRule="auto"/>
        <w:rPr>
          <w:sz w:val="18"/>
          <w:szCs w:val="18"/>
        </w:rPr>
        <w:sectPr>
          <w:pgSz w:w="12240" w:h="15840"/>
          <w:pgMar w:top="1440" w:right="1440" w:bottom="1440" w:left="1440" w:header="720" w:footer="720" w:gutter="0"/>
          <w:cols w:space="720" w:num="1"/>
          <w:docGrid w:linePitch="360" w:charSpace="0"/>
        </w:sectPr>
      </w:pPr>
      <w:r>
        <w:rPr>
          <w:sz w:val="18"/>
          <w:szCs w:val="18"/>
        </w:rPr>
        <w:t>b. LOD</w:t>
      </w:r>
      <w:r>
        <w:rPr>
          <w:sz w:val="18"/>
          <w:szCs w:val="18"/>
          <w:vertAlign w:val="subscript"/>
        </w:rPr>
        <w:t xml:space="preserve">95% </w:t>
      </w:r>
      <w:r>
        <w:rPr>
          <w:sz w:val="18"/>
          <w:szCs w:val="18"/>
        </w:rPr>
        <w:t>: 95% limit of detection in MPN/sample size</w:t>
      </w:r>
    </w:p>
    <w:p>
      <w:pPr>
        <w:spacing w:after="160" w:line="259" w:lineRule="auto"/>
      </w:pPr>
    </w:p>
    <w:p>
      <w:r>
        <w:t>References</w:t>
      </w:r>
    </w:p>
    <w:p>
      <w:pPr>
        <w:pStyle w:val="15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bookmarkStart w:id="0" w:name="_ENREF_1"/>
      <w:r>
        <w:t>1.</w:t>
      </w:r>
      <w:r>
        <w:tab/>
      </w:r>
      <w:r>
        <w:t xml:space="preserve">International Organization for Standardization, </w:t>
      </w:r>
      <w:r>
        <w:rPr>
          <w:i/>
        </w:rPr>
        <w:t>ISO 16140-2:2016 Microbiology of the food chain-Method validation-Part 2: Protocol for the validation of alternative (proprietary) methods against a reference method</w:t>
      </w:r>
      <w:r>
        <w:t>. 2016.</w:t>
      </w:r>
      <w:bookmarkEnd w:id="0"/>
    </w:p>
    <w:p>
      <w:r>
        <w:fldChar w:fldCharType="end"/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9eafvfvai2dszneresr59ff99dp2zdxpxr5d&quot;&gt;Method Comparison Studies&lt;record-ids&gt;&lt;item&gt;166&lt;/item&gt;&lt;/record-ids&gt;&lt;/item&gt;&lt;/Libraries&gt;"/>
  </w:docVars>
  <w:rsids>
    <w:rsidRoot w:val="005F5755"/>
    <w:rsid w:val="0000747D"/>
    <w:rsid w:val="0001726F"/>
    <w:rsid w:val="000224F1"/>
    <w:rsid w:val="00027E6C"/>
    <w:rsid w:val="00030F59"/>
    <w:rsid w:val="00040020"/>
    <w:rsid w:val="00040A98"/>
    <w:rsid w:val="00056F6F"/>
    <w:rsid w:val="000630CC"/>
    <w:rsid w:val="00063ACA"/>
    <w:rsid w:val="00082F50"/>
    <w:rsid w:val="000A42D3"/>
    <w:rsid w:val="000A74E4"/>
    <w:rsid w:val="000D4033"/>
    <w:rsid w:val="000E1599"/>
    <w:rsid w:val="000F3002"/>
    <w:rsid w:val="00131DA8"/>
    <w:rsid w:val="00132293"/>
    <w:rsid w:val="0013362D"/>
    <w:rsid w:val="001531EF"/>
    <w:rsid w:val="00154DF7"/>
    <w:rsid w:val="00162F61"/>
    <w:rsid w:val="00163205"/>
    <w:rsid w:val="001908EF"/>
    <w:rsid w:val="0019170A"/>
    <w:rsid w:val="001A4BDF"/>
    <w:rsid w:val="001B3DE2"/>
    <w:rsid w:val="001B4A2C"/>
    <w:rsid w:val="001C7684"/>
    <w:rsid w:val="001F724A"/>
    <w:rsid w:val="00202934"/>
    <w:rsid w:val="00203765"/>
    <w:rsid w:val="00204655"/>
    <w:rsid w:val="002063B4"/>
    <w:rsid w:val="002152DA"/>
    <w:rsid w:val="0024006E"/>
    <w:rsid w:val="002539FB"/>
    <w:rsid w:val="00276FB1"/>
    <w:rsid w:val="00290AB5"/>
    <w:rsid w:val="002A43E2"/>
    <w:rsid w:val="002B11F9"/>
    <w:rsid w:val="002C37BD"/>
    <w:rsid w:val="002E00D2"/>
    <w:rsid w:val="0031156E"/>
    <w:rsid w:val="00324B7C"/>
    <w:rsid w:val="0035683C"/>
    <w:rsid w:val="00370069"/>
    <w:rsid w:val="0037172D"/>
    <w:rsid w:val="00376276"/>
    <w:rsid w:val="003A66DD"/>
    <w:rsid w:val="003B0A1E"/>
    <w:rsid w:val="003C51C2"/>
    <w:rsid w:val="003C51D2"/>
    <w:rsid w:val="003D3C74"/>
    <w:rsid w:val="003D47BB"/>
    <w:rsid w:val="003E2D0A"/>
    <w:rsid w:val="003F3180"/>
    <w:rsid w:val="003F39B1"/>
    <w:rsid w:val="003F7620"/>
    <w:rsid w:val="00416B59"/>
    <w:rsid w:val="00437D4A"/>
    <w:rsid w:val="00440D28"/>
    <w:rsid w:val="00441CB7"/>
    <w:rsid w:val="0045045B"/>
    <w:rsid w:val="00462753"/>
    <w:rsid w:val="00477713"/>
    <w:rsid w:val="004A67CF"/>
    <w:rsid w:val="004B6131"/>
    <w:rsid w:val="004D11BF"/>
    <w:rsid w:val="004D2845"/>
    <w:rsid w:val="004D6A03"/>
    <w:rsid w:val="004D7A04"/>
    <w:rsid w:val="00515CB2"/>
    <w:rsid w:val="00540962"/>
    <w:rsid w:val="00572FEB"/>
    <w:rsid w:val="005C1E4C"/>
    <w:rsid w:val="005D0AC9"/>
    <w:rsid w:val="005F5755"/>
    <w:rsid w:val="0061250D"/>
    <w:rsid w:val="00615251"/>
    <w:rsid w:val="00642D29"/>
    <w:rsid w:val="00645DB2"/>
    <w:rsid w:val="00646162"/>
    <w:rsid w:val="0066587A"/>
    <w:rsid w:val="00697997"/>
    <w:rsid w:val="006B20DB"/>
    <w:rsid w:val="006B50B2"/>
    <w:rsid w:val="006D045D"/>
    <w:rsid w:val="006F77BB"/>
    <w:rsid w:val="0070521B"/>
    <w:rsid w:val="00757830"/>
    <w:rsid w:val="00760C2E"/>
    <w:rsid w:val="00772D55"/>
    <w:rsid w:val="00784776"/>
    <w:rsid w:val="0079027E"/>
    <w:rsid w:val="0079036A"/>
    <w:rsid w:val="007940AB"/>
    <w:rsid w:val="007A3838"/>
    <w:rsid w:val="007A53FC"/>
    <w:rsid w:val="007E2CEC"/>
    <w:rsid w:val="007E692D"/>
    <w:rsid w:val="007F6450"/>
    <w:rsid w:val="00820EC2"/>
    <w:rsid w:val="00822C7D"/>
    <w:rsid w:val="0084131F"/>
    <w:rsid w:val="0086111B"/>
    <w:rsid w:val="00862FD5"/>
    <w:rsid w:val="00883D74"/>
    <w:rsid w:val="008A4E83"/>
    <w:rsid w:val="008B1C1C"/>
    <w:rsid w:val="008B22AB"/>
    <w:rsid w:val="008B301B"/>
    <w:rsid w:val="008F7CBB"/>
    <w:rsid w:val="00907B2C"/>
    <w:rsid w:val="00910AD0"/>
    <w:rsid w:val="009409C7"/>
    <w:rsid w:val="009553E0"/>
    <w:rsid w:val="009574E9"/>
    <w:rsid w:val="0099424E"/>
    <w:rsid w:val="009B01E9"/>
    <w:rsid w:val="009B56B4"/>
    <w:rsid w:val="009C4F9C"/>
    <w:rsid w:val="009E04CB"/>
    <w:rsid w:val="009E4C35"/>
    <w:rsid w:val="00A126A1"/>
    <w:rsid w:val="00A13D67"/>
    <w:rsid w:val="00A208F0"/>
    <w:rsid w:val="00A336EA"/>
    <w:rsid w:val="00A36048"/>
    <w:rsid w:val="00A37E15"/>
    <w:rsid w:val="00A403D5"/>
    <w:rsid w:val="00A40A2B"/>
    <w:rsid w:val="00A9403F"/>
    <w:rsid w:val="00AA2764"/>
    <w:rsid w:val="00AB1752"/>
    <w:rsid w:val="00AD79C6"/>
    <w:rsid w:val="00B020B3"/>
    <w:rsid w:val="00B07605"/>
    <w:rsid w:val="00B17727"/>
    <w:rsid w:val="00B51677"/>
    <w:rsid w:val="00B63773"/>
    <w:rsid w:val="00B67448"/>
    <w:rsid w:val="00B73CEF"/>
    <w:rsid w:val="00B84298"/>
    <w:rsid w:val="00B845EE"/>
    <w:rsid w:val="00B86230"/>
    <w:rsid w:val="00BA11D5"/>
    <w:rsid w:val="00BB7236"/>
    <w:rsid w:val="00BE6670"/>
    <w:rsid w:val="00BF53A1"/>
    <w:rsid w:val="00C06D0F"/>
    <w:rsid w:val="00C17B49"/>
    <w:rsid w:val="00C17E6A"/>
    <w:rsid w:val="00C24D17"/>
    <w:rsid w:val="00C27623"/>
    <w:rsid w:val="00C27B7E"/>
    <w:rsid w:val="00C36322"/>
    <w:rsid w:val="00C51222"/>
    <w:rsid w:val="00C61197"/>
    <w:rsid w:val="00C64E52"/>
    <w:rsid w:val="00C745D6"/>
    <w:rsid w:val="00C75929"/>
    <w:rsid w:val="00C77771"/>
    <w:rsid w:val="00C81681"/>
    <w:rsid w:val="00C91143"/>
    <w:rsid w:val="00C97EF4"/>
    <w:rsid w:val="00CD0F68"/>
    <w:rsid w:val="00CD3629"/>
    <w:rsid w:val="00CE0F6C"/>
    <w:rsid w:val="00CF5C2F"/>
    <w:rsid w:val="00D35326"/>
    <w:rsid w:val="00D553C8"/>
    <w:rsid w:val="00D731DD"/>
    <w:rsid w:val="00D74A68"/>
    <w:rsid w:val="00D901BF"/>
    <w:rsid w:val="00D90691"/>
    <w:rsid w:val="00DB1F36"/>
    <w:rsid w:val="00DC32E2"/>
    <w:rsid w:val="00DE3FA6"/>
    <w:rsid w:val="00DE7338"/>
    <w:rsid w:val="00E3659D"/>
    <w:rsid w:val="00E368A4"/>
    <w:rsid w:val="00E3705F"/>
    <w:rsid w:val="00E405D4"/>
    <w:rsid w:val="00E5099A"/>
    <w:rsid w:val="00E559F4"/>
    <w:rsid w:val="00E61FE7"/>
    <w:rsid w:val="00E8301A"/>
    <w:rsid w:val="00E83B75"/>
    <w:rsid w:val="00E92ECF"/>
    <w:rsid w:val="00E97D68"/>
    <w:rsid w:val="00EA5C9D"/>
    <w:rsid w:val="00EA6CCA"/>
    <w:rsid w:val="00ED7FFA"/>
    <w:rsid w:val="00F22077"/>
    <w:rsid w:val="00F55486"/>
    <w:rsid w:val="00F71FE3"/>
    <w:rsid w:val="00F871F0"/>
    <w:rsid w:val="00FA16E7"/>
    <w:rsid w:val="00FB10EC"/>
    <w:rsid w:val="00FB4288"/>
    <w:rsid w:val="00FC6ACB"/>
    <w:rsid w:val="00FD3702"/>
    <w:rsid w:val="00FD4712"/>
    <w:rsid w:val="00FF226A"/>
    <w:rsid w:val="00FF6976"/>
    <w:rsid w:val="0C464456"/>
    <w:rsid w:val="154F32A1"/>
    <w:rsid w:val="1E153B47"/>
    <w:rsid w:val="31C7554F"/>
    <w:rsid w:val="39A70C07"/>
    <w:rsid w:val="3CAB6A10"/>
    <w:rsid w:val="3DA21ACB"/>
    <w:rsid w:val="423A6570"/>
    <w:rsid w:val="48425F62"/>
    <w:rsid w:val="59751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312" w:lineRule="auto"/>
    </w:pPr>
    <w:rPr>
      <w:rFonts w:ascii="Times New Roman" w:hAnsi="Times New Roman" w:eastAsiaTheme="minorEastAsia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100" w:after="100" w:line="240" w:lineRule="auto"/>
      <w:outlineLvl w:val="0"/>
    </w:pPr>
    <w:rPr>
      <w:rFonts w:eastAsiaTheme="majorEastAsia" w:cstheme="majorBidi"/>
      <w:b/>
      <w:sz w:val="24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1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4">
    <w:name w:val="Balloon Text"/>
    <w:basedOn w:val="1"/>
    <w:link w:val="1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Title"/>
    <w:basedOn w:val="1"/>
    <w:next w:val="1"/>
    <w:link w:val="12"/>
    <w:qFormat/>
    <w:uiPriority w:val="10"/>
    <w:pPr>
      <w:spacing w:after="0"/>
      <w:contextualSpacing/>
    </w:pPr>
    <w:rPr>
      <w:rFonts w:eastAsiaTheme="majorEastAsia" w:cstheme="majorBidi"/>
      <w:spacing w:val="-10"/>
      <w:kern w:val="28"/>
      <w:sz w:val="28"/>
      <w:szCs w:val="56"/>
    </w:rPr>
  </w:style>
  <w:style w:type="paragraph" w:styleId="6">
    <w:name w:val="annotation subject"/>
    <w:basedOn w:val="3"/>
    <w:next w:val="3"/>
    <w:link w:val="22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9"/>
    <w:semiHidden/>
    <w:unhideWhenUsed/>
    <w:qFormat/>
    <w:uiPriority w:val="99"/>
    <w:rPr>
      <w:sz w:val="16"/>
      <w:szCs w:val="16"/>
    </w:rPr>
  </w:style>
  <w:style w:type="character" w:customStyle="1" w:styleId="12">
    <w:name w:val="Title Char"/>
    <w:basedOn w:val="9"/>
    <w:link w:val="5"/>
    <w:qFormat/>
    <w:uiPriority w:val="10"/>
    <w:rPr>
      <w:rFonts w:ascii="Times New Roman" w:hAnsi="Times New Roman" w:eastAsiaTheme="majorEastAsia" w:cstheme="majorBidi"/>
      <w:spacing w:val="-10"/>
      <w:kern w:val="28"/>
      <w:sz w:val="28"/>
      <w:szCs w:val="56"/>
    </w:rPr>
  </w:style>
  <w:style w:type="paragraph" w:customStyle="1" w:styleId="13">
    <w:name w:val="EndNote Bibliography Title"/>
    <w:basedOn w:val="1"/>
    <w:link w:val="14"/>
    <w:qFormat/>
    <w:uiPriority w:val="0"/>
    <w:pPr>
      <w:spacing w:after="0"/>
      <w:jc w:val="center"/>
    </w:pPr>
    <w:rPr>
      <w:rFonts w:cs="Times New Roman"/>
    </w:rPr>
  </w:style>
  <w:style w:type="character" w:customStyle="1" w:styleId="14">
    <w:name w:val="EndNote Bibliography Title Char"/>
    <w:basedOn w:val="9"/>
    <w:link w:val="13"/>
    <w:qFormat/>
    <w:uiPriority w:val="0"/>
    <w:rPr>
      <w:rFonts w:ascii="Times New Roman" w:hAnsi="Times New Roman" w:cs="Times New Roman"/>
    </w:rPr>
  </w:style>
  <w:style w:type="paragraph" w:customStyle="1" w:styleId="15">
    <w:name w:val="EndNote Bibliography"/>
    <w:basedOn w:val="1"/>
    <w:link w:val="16"/>
    <w:qFormat/>
    <w:uiPriority w:val="0"/>
    <w:pPr>
      <w:spacing w:line="240" w:lineRule="auto"/>
    </w:pPr>
    <w:rPr>
      <w:rFonts w:cs="Times New Roman"/>
    </w:rPr>
  </w:style>
  <w:style w:type="character" w:customStyle="1" w:styleId="16">
    <w:name w:val="EndNote Bibliography Char"/>
    <w:basedOn w:val="9"/>
    <w:link w:val="15"/>
    <w:qFormat/>
    <w:uiPriority w:val="0"/>
    <w:rPr>
      <w:rFonts w:ascii="Times New Roman" w:hAnsi="Times New Roman" w:cs="Times New Roman"/>
    </w:rPr>
  </w:style>
  <w:style w:type="character" w:customStyle="1" w:styleId="17">
    <w:name w:val="Balloon Text Char"/>
    <w:basedOn w:val="9"/>
    <w:link w:val="4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18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Cambria" w:hAnsi="Cambria" w:cs="Cambria" w:eastAsiaTheme="minorEastAsia"/>
      <w:color w:val="000000"/>
      <w:sz w:val="24"/>
      <w:szCs w:val="24"/>
      <w:lang w:val="en-US" w:eastAsia="zh-CN" w:bidi="ar-SA"/>
    </w:rPr>
  </w:style>
  <w:style w:type="character" w:styleId="19">
    <w:name w:val="Placeholder Text"/>
    <w:basedOn w:val="9"/>
    <w:semiHidden/>
    <w:qFormat/>
    <w:uiPriority w:val="99"/>
    <w:rPr>
      <w:color w:val="808080"/>
    </w:rPr>
  </w:style>
  <w:style w:type="character" w:customStyle="1" w:styleId="20">
    <w:name w:val="Heading 1 Char"/>
    <w:basedOn w:val="9"/>
    <w:link w:val="2"/>
    <w:qFormat/>
    <w:uiPriority w:val="9"/>
    <w:rPr>
      <w:rFonts w:ascii="Times New Roman" w:hAnsi="Times New Roman" w:eastAsiaTheme="majorEastAsia" w:cstheme="majorBidi"/>
      <w:b/>
      <w:sz w:val="24"/>
      <w:szCs w:val="32"/>
    </w:rPr>
  </w:style>
  <w:style w:type="character" w:customStyle="1" w:styleId="21">
    <w:name w:val="Comment Text Char"/>
    <w:basedOn w:val="9"/>
    <w:link w:val="3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22">
    <w:name w:val="Comment Subject Char"/>
    <w:basedOn w:val="21"/>
    <w:link w:val="6"/>
    <w:semiHidden/>
    <w:qFormat/>
    <w:uiPriority w:val="99"/>
    <w:rPr>
      <w:rFonts w:ascii="Times New Roman" w:hAnsi="Times New Roman"/>
      <w:b/>
      <w:bCs/>
      <w:sz w:val="20"/>
      <w:szCs w:val="20"/>
    </w:rPr>
  </w:style>
  <w:style w:type="paragraph" w:styleId="23">
    <w:name w:val="List Paragraph"/>
    <w:basedOn w:val="1"/>
    <w:qFormat/>
    <w:uiPriority w:val="34"/>
    <w:pPr>
      <w:adjustRightInd w:val="0"/>
      <w:snapToGrid w:val="0"/>
      <w:spacing w:after="200"/>
      <w:ind w:firstLine="420" w:firstLineChars="200"/>
    </w:pPr>
    <w:rPr>
      <w:rFonts w:ascii="Tahoma" w:hAnsi="Tahoma" w:eastAsia="微软雅黑" w:cs="Times New Roman"/>
      <w:sz w:val="22"/>
      <w:szCs w:val="22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1811</Words>
  <Characters>10328</Characters>
  <Lines>86</Lines>
  <Paragraphs>24</Paragraphs>
  <TotalTime>1</TotalTime>
  <ScaleCrop>false</ScaleCrop>
  <LinksUpToDate>false</LinksUpToDate>
  <CharactersWithSpaces>12115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2021-05-07T21:15:00Z</dcterms:created>
  <dc:creator>j.chen</dc:creator>
  <cp:lastModifiedBy>Ronnie</cp:lastModifiedBy>
  <cp:lastPrinted>2022-01-18T03:16:00Z</cp:lastPrinted>
  <dcterms:modified xsi:type="dcterms:W3CDTF">2022-01-18T05:47:39Z</dcterms:modified>
  <cp:revision>200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