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F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igure S1</w:t>
      </w:r>
    </w:p>
    <w:p>
      <w:pPr>
        <w:spacing w:line="240" w:lineRule="auto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0" w:name="_GoBack"/>
      <w:r>
        <w:rPr>
          <w:rFonts w:hint="default" w:ascii="Times New Roman Regular" w:hAnsi="Times New Roman Regular" w:cs="Times New Roman Regular"/>
          <w:b w:val="0"/>
          <w:bCs w:val="0"/>
          <w:sz w:val="18"/>
          <w:szCs w:val="18"/>
        </w:rPr>
        <w:drawing>
          <wp:inline distT="0" distB="0" distL="114300" distR="114300">
            <wp:extent cx="2785745" cy="2216150"/>
            <wp:effectExtent l="0" t="0" r="8255" b="19050"/>
            <wp:docPr id="1" name="图片 1" descr="/Users/weiner/工作/GPX4/Figure/Supplement figure.tifSupplement 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/Users/weiner/工作/GPX4/Figure/Supplement figure.tifSupplement figure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spacing w:line="240" w:lineRule="auto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The protein level of ELK1 and GPX4 in the EC cells shows a positive correlation. (A) Correlation between ELK1and GPX4 in EC cell lines in protein level was analyzed.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Times New Roman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DFD53C"/>
    <w:rsid w:val="1D9F75BE"/>
    <w:rsid w:val="7ADFD53C"/>
    <w:rsid w:val="AF7FDFB0"/>
    <w:rsid w:val="FEF99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Office_4.1.2.6545_F1E327BC-269C-435d-A152-05C5408002CA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2022-02-25T08:07:00Z</dcterms:created>
  <dc:creator>weiner</dc:creator>
  <cp:lastModifiedBy>weiner</cp:lastModifiedBy>
  <dcterms:modified xsi:type="dcterms:W3CDTF">2022-04-12T21:44:18Z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2052-4.1.2.6545</vt:lpwstr>
  </property>
</Properties>
</file>