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32C7" w:rsidRPr="000C29E3" w:rsidRDefault="006131BB" w:rsidP="006131BB">
      <w:pPr>
        <w:spacing w:line="480" w:lineRule="auto"/>
        <w:jc w:val="both"/>
        <w:textAlignment w:val="baseline"/>
        <w:rPr>
          <w:b/>
          <w:color w:val="000000"/>
          <w:sz w:val="28"/>
          <w:szCs w:val="28"/>
        </w:rPr>
      </w:pPr>
      <w:r w:rsidRPr="000C29E3">
        <w:rPr>
          <w:rFonts w:eastAsia="Kozuka Mincho Pro B"/>
          <w:b/>
          <w:sz w:val="28"/>
          <w:szCs w:val="28"/>
        </w:rPr>
        <w:t>S.</w:t>
      </w:r>
      <w:r w:rsidR="000D5B70" w:rsidRPr="000C29E3">
        <w:rPr>
          <w:rFonts w:eastAsia="Kozuka Mincho Pro B"/>
          <w:b/>
          <w:sz w:val="28"/>
          <w:szCs w:val="28"/>
        </w:rPr>
        <w:t>1</w:t>
      </w:r>
      <w:r w:rsidRPr="000C29E3">
        <w:rPr>
          <w:rFonts w:eastAsia="Kozuka Mincho Pro B"/>
          <w:b/>
          <w:sz w:val="28"/>
          <w:szCs w:val="28"/>
        </w:rPr>
        <w:t xml:space="preserve"> </w:t>
      </w:r>
      <w:r w:rsidR="00051457" w:rsidRPr="000C29E3">
        <w:rPr>
          <w:rFonts w:eastAsia="Kozuka Mincho Pro B"/>
          <w:b/>
          <w:sz w:val="28"/>
          <w:szCs w:val="28"/>
        </w:rPr>
        <w:t xml:space="preserve">ESTIMATION OF </w:t>
      </w:r>
      <w:r w:rsidRPr="000C29E3">
        <w:rPr>
          <w:rFonts w:eastAsia="Kozuka Mincho Pro B"/>
          <w:b/>
          <w:sz w:val="28"/>
          <w:szCs w:val="28"/>
        </w:rPr>
        <w:t>FREQUENCY-MICROSTATE</w:t>
      </w:r>
      <w:r w:rsidR="00A43588">
        <w:rPr>
          <w:rFonts w:eastAsia="Kozuka Mincho Pro B"/>
          <w:b/>
          <w:sz w:val="28"/>
          <w:szCs w:val="28"/>
        </w:rPr>
        <w:t>S</w:t>
      </w:r>
      <w:r w:rsidRPr="000C29E3">
        <w:rPr>
          <w:rFonts w:eastAsia="Kozuka Mincho Pro B"/>
          <w:b/>
          <w:sz w:val="28"/>
          <w:szCs w:val="28"/>
        </w:rPr>
        <w:t xml:space="preserve"> </w:t>
      </w:r>
    </w:p>
    <w:p w:rsidR="008F5C9E" w:rsidRPr="004F5A11" w:rsidRDefault="00555D5A" w:rsidP="008C3384">
      <w:pPr>
        <w:spacing w:line="480" w:lineRule="auto"/>
        <w:ind w:firstLine="720"/>
        <w:jc w:val="both"/>
        <w:rPr>
          <w:rFonts w:eastAsia="Kozuka Mincho Pro B"/>
        </w:rPr>
      </w:pPr>
      <w:r>
        <w:rPr>
          <w:rFonts w:eastAsia="Kozuka Mincho Pro B"/>
        </w:rPr>
        <w:t>For the estimation of  EEG frequency-microstates, at first,</w:t>
      </w:r>
      <w:r w:rsidR="008C3384">
        <w:rPr>
          <w:rFonts w:eastAsia="Kozuka Mincho Pro B"/>
        </w:rPr>
        <w:t xml:space="preserve"> artifact corrected EEG data </w:t>
      </w:r>
      <w:r w:rsidR="000D5B70" w:rsidRPr="007618DE">
        <w:rPr>
          <w:rFonts w:eastAsia="Kozuka Mincho Pro B"/>
        </w:rPr>
        <w:t xml:space="preserve"> </w:t>
      </w:r>
      <w:r w:rsidR="008C3384">
        <w:rPr>
          <w:rFonts w:eastAsia="Kozuka Mincho Pro B"/>
        </w:rPr>
        <w:t>(</w:t>
      </w:r>
      <m:oMath>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Preprocessed</m:t>
            </m:r>
          </m:sub>
        </m:sSub>
      </m:oMath>
      <w:r w:rsidR="008C3384">
        <w:rPr>
          <w:rFonts w:eastAsia="Kozuka Mincho Pro B"/>
        </w:rPr>
        <w:t xml:space="preserve">) </w:t>
      </w:r>
      <w:r w:rsidR="008F5C9E" w:rsidRPr="004F5A11">
        <w:rPr>
          <w:rFonts w:eastAsia="Kozuka Mincho Pro B"/>
        </w:rPr>
        <w:t>is band-pass filtered to segregate it into frequency-band limited data comprising of delta (δ), theta (θ), alpha (α), beta (β), and gamma (</w:t>
      </w:r>
      <w:r w:rsidR="008F5C9E" w:rsidRPr="004F5A11">
        <w:rPr>
          <w:rFonts w:ascii="Arial" w:hAnsi="Arial" w:cs="Arial"/>
          <w:color w:val="202124"/>
          <w:shd w:val="clear" w:color="auto" w:fill="FFFFFF"/>
        </w:rPr>
        <w:t>γ</w:t>
      </w:r>
      <w:r w:rsidR="008F5C9E" w:rsidRPr="004F5A11">
        <w:rPr>
          <w:rFonts w:eastAsia="Kozuka Mincho Pro B"/>
        </w:rPr>
        <w:t>) ranges</w:t>
      </w:r>
      <w:r w:rsidR="00092F3B">
        <w:rPr>
          <w:rFonts w:eastAsia="Kozuka Mincho Pro B"/>
        </w:rPr>
        <w:t>.</w:t>
      </w:r>
      <w:bookmarkStart w:id="0" w:name="_GoBack"/>
      <w:bookmarkEnd w:id="0"/>
      <w:r w:rsidR="008F5C9E" w:rsidRPr="004F5A11">
        <w:rPr>
          <w:rFonts w:eastAsia="Kozuka Mincho Pro B"/>
        </w:rPr>
        <w:t xml:space="preserve"> </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r>
          <w:rPr>
            <w:rFonts w:ascii="Cambria Math" w:eastAsia="Kozuka Mincho Pro B" w:hAnsi="Cambria Math"/>
          </w:rPr>
          <m:t>=FIR</m:t>
        </m:r>
        <m:d>
          <m:dPr>
            <m:begChr m:val="["/>
            <m:endChr m:val="]"/>
            <m:ctrlPr>
              <w:rPr>
                <w:rFonts w:ascii="Cambria Math" w:eastAsia="Kozuka Mincho Pro B" w:hAnsi="Cambria Math"/>
                <w:i/>
              </w:rPr>
            </m:ctrlPr>
          </m:d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Preprocessed</m:t>
                </m:r>
              </m:sub>
            </m:sSub>
          </m:e>
        </m:d>
      </m:oMath>
      <w:r w:rsidR="008F5C9E" w:rsidRPr="004F5A11">
        <w:rPr>
          <w:rFonts w:eastAsia="Kozuka Mincho Pro B"/>
        </w:rPr>
        <w:t xml:space="preserve">                                              .(1)</w:t>
      </w:r>
    </w:p>
    <w:p w:rsidR="008F5C9E" w:rsidRPr="004F5A11" w:rsidRDefault="008F5C9E" w:rsidP="008F5C9E">
      <w:pPr>
        <w:spacing w:line="480" w:lineRule="auto"/>
        <w:ind w:left="1440" w:firstLine="720"/>
        <w:jc w:val="both"/>
        <w:rPr>
          <w:rFonts w:eastAsia="Kozuka Mincho Pro B"/>
        </w:rPr>
      </w:pPr>
      <m:oMath>
        <m:r>
          <w:rPr>
            <w:rFonts w:ascii="Cambria Math" w:eastAsia="Kozuka Mincho Pro B" w:hAnsi="Cambria Math"/>
          </w:rPr>
          <m:t>FIR</m:t>
        </m:r>
        <m:d>
          <m:dPr>
            <m:begChr m:val="["/>
            <m:endChr m:val="]"/>
            <m:ctrlPr>
              <w:rPr>
                <w:rFonts w:ascii="Cambria Math" w:eastAsia="Kozuka Mincho Pro B" w:hAnsi="Cambria Math"/>
                <w:i/>
              </w:rPr>
            </m:ctrlPr>
          </m:d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Preprocessed</m:t>
                </m:r>
              </m:sub>
            </m:sSub>
          </m:e>
        </m:d>
        <m:r>
          <w:rPr>
            <w:rFonts w:ascii="Cambria Math" w:eastAsia="Kozuka Mincho Pro B" w:hAnsi="Cambria Math"/>
          </w:rPr>
          <m:t>=</m:t>
        </m:r>
        <m:d>
          <m:dPr>
            <m:begChr m:val="{"/>
            <m:endChr m:val="}"/>
            <m:ctrlPr>
              <w:rPr>
                <w:rFonts w:ascii="Cambria Math" w:eastAsia="Kozuka Mincho Pro B" w:hAnsi="Cambria Math"/>
                <w:i/>
              </w:rPr>
            </m:ctrlPr>
          </m:dPr>
          <m:e>
            <m:m>
              <m:mPr>
                <m:mcs>
                  <m:mc>
                    <m:mcPr>
                      <m:count m:val="1"/>
                      <m:mcJc m:val="center"/>
                    </m:mcPr>
                  </m:mc>
                </m:mcs>
                <m:ctrlPr>
                  <w:rPr>
                    <w:rFonts w:ascii="Cambria Math" w:eastAsia="Kozuka Mincho Pro B" w:hAnsi="Cambria Math"/>
                    <w:i/>
                  </w:rPr>
                </m:ctrlPr>
              </m:mPr>
              <m:mr>
                <m:e>
                  <m:r>
                    <w:rPr>
                      <w:rFonts w:ascii="Cambria Math" w:eastAsia="Kozuka Mincho Pro B" w:hAnsi="Cambria Math"/>
                    </w:rPr>
                    <m:t xml:space="preserve">0,                                for </m:t>
                  </m:r>
                  <m:sSub>
                    <m:sSubPr>
                      <m:ctrlPr>
                        <w:rPr>
                          <w:rFonts w:ascii="Cambria Math" w:eastAsia="Kozuka Mincho Pro B" w:hAnsi="Cambria Math"/>
                          <w:i/>
                        </w:rPr>
                      </m:ctrlPr>
                    </m:sSubPr>
                    <m:e>
                      <m:r>
                        <w:rPr>
                          <w:rFonts w:ascii="Cambria Math" w:eastAsia="Kozuka Mincho Pro B" w:hAnsi="Cambria Math"/>
                        </w:rPr>
                        <m:t xml:space="preserve"> 0≤f≤f</m:t>
                      </m:r>
                    </m:e>
                    <m:sub>
                      <m:r>
                        <w:rPr>
                          <w:rFonts w:ascii="Cambria Math" w:eastAsia="Kozuka Mincho Pro B" w:hAnsi="Cambria Math"/>
                        </w:rPr>
                        <m:t>c1</m:t>
                      </m:r>
                    </m:sub>
                  </m:sSub>
                </m:e>
              </m:mr>
              <m:m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Preprocessed,</m:t>
                      </m:r>
                    </m:sub>
                  </m:sSub>
                  <m:r>
                    <w:rPr>
                      <w:rFonts w:ascii="Cambria Math" w:eastAsia="Kozuka Mincho Pro B" w:hAnsi="Cambria Math"/>
                    </w:rPr>
                    <m:t xml:space="preserve"> </m:t>
                  </m:r>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 xml:space="preserve">          for f</m:t>
                          </m:r>
                        </m:e>
                        <m:sub>
                          <m:r>
                            <w:rPr>
                              <w:rFonts w:ascii="Cambria Math" w:eastAsia="Kozuka Mincho Pro B" w:hAnsi="Cambria Math"/>
                            </w:rPr>
                            <m:t>c1</m:t>
                          </m:r>
                        </m:sub>
                      </m:sSub>
                      <m:r>
                        <w:rPr>
                          <w:rFonts w:ascii="Cambria Math" w:eastAsia="Kozuka Mincho Pro B" w:hAnsi="Cambria Math"/>
                        </w:rPr>
                        <m:t>≤f≤f</m:t>
                      </m:r>
                    </m:e>
                    <m:sub>
                      <m:r>
                        <w:rPr>
                          <w:rFonts w:ascii="Cambria Math" w:eastAsia="Kozuka Mincho Pro B" w:hAnsi="Cambria Math"/>
                        </w:rPr>
                        <m:t>c2</m:t>
                      </m:r>
                    </m:sub>
                  </m:sSub>
                </m:e>
              </m:mr>
              <m:mr>
                <m:e>
                  <m:sSub>
                    <m:sSubPr>
                      <m:ctrlPr>
                        <w:rPr>
                          <w:rFonts w:ascii="Cambria Math" w:eastAsia="Kozuka Mincho Pro B" w:hAnsi="Cambria Math"/>
                          <w:i/>
                        </w:rPr>
                      </m:ctrlPr>
                    </m:sSubPr>
                    <m:e>
                      <m:r>
                        <w:rPr>
                          <w:rFonts w:ascii="Cambria Math" w:eastAsia="Kozuka Mincho Pro B" w:hAnsi="Cambria Math"/>
                        </w:rPr>
                        <m:t>0,                                 for f</m:t>
                      </m:r>
                    </m:e>
                    <m:sub>
                      <m:r>
                        <w:rPr>
                          <w:rFonts w:ascii="Cambria Math" w:eastAsia="Kozuka Mincho Pro B" w:hAnsi="Cambria Math"/>
                        </w:rPr>
                        <m:t>c2</m:t>
                      </m:r>
                    </m:sub>
                  </m:sSub>
                  <m:r>
                    <w:rPr>
                      <w:rFonts w:ascii="Cambria Math" w:eastAsia="Kozuka Mincho Pro B" w:hAnsi="Cambria Math"/>
                    </w:rPr>
                    <m:t>≤f≤π</m:t>
                  </m:r>
                </m:e>
              </m:mr>
            </m:m>
          </m:e>
        </m:d>
      </m:oMath>
      <w:r w:rsidRPr="004F5A11">
        <w:rPr>
          <w:rFonts w:eastAsia="Kozuka Mincho Pro B"/>
        </w:rPr>
        <w:t xml:space="preserve">             .(2)</w:t>
      </w:r>
    </w:p>
    <w:p w:rsidR="008F5C9E" w:rsidRPr="004F5A11" w:rsidRDefault="008F5C9E" w:rsidP="008F5C9E">
      <w:pPr>
        <w:spacing w:line="480" w:lineRule="auto"/>
        <w:ind w:firstLine="720"/>
        <w:jc w:val="both"/>
        <w:rPr>
          <w:rFonts w:eastAsia="Kozuka Mincho Pro B"/>
        </w:rPr>
      </w:pPr>
      <w:r w:rsidRPr="004F5A11">
        <w:rPr>
          <w:rFonts w:eastAsia="Kozuka Mincho Pro B"/>
        </w:rPr>
        <w:t>Where</w:t>
      </w:r>
      <m:oMath>
        <m:sSub>
          <m:sSubPr>
            <m:ctrlPr>
              <w:rPr>
                <w:rFonts w:ascii="Cambria Math" w:eastAsia="Kozuka Mincho Pro B" w:hAnsi="Cambria Math"/>
                <w:i/>
              </w:rPr>
            </m:ctrlPr>
          </m:sSubPr>
          <m:e>
            <m:r>
              <w:rPr>
                <w:rFonts w:ascii="Cambria Math" w:eastAsia="Kozuka Mincho Pro B" w:hAnsi="Cambria Math"/>
              </w:rPr>
              <m:t xml:space="preserve"> f</m:t>
            </m:r>
          </m:e>
          <m:sub>
            <m:r>
              <w:rPr>
                <w:rFonts w:ascii="Cambria Math" w:eastAsia="Kozuka Mincho Pro B" w:hAnsi="Cambria Math"/>
              </w:rPr>
              <m:t>c1</m:t>
            </m:r>
          </m:sub>
        </m:sSub>
      </m:oMath>
      <w:r w:rsidRPr="004F5A11">
        <w:rPr>
          <w:rFonts w:eastAsia="Kozuka Mincho Pro B"/>
        </w:rPr>
        <w:t xml:space="preserve"> and </w:t>
      </w:r>
      <m:oMath>
        <m:sSub>
          <m:sSubPr>
            <m:ctrlPr>
              <w:rPr>
                <w:rFonts w:ascii="Cambria Math" w:eastAsia="Kozuka Mincho Pro B" w:hAnsi="Cambria Math"/>
                <w:i/>
              </w:rPr>
            </m:ctrlPr>
          </m:sSubPr>
          <m:e>
            <m:r>
              <w:rPr>
                <w:rFonts w:ascii="Cambria Math" w:eastAsia="Kozuka Mincho Pro B" w:hAnsi="Cambria Math"/>
              </w:rPr>
              <m:t xml:space="preserve"> f</m:t>
            </m:r>
          </m:e>
          <m:sub>
            <m:r>
              <w:rPr>
                <w:rFonts w:ascii="Cambria Math" w:eastAsia="Kozuka Mincho Pro B" w:hAnsi="Cambria Math"/>
              </w:rPr>
              <m:t>c2</m:t>
            </m:r>
          </m:sub>
        </m:sSub>
        <m:r>
          <w:rPr>
            <w:rFonts w:ascii="Cambria Math" w:eastAsia="Kozuka Mincho Pro B" w:hAnsi="Cambria Math"/>
          </w:rPr>
          <m:t xml:space="preserve">  </m:t>
        </m:r>
      </m:oMath>
      <w:r w:rsidRPr="004F5A11">
        <w:rPr>
          <w:rFonts w:eastAsia="Kozuka Mincho Pro B"/>
        </w:rPr>
        <w:t xml:space="preserve">are cut-off frequencies defined for each frequency band. The band-specific EEG data can be expressed as follows: </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m:rPr>
                <m:sty m:val="p"/>
              </m:rPr>
              <w:rPr>
                <w:rFonts w:ascii="Cambria Math" w:eastAsia="Kozuka Mincho Pro B" w:hAnsi="Cambria Math"/>
              </w:rPr>
              <m:t>δ</m:t>
            </m:r>
          </m:sub>
        </m:sSub>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d>
          <m:dPr>
            <m:begChr m:val="{"/>
            <m:endChr m:val="}"/>
            <m:ctrlPr>
              <w:rPr>
                <w:rFonts w:ascii="Cambria Math" w:eastAsia="Kozuka Mincho Pro B" w:hAnsi="Cambria Math"/>
                <w:i/>
              </w:rPr>
            </m:ctrlPr>
          </m:dPr>
          <m:e>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f</m:t>
                    </m:r>
                  </m:e>
                  <m:sub>
                    <m:r>
                      <w:rPr>
                        <w:rFonts w:ascii="Cambria Math" w:eastAsia="Kozuka Mincho Pro B" w:hAnsi="Cambria Math"/>
                      </w:rPr>
                      <m:t>c1</m:t>
                    </m:r>
                  </m:sub>
                </m:sSub>
                <m:r>
                  <w:rPr>
                    <w:rFonts w:ascii="Cambria Math" w:eastAsia="Kozuka Mincho Pro B" w:hAnsi="Cambria Math"/>
                  </w:rPr>
                  <m:t>=1,f</m:t>
                </m:r>
              </m:e>
              <m:sub>
                <m:r>
                  <w:rPr>
                    <w:rFonts w:ascii="Cambria Math" w:eastAsia="Kozuka Mincho Pro B" w:hAnsi="Cambria Math"/>
                  </w:rPr>
                  <m:t>c2</m:t>
                </m:r>
              </m:sub>
            </m:sSub>
            <m:r>
              <w:rPr>
                <w:rFonts w:ascii="Cambria Math" w:eastAsia="Kozuka Mincho Pro B" w:hAnsi="Cambria Math"/>
              </w:rPr>
              <m:t>=4</m:t>
            </m:r>
          </m:e>
        </m:d>
      </m:oMath>
      <w:r w:rsidR="008F5C9E" w:rsidRPr="004F5A11">
        <w:rPr>
          <w:rFonts w:eastAsia="Kozuka Mincho Pro B"/>
        </w:rPr>
        <w:t xml:space="preserve">                                       .(3)</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m:rPr>
                <m:sty m:val="p"/>
              </m:rPr>
              <w:rPr>
                <w:rFonts w:ascii="Cambria Math" w:eastAsia="Kozuka Mincho Pro B" w:hAnsi="Cambria Math"/>
              </w:rPr>
              <m:t>θ</m:t>
            </m:r>
          </m:sub>
        </m:sSub>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d>
          <m:dPr>
            <m:begChr m:val="{"/>
            <m:endChr m:val="}"/>
            <m:ctrlPr>
              <w:rPr>
                <w:rFonts w:ascii="Cambria Math" w:eastAsia="Kozuka Mincho Pro B" w:hAnsi="Cambria Math"/>
                <w:i/>
              </w:rPr>
            </m:ctrlPr>
          </m:dPr>
          <m:e>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f</m:t>
                    </m:r>
                  </m:e>
                  <m:sub>
                    <m:r>
                      <w:rPr>
                        <w:rFonts w:ascii="Cambria Math" w:eastAsia="Kozuka Mincho Pro B" w:hAnsi="Cambria Math"/>
                      </w:rPr>
                      <m:t>c1</m:t>
                    </m:r>
                  </m:sub>
                </m:sSub>
                <m:r>
                  <w:rPr>
                    <w:rFonts w:ascii="Cambria Math" w:eastAsia="Kozuka Mincho Pro B" w:hAnsi="Cambria Math"/>
                  </w:rPr>
                  <m:t>=4,f</m:t>
                </m:r>
              </m:e>
              <m:sub>
                <m:r>
                  <w:rPr>
                    <w:rFonts w:ascii="Cambria Math" w:eastAsia="Kozuka Mincho Pro B" w:hAnsi="Cambria Math"/>
                  </w:rPr>
                  <m:t>c2</m:t>
                </m:r>
              </m:sub>
            </m:sSub>
            <m:r>
              <w:rPr>
                <w:rFonts w:ascii="Cambria Math" w:eastAsia="Kozuka Mincho Pro B" w:hAnsi="Cambria Math"/>
              </w:rPr>
              <m:t>=8</m:t>
            </m:r>
          </m:e>
        </m:d>
      </m:oMath>
      <w:r w:rsidR="008F5C9E" w:rsidRPr="004F5A11">
        <w:rPr>
          <w:rFonts w:eastAsia="Kozuka Mincho Pro B"/>
        </w:rPr>
        <w:t xml:space="preserve">                                       .(4)</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m:rPr>
                <m:sty m:val="p"/>
              </m:rPr>
              <w:rPr>
                <w:rFonts w:ascii="Cambria Math" w:eastAsia="Kozuka Mincho Pro B" w:hAnsi="Cambria Math"/>
              </w:rPr>
              <m:t>α</m:t>
            </m:r>
          </m:sub>
        </m:sSub>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d>
          <m:dPr>
            <m:begChr m:val="{"/>
            <m:endChr m:val="}"/>
            <m:ctrlPr>
              <w:rPr>
                <w:rFonts w:ascii="Cambria Math" w:eastAsia="Kozuka Mincho Pro B" w:hAnsi="Cambria Math"/>
                <w:i/>
              </w:rPr>
            </m:ctrlPr>
          </m:dPr>
          <m:e>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f</m:t>
                    </m:r>
                  </m:e>
                  <m:sub>
                    <m:r>
                      <w:rPr>
                        <w:rFonts w:ascii="Cambria Math" w:eastAsia="Kozuka Mincho Pro B" w:hAnsi="Cambria Math"/>
                      </w:rPr>
                      <m:t>c1</m:t>
                    </m:r>
                  </m:sub>
                </m:sSub>
                <m:r>
                  <w:rPr>
                    <w:rFonts w:ascii="Cambria Math" w:eastAsia="Kozuka Mincho Pro B" w:hAnsi="Cambria Math"/>
                  </w:rPr>
                  <m:t>=9,f</m:t>
                </m:r>
              </m:e>
              <m:sub>
                <m:r>
                  <w:rPr>
                    <w:rFonts w:ascii="Cambria Math" w:eastAsia="Kozuka Mincho Pro B" w:hAnsi="Cambria Math"/>
                  </w:rPr>
                  <m:t>c2</m:t>
                </m:r>
              </m:sub>
            </m:sSub>
            <m:r>
              <w:rPr>
                <w:rFonts w:ascii="Cambria Math" w:eastAsia="Kozuka Mincho Pro B" w:hAnsi="Cambria Math"/>
              </w:rPr>
              <m:t>=14</m:t>
            </m:r>
          </m:e>
        </m:d>
      </m:oMath>
      <w:r w:rsidR="008F5C9E" w:rsidRPr="004F5A11">
        <w:rPr>
          <w:rFonts w:eastAsia="Kozuka Mincho Pro B"/>
        </w:rPr>
        <w:t xml:space="preserve">                                     .(5)</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m:rPr>
                <m:sty m:val="p"/>
              </m:rPr>
              <w:rPr>
                <w:rFonts w:ascii="Cambria Math" w:eastAsia="Kozuka Mincho Pro B" w:hAnsi="Cambria Math"/>
              </w:rPr>
              <m:t>β</m:t>
            </m:r>
          </m:sub>
        </m:sSub>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d>
          <m:dPr>
            <m:begChr m:val="{"/>
            <m:endChr m:val="}"/>
            <m:ctrlPr>
              <w:rPr>
                <w:rFonts w:ascii="Cambria Math" w:eastAsia="Kozuka Mincho Pro B" w:hAnsi="Cambria Math"/>
                <w:i/>
              </w:rPr>
            </m:ctrlPr>
          </m:dPr>
          <m:e>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f</m:t>
                    </m:r>
                  </m:e>
                  <m:sub>
                    <m:r>
                      <w:rPr>
                        <w:rFonts w:ascii="Cambria Math" w:eastAsia="Kozuka Mincho Pro B" w:hAnsi="Cambria Math"/>
                      </w:rPr>
                      <m:t>c1</m:t>
                    </m:r>
                  </m:sub>
                </m:sSub>
                <m:r>
                  <w:rPr>
                    <w:rFonts w:ascii="Cambria Math" w:eastAsia="Kozuka Mincho Pro B" w:hAnsi="Cambria Math"/>
                  </w:rPr>
                  <m:t>=15,f</m:t>
                </m:r>
              </m:e>
              <m:sub>
                <m:r>
                  <w:rPr>
                    <w:rFonts w:ascii="Cambria Math" w:eastAsia="Kozuka Mincho Pro B" w:hAnsi="Cambria Math"/>
                  </w:rPr>
                  <m:t>c2</m:t>
                </m:r>
              </m:sub>
            </m:sSub>
            <m:r>
              <w:rPr>
                <w:rFonts w:ascii="Cambria Math" w:eastAsia="Kozuka Mincho Pro B" w:hAnsi="Cambria Math"/>
              </w:rPr>
              <m:t>=35</m:t>
            </m:r>
          </m:e>
        </m:d>
      </m:oMath>
      <w:r w:rsidR="008F5C9E" w:rsidRPr="004F5A11">
        <w:rPr>
          <w:rFonts w:eastAsia="Kozuka Mincho Pro B"/>
        </w:rPr>
        <w:t xml:space="preserve">                                   .(6)</w:t>
      </w:r>
    </w:p>
    <w:p w:rsidR="008F5C9E" w:rsidRPr="004F5A11" w:rsidRDefault="003249CB" w:rsidP="008F5C9E">
      <w:pPr>
        <w:spacing w:line="480" w:lineRule="auto"/>
        <w:ind w:left="2160" w:firstLine="720"/>
        <w:jc w:val="both"/>
        <w:rPr>
          <w:rFonts w:eastAsia="Kozuka Mincho Pro B"/>
        </w:rPr>
      </w:pPr>
      <m:oMath>
        <m:sSub>
          <m:sSubPr>
            <m:ctrlPr>
              <w:rPr>
                <w:rFonts w:ascii="Cambria Math" w:eastAsia="Kozuka Mincho Pro B" w:hAnsi="Cambria Math"/>
                <w:i/>
              </w:rPr>
            </m:ctrlPr>
          </m:sSubPr>
          <m:e>
            <m:r>
              <w:rPr>
                <w:rFonts w:ascii="Cambria Math" w:eastAsia="Kozuka Mincho Pro B" w:hAnsi="Cambria Math"/>
              </w:rPr>
              <m:t>X</m:t>
            </m:r>
          </m:e>
          <m:sub>
            <m:r>
              <m:rPr>
                <m:sty m:val="p"/>
              </m:rPr>
              <w:rPr>
                <w:rFonts w:ascii="Cambria Math" w:hAnsi="Cambria Math" w:cs="Arial"/>
                <w:color w:val="202124"/>
                <w:shd w:val="clear" w:color="auto" w:fill="FFFFFF"/>
              </w:rPr>
              <m:t>γ</m:t>
            </m:r>
          </m:sub>
        </m:sSub>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filtered_band</m:t>
            </m:r>
          </m:sub>
        </m:sSub>
        <m:d>
          <m:dPr>
            <m:begChr m:val="{"/>
            <m:endChr m:val="}"/>
            <m:ctrlPr>
              <w:rPr>
                <w:rFonts w:ascii="Cambria Math" w:eastAsia="Kozuka Mincho Pro B" w:hAnsi="Cambria Math"/>
                <w:i/>
              </w:rPr>
            </m:ctrlPr>
          </m:dPr>
          <m:e>
            <m:sSub>
              <m:sSubPr>
                <m:ctrlPr>
                  <w:rPr>
                    <w:rFonts w:ascii="Cambria Math" w:eastAsia="Kozuka Mincho Pro B" w:hAnsi="Cambria Math"/>
                    <w:i/>
                  </w:rPr>
                </m:ctrlPr>
              </m:sSubPr>
              <m:e>
                <m:sSub>
                  <m:sSubPr>
                    <m:ctrlPr>
                      <w:rPr>
                        <w:rFonts w:ascii="Cambria Math" w:eastAsia="Kozuka Mincho Pro B" w:hAnsi="Cambria Math"/>
                        <w:i/>
                      </w:rPr>
                    </m:ctrlPr>
                  </m:sSubPr>
                  <m:e>
                    <m:r>
                      <w:rPr>
                        <w:rFonts w:ascii="Cambria Math" w:eastAsia="Kozuka Mincho Pro B" w:hAnsi="Cambria Math"/>
                      </w:rPr>
                      <m:t>f</m:t>
                    </m:r>
                  </m:e>
                  <m:sub>
                    <m:r>
                      <w:rPr>
                        <w:rFonts w:ascii="Cambria Math" w:eastAsia="Kozuka Mincho Pro B" w:hAnsi="Cambria Math"/>
                      </w:rPr>
                      <m:t>c1</m:t>
                    </m:r>
                  </m:sub>
                </m:sSub>
                <m:r>
                  <w:rPr>
                    <w:rFonts w:ascii="Cambria Math" w:eastAsia="Kozuka Mincho Pro B" w:hAnsi="Cambria Math"/>
                  </w:rPr>
                  <m:t>=36,f</m:t>
                </m:r>
              </m:e>
              <m:sub>
                <m:r>
                  <w:rPr>
                    <w:rFonts w:ascii="Cambria Math" w:eastAsia="Kozuka Mincho Pro B" w:hAnsi="Cambria Math"/>
                  </w:rPr>
                  <m:t>c2</m:t>
                </m:r>
              </m:sub>
            </m:sSub>
            <m:r>
              <w:rPr>
                <w:rFonts w:ascii="Cambria Math" w:eastAsia="Kozuka Mincho Pro B" w:hAnsi="Cambria Math"/>
              </w:rPr>
              <m:t>=48</m:t>
            </m:r>
          </m:e>
        </m:d>
      </m:oMath>
      <w:r w:rsidR="008F5C9E" w:rsidRPr="004F5A11">
        <w:rPr>
          <w:rFonts w:eastAsia="Kozuka Mincho Pro B"/>
        </w:rPr>
        <w:t xml:space="preserve">                                    .(7)</w:t>
      </w:r>
    </w:p>
    <w:p w:rsidR="008F5C9E" w:rsidRPr="004F5A11" w:rsidRDefault="008F5C9E" w:rsidP="008F5C9E">
      <w:pPr>
        <w:spacing w:line="480" w:lineRule="auto"/>
        <w:ind w:firstLine="720"/>
        <w:jc w:val="both"/>
        <w:rPr>
          <w:rFonts w:eastAsia="Kozuka Mincho Pro B"/>
        </w:rPr>
      </w:pPr>
      <w:r w:rsidRPr="004F5A11">
        <w:rPr>
          <w:rFonts w:eastAsia="Kozuka Mincho Pro B"/>
        </w:rPr>
        <w:t>Global Field Power (GFP) is computed for each frequency band-limited EEG data for each time point. GFP is equivalent to the standard deviation of the electric voltage for a given time frame used to identify changes in the overall level of activation of the brain. It is expressed as:</w:t>
      </w:r>
    </w:p>
    <w:p w:rsidR="008F5C9E" w:rsidRPr="004F5A11" w:rsidRDefault="008F5C9E" w:rsidP="008F5C9E">
      <w:pPr>
        <w:spacing w:line="480" w:lineRule="auto"/>
        <w:ind w:left="720" w:firstLine="720"/>
        <w:jc w:val="center"/>
        <w:rPr>
          <w:rFonts w:eastAsia="Kozuka Mincho Pro B"/>
        </w:rPr>
      </w:pPr>
      <w:r w:rsidRPr="004F5A11">
        <w:rPr>
          <w:rFonts w:eastAsia="Kozuka Mincho Pro B"/>
        </w:rPr>
        <w:t xml:space="preserve">                 </w:t>
      </w:r>
      <m:oMath>
        <m:sSub>
          <m:sSubPr>
            <m:ctrlPr>
              <w:rPr>
                <w:rFonts w:ascii="Cambria Math" w:eastAsia="Kozuka Mincho Pro B" w:hAnsi="Cambria Math"/>
              </w:rPr>
            </m:ctrlPr>
          </m:sSubPr>
          <m:e>
            <m:r>
              <w:rPr>
                <w:rFonts w:ascii="Cambria Math" w:eastAsia="Kozuka Mincho Pro B" w:hAnsi="Cambria Math"/>
              </w:rPr>
              <m:t>GFP</m:t>
            </m:r>
          </m:e>
          <m:sub>
            <m:r>
              <w:rPr>
                <w:rFonts w:ascii="Cambria Math" w:eastAsia="Kozuka Mincho Pro B" w:hAnsi="Cambria Math"/>
              </w:rPr>
              <m:t>filtered_band</m:t>
            </m:r>
          </m:sub>
        </m:sSub>
        <m:r>
          <w:rPr>
            <w:rFonts w:ascii="Cambria Math" w:eastAsia="Kozuka Mincho Pro B" w:hAnsi="Cambria Math"/>
          </w:rPr>
          <m:t>=</m:t>
        </m:r>
        <m:f>
          <m:fPr>
            <m:ctrlPr>
              <w:rPr>
                <w:rFonts w:ascii="Cambria Math" w:eastAsia="Kozuka Mincho Pro B" w:hAnsi="Cambria Math"/>
                <w:i/>
              </w:rPr>
            </m:ctrlPr>
          </m:fPr>
          <m:num>
            <m:rad>
              <m:radPr>
                <m:degHide m:val="1"/>
                <m:ctrlPr>
                  <w:rPr>
                    <w:rFonts w:ascii="Cambria Math" w:eastAsia="Kozuka Mincho Pro B" w:hAnsi="Cambria Math"/>
                    <w:i/>
                  </w:rPr>
                </m:ctrlPr>
              </m:radPr>
              <m:deg/>
              <m:e>
                <m:nary>
                  <m:naryPr>
                    <m:chr m:val="∑"/>
                    <m:limLoc m:val="undOvr"/>
                    <m:ctrlPr>
                      <w:rPr>
                        <w:rFonts w:ascii="Cambria Math" w:eastAsia="Kozuka Mincho Pro B" w:hAnsi="Cambria Math"/>
                        <w:i/>
                      </w:rPr>
                    </m:ctrlPr>
                  </m:naryPr>
                  <m:sub>
                    <m:r>
                      <w:rPr>
                        <w:rFonts w:ascii="Cambria Math" w:eastAsia="Kozuka Mincho Pro B" w:hAnsi="Cambria Math"/>
                      </w:rPr>
                      <m:t>i=1</m:t>
                    </m:r>
                  </m:sub>
                  <m:sup>
                    <m:r>
                      <w:rPr>
                        <w:rFonts w:ascii="Cambria Math" w:eastAsia="Kozuka Mincho Pro B" w:hAnsi="Cambria Math"/>
                      </w:rPr>
                      <m:t>M</m:t>
                    </m:r>
                  </m:sup>
                  <m:e>
                    <m:sSup>
                      <m:sSupPr>
                        <m:ctrlPr>
                          <w:rPr>
                            <w:rFonts w:ascii="Cambria Math" w:eastAsia="Kozuka Mincho Pro B" w:hAnsi="Cambria Math"/>
                            <w:i/>
                          </w:rPr>
                        </m:ctrlPr>
                      </m:sSupPr>
                      <m:e>
                        <m:d>
                          <m:dPr>
                            <m:ctrlPr>
                              <w:rPr>
                                <w:rFonts w:ascii="Cambria Math" w:eastAsia="Kozuka Mincho Pro B" w:hAnsi="Cambria Math"/>
                                <w:i/>
                              </w:rPr>
                            </m:ctrlPr>
                          </m:d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i,filtered_band</m:t>
                                </m:r>
                              </m:sub>
                            </m:sSub>
                            <m:r>
                              <w:rPr>
                                <w:rFonts w:ascii="Cambria Math" w:eastAsia="Kozuka Mincho Pro B" w:hAnsi="Cambria Math"/>
                              </w:rPr>
                              <m:t>-</m:t>
                            </m:r>
                            <m:acc>
                              <m:accPr>
                                <m:chr m:val="̅"/>
                                <m:ctrlPr>
                                  <w:rPr>
                                    <w:rFonts w:ascii="Cambria Math" w:eastAsia="Kozuka Mincho Pro B" w:hAnsi="Cambria Math"/>
                                    <w:i/>
                                  </w:rPr>
                                </m:ctrlPr>
                              </m:acc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i,filtered_band</m:t>
                                    </m:r>
                                  </m:sub>
                                </m:sSub>
                              </m:e>
                            </m:acc>
                          </m:e>
                        </m:d>
                      </m:e>
                      <m:sup>
                        <m:r>
                          <w:rPr>
                            <w:rFonts w:ascii="Cambria Math" w:eastAsia="Kozuka Mincho Pro B" w:hAnsi="Cambria Math"/>
                          </w:rPr>
                          <m:t>2</m:t>
                        </m:r>
                      </m:sup>
                    </m:sSup>
                  </m:e>
                </m:nary>
              </m:e>
            </m:rad>
          </m:num>
          <m:den>
            <m:r>
              <w:rPr>
                <w:rFonts w:ascii="Cambria Math" w:eastAsia="Kozuka Mincho Pro B" w:hAnsi="Cambria Math"/>
              </w:rPr>
              <m:t>M</m:t>
            </m:r>
          </m:den>
        </m:f>
      </m:oMath>
      <w:r w:rsidRPr="004F5A11">
        <w:rPr>
          <w:rFonts w:eastAsia="Kozuka Mincho Pro B"/>
        </w:rPr>
        <w:t xml:space="preserve">                      .(8)</w:t>
      </w:r>
    </w:p>
    <w:p w:rsidR="008F5C9E" w:rsidRPr="004F5A11" w:rsidRDefault="008F5C9E" w:rsidP="008F5C9E">
      <w:pPr>
        <w:spacing w:line="480" w:lineRule="auto"/>
        <w:ind w:firstLine="720"/>
        <w:jc w:val="both"/>
        <w:rPr>
          <w:rFonts w:eastAsia="Kozuka Mincho Pro B"/>
        </w:rPr>
      </w:pPr>
      <w:r w:rsidRPr="004F5A11">
        <w:rPr>
          <w:rFonts w:eastAsia="Kozuka Mincho Pro B"/>
        </w:rPr>
        <w:t xml:space="preserve">Where M is the number of channels, </w:t>
      </w:r>
      <m:oMath>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i,filtered_band</m:t>
            </m:r>
          </m:sub>
        </m:sSub>
      </m:oMath>
      <w:r w:rsidRPr="004F5A11">
        <w:rPr>
          <w:rFonts w:eastAsia="Kozuka Mincho Pro B"/>
        </w:rPr>
        <w:t xml:space="preserve"> is the voltage at electrode i for selected frequency band and </w:t>
      </w:r>
      <m:oMath>
        <m:acc>
          <m:accPr>
            <m:chr m:val="̅"/>
            <m:ctrlPr>
              <w:rPr>
                <w:rFonts w:ascii="Cambria Math" w:eastAsia="Kozuka Mincho Pro B" w:hAnsi="Cambria Math"/>
                <w:i/>
              </w:rPr>
            </m:ctrlPr>
          </m:acc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i,filtered_band</m:t>
                </m:r>
              </m:sub>
            </m:sSub>
          </m:e>
        </m:acc>
      </m:oMath>
      <w:r w:rsidRPr="004F5A11">
        <w:rPr>
          <w:rFonts w:eastAsia="Kozuka Mincho Pro B"/>
        </w:rPr>
        <w:t xml:space="preserve"> is the average voltage of electrode of map. </w:t>
      </w:r>
    </w:p>
    <w:p w:rsidR="008F5C9E" w:rsidRPr="004F5A11" w:rsidRDefault="008F5C9E" w:rsidP="008F5C9E">
      <w:pPr>
        <w:spacing w:line="480" w:lineRule="auto"/>
        <w:ind w:firstLine="720"/>
        <w:jc w:val="both"/>
        <w:rPr>
          <w:rFonts w:eastAsia="Kozuka Mincho Pro B"/>
        </w:rPr>
      </w:pPr>
      <w:r w:rsidRPr="004F5A11">
        <w:rPr>
          <w:rFonts w:eastAsia="Kozuka Mincho Pro B"/>
        </w:rPr>
        <w:t xml:space="preserve">GFP peaks are extracted for each frequency band with a minimum peak distance of 10 ms using the above equations. The minimum distance between GFP peaks ensures the distinctness of </w:t>
      </w:r>
      <w:r w:rsidRPr="004F5A11">
        <w:rPr>
          <w:rFonts w:eastAsia="Kozuka Mincho Pro B"/>
        </w:rPr>
        <w:lastRenderedPageBreak/>
        <w:t xml:space="preserve">peaks. Aggregated GFP peak data for each band from 70 volunteers are subjected to the predefined K-means clustering algorithm. A modified K-means clustering algorithm </w:t>
      </w:r>
      <w:r w:rsidRPr="004F5A11">
        <w:rPr>
          <w:rFonts w:eastAsia="Kozuka Mincho Pro B"/>
        </w:rPr>
        <w:fldChar w:fldCharType="begin" w:fldLock="1"/>
      </w:r>
      <w:r w:rsidRPr="004F5A11">
        <w:rPr>
          <w:rFonts w:eastAsia="Kozuka Mincho Pro B"/>
        </w:rPr>
        <w:instrText>ADDIN CSL_CITATION {"citationItems":[{"id":"ITEM-1","itemData":{"DOI":"10.1109/10.391164","ISSN":"15582531","PMID":"7622149","abstract":"A brain microstate is defined as a functional/physiological state of the brain during which specific neural computations are performed. It is characterized uniquely by a fixed spatial distribution of active neuronal generators with time varying intensity. Brain electrical activity is modeled as being composed of a time sequence of nonoverlapping microstates with variable duration. A precise mathematical formulation of the model for evoked potential recordings is presented, where the microstates are represented as normalized vectors constituted by scalp electric potentials due to the underlying generators. An algorithm is developed for estimating the microstates, based on a modified version of the classical k-means clustering method, in which cluster orientations are estimated. Consequently, each instantaneous multichannel evoked potential measurement is classified as belonging to some microstate, thus producing a natural segmentation of brain activity. Use is made of statistical image segmentation techniques for obtaining smooth continuous segments. Time varying intensities are estimated by projecting the measurements onto their corresponding microstates. A goodness of fit statistic for the model is presented. Finally, a method is introduced for estimating the number of microstates, based on nonparametric data-driven statistical resampling techniques. © 1995 IEEE","author":[{"dropping-particle":"","family":"Pascual-Marqui","given":"Roberto D.","non-dropping-particle":"","parse-names":false,"suffix":""},{"dropping-particle":"","family":"Michel","given":"Christoph M.","non-dropping-particle":"","parse-names":false,"suffix":""},{"dropping-particle":"","family":"Lehmann","given":"Dietrich","non-dropping-particle":"","parse-names":false,"suffix":""}],"container-title":"IEEE Transactions on Biomedical Engineering","id":"ITEM-1","issue":"7","issued":{"date-parts":[["1995"]]},"page":"658-665","title":"Segmentation of Brain Electrical Activity into Microstates; Model Estimation and Validation","type":"article-journal","volume":"42"},"uris":["http://www.mendeley.com/documents/?uuid=a860874c-deb5-4c34-b8bc-e52a0c5830c8"]}],"mendeley":{"formattedCitation":"(Pascual-Marqui et al., 1995)","plainTextFormattedCitation":"(Pascual-Marqui et al., 1995)","previouslyFormattedCitation":"(Pascual-Marqui et al., 1995)"},"properties":{"noteIndex":0},"schema":"https://github.com/citation-style-language/schema/raw/master/csl-citation.json"}</w:instrText>
      </w:r>
      <w:r w:rsidRPr="004F5A11">
        <w:rPr>
          <w:rFonts w:eastAsia="Kozuka Mincho Pro B"/>
        </w:rPr>
        <w:fldChar w:fldCharType="separate"/>
      </w:r>
      <w:r w:rsidRPr="004F5A11">
        <w:rPr>
          <w:rFonts w:eastAsia="Kozuka Mincho Pro B"/>
          <w:noProof/>
        </w:rPr>
        <w:t>(Pascual-Marqui et al., 1995)</w:t>
      </w:r>
      <w:r w:rsidRPr="004F5A11">
        <w:rPr>
          <w:rFonts w:eastAsia="Kozuka Mincho Pro B"/>
        </w:rPr>
        <w:fldChar w:fldCharType="end"/>
      </w:r>
      <w:r w:rsidRPr="004F5A11">
        <w:rPr>
          <w:rFonts w:eastAsia="Kozuka Mincho Pro B"/>
        </w:rPr>
        <w:t xml:space="preserve"> is used to identify the microstate topographic clusters from segmented data since it ignores the polarity of the EEG topography. The microstate classes are observed as ‘directions’ in a multi-dimensional topographical space, and these microstate activations quantify the distance of EEG signal along a microstate-orientation at a given time point.</w:t>
      </w:r>
    </w:p>
    <w:p w:rsidR="008F5C9E" w:rsidRPr="004F5A11" w:rsidRDefault="003249CB" w:rsidP="008F5C9E">
      <w:pPr>
        <w:spacing w:line="480" w:lineRule="auto"/>
        <w:ind w:left="2880"/>
        <w:jc w:val="center"/>
        <w:rPr>
          <w:rFonts w:eastAsia="Kozuka Mincho Pro B"/>
        </w:rPr>
      </w:pPr>
      <m:oMath>
        <m:sSub>
          <m:sSubPr>
            <m:ctrlPr>
              <w:rPr>
                <w:rFonts w:ascii="Cambria Math" w:eastAsiaTheme="minorHAnsi" w:hAnsi="Cambria Math" w:cs="SFBX1095"/>
              </w:rPr>
            </m:ctrlPr>
          </m:sSubPr>
          <m:e>
            <m:r>
              <w:rPr>
                <w:rFonts w:ascii="Cambria Math" w:eastAsiaTheme="minorHAnsi" w:hAnsi="Cambria Math" w:cs="SFBX1095"/>
              </w:rPr>
              <m:t>x</m:t>
            </m:r>
          </m:e>
          <m:sub>
            <m:r>
              <w:rPr>
                <w:rFonts w:ascii="Cambria Math" w:eastAsiaTheme="minorHAnsi" w:hAnsi="Cambria Math" w:cs="SFBX1095"/>
              </w:rPr>
              <m:t>n</m:t>
            </m:r>
          </m:sub>
        </m:sSub>
        <m:r>
          <w:rPr>
            <w:rFonts w:ascii="Cambria Math" w:eastAsiaTheme="minorHAnsi" w:hAnsi="Cambria Math" w:cs="SFBX1095"/>
          </w:rPr>
          <m:t>=</m:t>
        </m:r>
        <m:sSub>
          <m:sSubPr>
            <m:ctrlPr>
              <w:rPr>
                <w:rFonts w:ascii="Cambria Math" w:eastAsiaTheme="minorHAnsi" w:hAnsi="Cambria Math" w:cs="SFBX1095"/>
              </w:rPr>
            </m:ctrlPr>
          </m:sSubPr>
          <m:e>
            <m:r>
              <w:rPr>
                <w:rFonts w:ascii="Cambria Math" w:eastAsiaTheme="minorHAnsi" w:hAnsi="Cambria Math" w:cs="SFBX1095"/>
              </w:rPr>
              <m:t>Az</m:t>
            </m:r>
          </m:e>
          <m:sub>
            <m:r>
              <w:rPr>
                <w:rFonts w:ascii="Cambria Math" w:eastAsiaTheme="minorHAnsi" w:hAnsi="Cambria Math" w:cs="SFBX1095"/>
              </w:rPr>
              <m:t>n</m:t>
            </m:r>
          </m:sub>
        </m:sSub>
        <m:r>
          <w:rPr>
            <w:rFonts w:ascii="Cambria Math" w:eastAsiaTheme="minorHAnsi" w:hAnsi="Cambria Math" w:cs="SFBX1095"/>
          </w:rPr>
          <m:t>+</m:t>
        </m:r>
        <m:sSub>
          <m:sSubPr>
            <m:ctrlPr>
              <w:rPr>
                <w:rFonts w:ascii="Cambria Math" w:eastAsiaTheme="minorHAnsi" w:hAnsi="Cambria Math" w:cs="SFBX1095"/>
              </w:rPr>
            </m:ctrlPr>
          </m:sSubPr>
          <m:e>
            <m:r>
              <w:rPr>
                <w:rFonts w:ascii="Cambria Math" w:eastAsiaTheme="minorHAnsi" w:hAnsi="Cambria Math" w:cs="SFBX1095"/>
              </w:rPr>
              <m:t>∈</m:t>
            </m:r>
          </m:e>
          <m:sub>
            <m:r>
              <w:rPr>
                <w:rFonts w:ascii="Cambria Math" w:eastAsiaTheme="minorHAnsi" w:hAnsi="Cambria Math" w:cs="SFBX1095"/>
              </w:rPr>
              <m:t>n</m:t>
            </m:r>
          </m:sub>
        </m:sSub>
      </m:oMath>
      <w:r w:rsidR="008F5C9E" w:rsidRPr="004F5A11">
        <w:rPr>
          <w:rFonts w:ascii="SFBX1095" w:eastAsiaTheme="minorEastAsia" w:hAnsi="SFBX1095" w:cs="SFBX1095"/>
        </w:rPr>
        <w:t xml:space="preserve"> for n=1 : N                                                           </w:t>
      </w:r>
      <w:r w:rsidR="008F5C9E" w:rsidRPr="004F5A11">
        <w:rPr>
          <w:rFonts w:eastAsia="Kozuka Mincho Pro B"/>
        </w:rPr>
        <w:t>.(9)</w:t>
      </w:r>
    </w:p>
    <w:p w:rsidR="008F5C9E" w:rsidRPr="004F5A11" w:rsidRDefault="008F5C9E" w:rsidP="008F5C9E">
      <w:pPr>
        <w:spacing w:line="480" w:lineRule="auto"/>
        <w:jc w:val="both"/>
        <w:rPr>
          <w:rFonts w:eastAsia="Kozuka Mincho Pro B"/>
        </w:rPr>
      </w:pPr>
      <w:r w:rsidRPr="004F5A11">
        <w:rPr>
          <w:rFonts w:eastAsiaTheme="minorHAnsi"/>
        </w:rPr>
        <w:t xml:space="preserve">Where </w:t>
      </w:r>
      <m:oMath>
        <m:sSub>
          <m:sSubPr>
            <m:ctrlPr>
              <w:rPr>
                <w:rFonts w:ascii="Cambria Math" w:eastAsiaTheme="minorHAnsi" w:hAnsi="Cambria Math"/>
              </w:rPr>
            </m:ctrlPr>
          </m:sSubPr>
          <m:e>
            <m:r>
              <w:rPr>
                <w:rFonts w:ascii="Cambria Math" w:eastAsiaTheme="minorHAnsi" w:hAnsi="Cambria Math"/>
              </w:rPr>
              <m:t>x</m:t>
            </m:r>
          </m:e>
          <m:sub>
            <m:r>
              <w:rPr>
                <w:rFonts w:ascii="Cambria Math" w:eastAsiaTheme="minorHAnsi" w:hAnsi="Cambria Math"/>
              </w:rPr>
              <m:t>n</m:t>
            </m:r>
          </m:sub>
        </m:sSub>
      </m:oMath>
      <w:r w:rsidRPr="004F5A11">
        <w:rPr>
          <w:rFonts w:eastAsiaTheme="minorEastAsia"/>
        </w:rPr>
        <w:t xml:space="preserve"> is the n</w:t>
      </w:r>
      <w:r w:rsidRPr="004F5A11">
        <w:rPr>
          <w:rFonts w:eastAsiaTheme="minorEastAsia"/>
          <w:vertAlign w:val="superscript"/>
        </w:rPr>
        <w:t>th</w:t>
      </w:r>
      <w:r w:rsidRPr="004F5A11">
        <w:rPr>
          <w:rFonts w:eastAsiaTheme="minorEastAsia"/>
        </w:rPr>
        <w:t xml:space="preserve"> time sample of EEG, A is prototypical maps for K clusters, </w:t>
      </w:r>
      <m:oMath>
        <m:sSub>
          <m:sSubPr>
            <m:ctrlPr>
              <w:rPr>
                <w:rFonts w:ascii="Cambria Math" w:eastAsiaTheme="minorHAnsi" w:hAnsi="Cambria Math"/>
              </w:rPr>
            </m:ctrlPr>
          </m:sSubPr>
          <m:e>
            <m:r>
              <w:rPr>
                <w:rFonts w:ascii="Cambria Math" w:eastAsiaTheme="minorHAnsi" w:hAnsi="Cambria Math"/>
              </w:rPr>
              <m:t>z</m:t>
            </m:r>
          </m:e>
          <m:sub>
            <m:r>
              <w:rPr>
                <w:rFonts w:ascii="Cambria Math" w:eastAsiaTheme="minorHAnsi" w:hAnsi="Cambria Math"/>
              </w:rPr>
              <m:t>n</m:t>
            </m:r>
          </m:sub>
        </m:sSub>
      </m:oMath>
      <w:r w:rsidRPr="004F5A11">
        <w:rPr>
          <w:rFonts w:eastAsiaTheme="minorEastAsia"/>
        </w:rPr>
        <w:t xml:space="preserve"> is  m</w:t>
      </w:r>
      <w:r w:rsidRPr="004F5A11">
        <w:rPr>
          <w:rFonts w:eastAsia="Kozuka Mincho Pro B"/>
        </w:rPr>
        <w:t>icrostate activations for the n’</w:t>
      </w:r>
      <w:r w:rsidRPr="004F5A11">
        <w:rPr>
          <w:rFonts w:eastAsia="Kozuka Mincho Pro B"/>
          <w:vertAlign w:val="superscript"/>
        </w:rPr>
        <w:t>th</w:t>
      </w:r>
      <w:r w:rsidRPr="004F5A11">
        <w:rPr>
          <w:rFonts w:eastAsia="Kozuka Mincho Pro B"/>
        </w:rPr>
        <w:t xml:space="preserve"> time sample and </w:t>
      </w:r>
      <m:oMath>
        <m:sSub>
          <m:sSubPr>
            <m:ctrlPr>
              <w:rPr>
                <w:rFonts w:ascii="Cambria Math" w:eastAsiaTheme="minorHAnsi" w:hAnsi="Cambria Math"/>
              </w:rPr>
            </m:ctrlPr>
          </m:sSubPr>
          <m:e>
            <m:r>
              <w:rPr>
                <w:rFonts w:ascii="Cambria Math" w:eastAsiaTheme="minorHAnsi" w:hAnsi="Cambria Math"/>
              </w:rPr>
              <m:t>∈</m:t>
            </m:r>
          </m:e>
          <m:sub>
            <m:r>
              <w:rPr>
                <w:rFonts w:ascii="Cambria Math" w:eastAsiaTheme="minorHAnsi" w:hAnsi="Cambria Math"/>
              </w:rPr>
              <m:t>n</m:t>
            </m:r>
          </m:sub>
        </m:sSub>
      </m:oMath>
      <w:r w:rsidRPr="004F5A11">
        <w:rPr>
          <w:rFonts w:eastAsia="Kozuka Mincho Pro B"/>
        </w:rPr>
        <w:t xml:space="preserve"> is the error term.  The microstate label of an EEG sample is found as the microstate index, k, that minimizes the orthogonal squared Euclidean distance, </w:t>
      </w:r>
    </w:p>
    <w:p w:rsidR="008F5C9E" w:rsidRPr="004F5A11" w:rsidRDefault="003249CB" w:rsidP="008F5C9E">
      <w:pPr>
        <w:spacing w:line="480" w:lineRule="auto"/>
        <w:ind w:left="2880" w:firstLine="720"/>
        <w:jc w:val="center"/>
        <w:rPr>
          <w:rFonts w:eastAsia="Kozuka Mincho Pro B"/>
        </w:rPr>
      </w:pPr>
      <m:oMath>
        <m:sSub>
          <m:sSubPr>
            <m:ctrlPr>
              <w:rPr>
                <w:rFonts w:ascii="Cambria Math" w:eastAsiaTheme="minorHAnsi" w:hAnsi="Cambria Math" w:cs="SFBX1095"/>
              </w:rPr>
            </m:ctrlPr>
          </m:sSubPr>
          <m:e>
            <m:r>
              <w:rPr>
                <w:rFonts w:ascii="Cambria Math" w:eastAsiaTheme="minorHAnsi" w:hAnsi="Cambria Math" w:cs="SFBX1095"/>
              </w:rPr>
              <m:t>l</m:t>
            </m:r>
          </m:e>
          <m:sub>
            <m:r>
              <w:rPr>
                <w:rFonts w:ascii="Cambria Math" w:eastAsiaTheme="minorHAnsi" w:hAnsi="Cambria Math" w:cs="SFBX1095"/>
              </w:rPr>
              <m:t>n</m:t>
            </m:r>
          </m:sub>
        </m:sSub>
        <m:r>
          <w:rPr>
            <w:rFonts w:ascii="Cambria Math" w:eastAsia="Kozuka Mincho Pro B" w:hAnsi="Cambria Math"/>
          </w:rPr>
          <m:t xml:space="preserve">=arg </m:t>
        </m:r>
        <m:func>
          <m:funcPr>
            <m:ctrlPr>
              <w:rPr>
                <w:rFonts w:ascii="Cambria Math" w:eastAsia="Kozuka Mincho Pro B" w:hAnsi="Cambria Math"/>
                <w:i/>
              </w:rPr>
            </m:ctrlPr>
          </m:funcPr>
          <m:fName>
            <m:limLow>
              <m:limLowPr>
                <m:ctrlPr>
                  <w:rPr>
                    <w:rFonts w:ascii="Cambria Math" w:eastAsia="Kozuka Mincho Pro B" w:hAnsi="Cambria Math"/>
                    <w:i/>
                  </w:rPr>
                </m:ctrlPr>
              </m:limLowPr>
              <m:e>
                <m:r>
                  <m:rPr>
                    <m:sty m:val="p"/>
                  </m:rPr>
                  <w:rPr>
                    <w:rFonts w:ascii="Cambria Math" w:eastAsia="Kozuka Mincho Pro B" w:hAnsi="Cambria Math"/>
                  </w:rPr>
                  <m:t>min</m:t>
                </m:r>
              </m:e>
              <m:lim>
                <m:r>
                  <w:rPr>
                    <w:rFonts w:ascii="Cambria Math" w:eastAsia="Kozuka Mincho Pro B" w:hAnsi="Cambria Math"/>
                  </w:rPr>
                  <m:t>k</m:t>
                </m:r>
              </m:lim>
            </m:limLow>
          </m:fName>
          <m:e>
            <m:d>
              <m:dPr>
                <m:begChr m:val="{"/>
                <m:endChr m:val="}"/>
                <m:ctrlPr>
                  <w:rPr>
                    <w:rFonts w:ascii="Cambria Math" w:eastAsia="Kozuka Mincho Pro B" w:hAnsi="Cambria Math"/>
                    <w:i/>
                  </w:rPr>
                </m:ctrlPr>
              </m:dPr>
              <m:e>
                <m:sSubSup>
                  <m:sSubSupPr>
                    <m:ctrlPr>
                      <w:rPr>
                        <w:rFonts w:ascii="Cambria Math" w:eastAsia="Kozuka Mincho Pro B" w:hAnsi="Cambria Math"/>
                        <w:i/>
                      </w:rPr>
                    </m:ctrlPr>
                  </m:sSubSupPr>
                  <m:e>
                    <m:r>
                      <w:rPr>
                        <w:rFonts w:ascii="Cambria Math" w:eastAsia="Kozuka Mincho Pro B" w:hAnsi="Cambria Math"/>
                      </w:rPr>
                      <m:t>d</m:t>
                    </m:r>
                  </m:e>
                  <m:sub>
                    <m:r>
                      <w:rPr>
                        <w:rFonts w:ascii="Cambria Math" w:eastAsia="Kozuka Mincho Pro B" w:hAnsi="Cambria Math"/>
                      </w:rPr>
                      <m:t>kn</m:t>
                    </m:r>
                  </m:sub>
                  <m:sup>
                    <m:r>
                      <w:rPr>
                        <w:rFonts w:ascii="Cambria Math" w:eastAsia="Kozuka Mincho Pro B" w:hAnsi="Cambria Math"/>
                      </w:rPr>
                      <m:t>2</m:t>
                    </m:r>
                  </m:sup>
                </m:sSubSup>
              </m:e>
            </m:d>
          </m:e>
        </m:func>
      </m:oMath>
      <w:r w:rsidR="008F5C9E" w:rsidRPr="004F5A11">
        <w:rPr>
          <w:rFonts w:eastAsia="Kozuka Mincho Pro B"/>
        </w:rPr>
        <w:t>,                                                     .(10)</w:t>
      </w:r>
    </w:p>
    <w:p w:rsidR="008F5C9E" w:rsidRPr="004F5A11" w:rsidRDefault="008F5C9E" w:rsidP="008F5C9E">
      <w:pPr>
        <w:spacing w:line="480" w:lineRule="auto"/>
        <w:ind w:left="2880" w:firstLine="720"/>
        <w:jc w:val="center"/>
        <w:rPr>
          <w:rFonts w:eastAsia="Kozuka Mincho Pro B"/>
        </w:rPr>
      </w:pPr>
      <m:oMath>
        <m:r>
          <w:rPr>
            <w:rFonts w:ascii="Cambria Math" w:eastAsia="Kozuka Mincho Pro B" w:hAnsi="Cambria Math"/>
          </w:rPr>
          <m:t xml:space="preserve">   </m:t>
        </m:r>
        <m:sSubSup>
          <m:sSubSupPr>
            <m:ctrlPr>
              <w:rPr>
                <w:rFonts w:ascii="Cambria Math" w:eastAsia="Kozuka Mincho Pro B" w:hAnsi="Cambria Math"/>
                <w:i/>
              </w:rPr>
            </m:ctrlPr>
          </m:sSubSupPr>
          <m:e>
            <m:r>
              <w:rPr>
                <w:rFonts w:ascii="Cambria Math" w:eastAsia="Kozuka Mincho Pro B" w:hAnsi="Cambria Math"/>
              </w:rPr>
              <m:t>d</m:t>
            </m:r>
          </m:e>
          <m:sub>
            <m:r>
              <w:rPr>
                <w:rFonts w:ascii="Cambria Math" w:eastAsia="Kozuka Mincho Pro B" w:hAnsi="Cambria Math"/>
              </w:rPr>
              <m:t>kn</m:t>
            </m:r>
          </m:sub>
          <m:sup>
            <m:r>
              <w:rPr>
                <w:rFonts w:ascii="Cambria Math" w:eastAsia="Kozuka Mincho Pro B" w:hAnsi="Cambria Math"/>
              </w:rPr>
              <m:t>2</m:t>
            </m:r>
          </m:sup>
        </m:sSubSup>
        <m:r>
          <w:rPr>
            <w:rFonts w:ascii="Cambria Math" w:eastAsia="Kozuka Mincho Pro B" w:hAnsi="Cambria Math"/>
          </w:rPr>
          <m:t>=</m:t>
        </m:r>
        <m:sSubSup>
          <m:sSubSupPr>
            <m:ctrlPr>
              <w:rPr>
                <w:rFonts w:ascii="Cambria Math" w:eastAsia="Kozuka Mincho Pro B" w:hAnsi="Cambria Math"/>
                <w:i/>
              </w:rPr>
            </m:ctrlPr>
          </m:sSubSupPr>
          <m:e>
            <m:r>
              <w:rPr>
                <w:rFonts w:ascii="Cambria Math" w:eastAsia="Kozuka Mincho Pro B" w:hAnsi="Cambria Math"/>
              </w:rPr>
              <m:t>x</m:t>
            </m:r>
          </m:e>
          <m:sub>
            <m:r>
              <w:rPr>
                <w:rFonts w:ascii="Cambria Math" w:eastAsia="Kozuka Mincho Pro B" w:hAnsi="Cambria Math"/>
              </w:rPr>
              <m:t>n</m:t>
            </m:r>
          </m:sub>
          <m:sup>
            <m:r>
              <w:rPr>
                <w:rFonts w:ascii="Cambria Math" w:eastAsia="Kozuka Mincho Pro B" w:hAnsi="Cambria Math"/>
              </w:rPr>
              <m:t>T</m:t>
            </m:r>
          </m:sup>
        </m:sSubSup>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n</m:t>
            </m:r>
          </m:sub>
        </m:sSub>
        <m:r>
          <w:rPr>
            <w:rFonts w:ascii="Cambria Math" w:eastAsia="Kozuka Mincho Pro B" w:hAnsi="Cambria Math"/>
          </w:rPr>
          <m:t>-</m:t>
        </m:r>
        <m:sSup>
          <m:sSupPr>
            <m:ctrlPr>
              <w:rPr>
                <w:rFonts w:ascii="Cambria Math" w:eastAsia="Kozuka Mincho Pro B" w:hAnsi="Cambria Math"/>
                <w:i/>
              </w:rPr>
            </m:ctrlPr>
          </m:sSupPr>
          <m:e>
            <m:d>
              <m:dPr>
                <m:ctrlPr>
                  <w:rPr>
                    <w:rFonts w:ascii="Cambria Math" w:eastAsia="Kozuka Mincho Pro B" w:hAnsi="Cambria Math"/>
                    <w:i/>
                  </w:rPr>
                </m:ctrlPr>
              </m:dPr>
              <m:e>
                <m:sSubSup>
                  <m:sSubSupPr>
                    <m:ctrlPr>
                      <w:rPr>
                        <w:rFonts w:ascii="Cambria Math" w:eastAsia="Kozuka Mincho Pro B" w:hAnsi="Cambria Math"/>
                        <w:i/>
                      </w:rPr>
                    </m:ctrlPr>
                  </m:sSubSupPr>
                  <m:e>
                    <m:r>
                      <w:rPr>
                        <w:rFonts w:ascii="Cambria Math" w:eastAsia="Kozuka Mincho Pro B" w:hAnsi="Cambria Math"/>
                      </w:rPr>
                      <m:t>x</m:t>
                    </m:r>
                  </m:e>
                  <m:sub>
                    <m:r>
                      <w:rPr>
                        <w:rFonts w:ascii="Cambria Math" w:eastAsia="Kozuka Mincho Pro B" w:hAnsi="Cambria Math"/>
                      </w:rPr>
                      <m:t>n</m:t>
                    </m:r>
                  </m:sub>
                  <m:sup>
                    <m:r>
                      <w:rPr>
                        <w:rFonts w:ascii="Cambria Math" w:eastAsia="Kozuka Mincho Pro B" w:hAnsi="Cambria Math"/>
                      </w:rPr>
                      <m:t>T</m:t>
                    </m:r>
                  </m:sup>
                </m:sSubSup>
                <m:r>
                  <w:rPr>
                    <w:rFonts w:ascii="Cambria Math" w:eastAsia="Kozuka Mincho Pro B" w:hAnsi="Cambria Math"/>
                  </w:rPr>
                  <m:t>.</m:t>
                </m:r>
                <m:sSub>
                  <m:sSubPr>
                    <m:ctrlPr>
                      <w:rPr>
                        <w:rFonts w:ascii="Cambria Math" w:eastAsia="Kozuka Mincho Pro B" w:hAnsi="Cambria Math"/>
                        <w:i/>
                      </w:rPr>
                    </m:ctrlPr>
                  </m:sSubPr>
                  <m:e>
                    <m:r>
                      <w:rPr>
                        <w:rFonts w:ascii="Cambria Math" w:eastAsia="Kozuka Mincho Pro B" w:hAnsi="Cambria Math"/>
                      </w:rPr>
                      <m:t>a</m:t>
                    </m:r>
                  </m:e>
                  <m:sub>
                    <m:r>
                      <w:rPr>
                        <w:rFonts w:ascii="Cambria Math" w:eastAsia="Kozuka Mincho Pro B" w:hAnsi="Cambria Math"/>
                      </w:rPr>
                      <m:t>k</m:t>
                    </m:r>
                  </m:sub>
                </m:sSub>
              </m:e>
            </m:d>
          </m:e>
          <m:sup>
            <m:r>
              <w:rPr>
                <w:rFonts w:ascii="Cambria Math" w:eastAsia="Kozuka Mincho Pro B" w:hAnsi="Cambria Math"/>
              </w:rPr>
              <m:t>2</m:t>
            </m:r>
          </m:sup>
        </m:sSup>
        <m:r>
          <w:rPr>
            <w:rFonts w:ascii="Cambria Math" w:eastAsia="Kozuka Mincho Pro B" w:hAnsi="Cambria Math"/>
          </w:rPr>
          <m:t xml:space="preserve">                                               </m:t>
        </m:r>
      </m:oMath>
      <w:r w:rsidRPr="004F5A11">
        <w:rPr>
          <w:rFonts w:eastAsia="Kozuka Mincho Pro B"/>
        </w:rPr>
        <w:t xml:space="preserve"> .(11)</w:t>
      </w:r>
    </w:p>
    <w:p w:rsidR="008F5C9E" w:rsidRPr="004F5A11" w:rsidRDefault="008F5C9E" w:rsidP="008F5C9E">
      <w:pPr>
        <w:spacing w:line="480" w:lineRule="auto"/>
        <w:ind w:firstLine="720"/>
        <w:jc w:val="both"/>
        <w:rPr>
          <w:rFonts w:eastAsia="Kozuka Mincho Pro B"/>
        </w:rPr>
      </w:pPr>
      <w:r w:rsidRPr="004F5A11">
        <w:rPr>
          <w:rFonts w:eastAsia="Kozuka Mincho Pro B"/>
        </w:rPr>
        <w:t xml:space="preserve">In this way, the algorithm groups it into a small set of classes based on topographic similarity and estimates for each microstate class a topographical prototype.  Clustering generated four microstates maps for each frequency band (delta, theta, alpha, beta, and gamma). After obtaining the microstate prototypes for each frequency band, the topography of each EEG sample is assigned to one of the microstate prototypes in back-fitting, it is most similar with, and the EEG signal for each frequency band is re-expressed as a sequence of microstate classes. </w:t>
      </w:r>
    </w:p>
    <w:p w:rsidR="008F5C9E" w:rsidRPr="004F5A11" w:rsidRDefault="008F5C9E" w:rsidP="008F5C9E">
      <w:pPr>
        <w:autoSpaceDE w:val="0"/>
        <w:autoSpaceDN w:val="0"/>
        <w:adjustRightInd w:val="0"/>
        <w:spacing w:line="480" w:lineRule="auto"/>
        <w:ind w:firstLine="720"/>
        <w:jc w:val="both"/>
        <w:rPr>
          <w:rFonts w:eastAsia="Kozuka Mincho Pro B"/>
        </w:rPr>
      </w:pPr>
      <w:r w:rsidRPr="004F5A11">
        <w:rPr>
          <w:rFonts w:eastAsia="Kozuka Mincho Pro B"/>
        </w:rPr>
        <w:t xml:space="preserve"> After estimating the microstate prototypes, measures of fit </w:t>
      </w:r>
      <w:r w:rsidRPr="004F5A11">
        <w:rPr>
          <w:rFonts w:eastAsia="Kozuka Mincho Pro B"/>
        </w:rPr>
        <w:fldChar w:fldCharType="begin" w:fldLock="1"/>
      </w:r>
      <w:r w:rsidRPr="004F5A11">
        <w:rPr>
          <w:rFonts w:eastAsia="Kozuka Mincho Pro B"/>
        </w:rPr>
        <w:instrText>ADDIN CSL_CITATION {"citationItems":[{"id":"ITEM-1","itemData":{"DOI":"10.1007/s10548-008-0054-5","ISSN":"08960267","PMID":"18347966","abstract":"In this tutorial review, we detail both the rationale for as well as the implementation of a set of analyses of surface-recorded event-related potentials (ERPs) that uses the reference-free spatial (i.e. topographic) information available from high-density electrode montages to render statistical information concerning modulations in response strength, latency, and topography both between and within experimental conditions. In these and other ways these topographic analysis methods allow the experimenter to glean additional information and neurophysiologic interpretability beyond what is available from canonical waveform analyses. In this tutorial we present the example of somatosensory evoked potentials (SEPs) in response to stimulation of each hand to illustrate these points. For each step of these analyses, we provide the reader with both a conceptual and mathematical description of how the analysis is carried out, what it yields, and how to interpret its statistical outcome. We show that these topographic analysis methods are intuitive and easy-to-use approaches that can remove much of the guesswork often confronting ERP researchers and also assist in identifying the information contained within high-density ERP datasets. © 2008 Springer Science+Business Media, LLC.","author":[{"dropping-particle":"","family":"Murray","given":"Micah M.","non-dropping-particle":"","parse-names":false,"suffix":""},{"dropping-particle":"","family":"Brunet","given":"Denis","non-dropping-particle":"","parse-names":false,"suffix":""},{"dropping-particle":"","family":"Michel","given":"Christoph M.","non-dropping-particle":"","parse-names":false,"suffix":""}],"container-title":"Brain Topography","id":"ITEM-1","issue":"4","issued":{"date-parts":[["2008"]]},"page":"249-264","title":"Topographic ERP analyses: A step-by-step tutorial review","type":"article-journal","volume":"20"},"uris":["http://www.mendeley.com/documents/?uuid=4c2c4c30-592c-4692-9989-e4b987950052"]}],"mendeley":{"formattedCitation":"(Murray et al., 2008)","plainTextFormattedCitation":"(Murray et al., 2008)","previouslyFormattedCitation":"(Murray et al., 2008)"},"properties":{"noteIndex":0},"schema":"https://github.com/citation-style-language/schema/raw/master/csl-citation.json"}</w:instrText>
      </w:r>
      <w:r w:rsidRPr="004F5A11">
        <w:rPr>
          <w:rFonts w:eastAsia="Kozuka Mincho Pro B"/>
        </w:rPr>
        <w:fldChar w:fldCharType="separate"/>
      </w:r>
      <w:r w:rsidRPr="004F5A11">
        <w:rPr>
          <w:rFonts w:eastAsia="Kozuka Mincho Pro B"/>
          <w:noProof/>
        </w:rPr>
        <w:t>(Murray et al., 2008)</w:t>
      </w:r>
      <w:r w:rsidRPr="004F5A11">
        <w:rPr>
          <w:rFonts w:eastAsia="Kozuka Mincho Pro B"/>
        </w:rPr>
        <w:fldChar w:fldCharType="end"/>
      </w:r>
      <w:r w:rsidRPr="004F5A11">
        <w:rPr>
          <w:rFonts w:eastAsia="Kozuka Mincho Pro B"/>
        </w:rPr>
        <w:t xml:space="preserve">  are calculated to make a qualitative decision to fit EEG data to the microstate prototypes based on the Global explained variance (GEV) and cross-validation criterion (CV). Global explained variance </w:t>
      </w:r>
      <w:r w:rsidRPr="004F5A11">
        <w:rPr>
          <w:rFonts w:eastAsia="Kozuka Mincho Pro B"/>
        </w:rPr>
        <w:lastRenderedPageBreak/>
        <w:t xml:space="preserve">(GEV) measures the similarity of each EEG sample with the assigned microstate prototype. GEV of all samples are aggregated </w:t>
      </w:r>
      <w:r w:rsidRPr="004F5A11">
        <w:rPr>
          <w:rFonts w:eastAsiaTheme="minorHAnsi"/>
        </w:rPr>
        <w:t>as a measure of fit for a microstate segmentation</w:t>
      </w:r>
      <w:r w:rsidRPr="004F5A11">
        <w:rPr>
          <w:rFonts w:eastAsia="Kozuka Mincho Pro B"/>
        </w:rPr>
        <w:t xml:space="preserve"> and calculated as:</w:t>
      </w:r>
    </w:p>
    <w:p w:rsidR="008F5C9E" w:rsidRPr="004F5A11" w:rsidRDefault="008F5C9E" w:rsidP="008F5C9E">
      <w:pPr>
        <w:spacing w:line="480" w:lineRule="auto"/>
        <w:ind w:left="2880" w:firstLine="720"/>
        <w:jc w:val="both"/>
        <w:rPr>
          <w:rFonts w:eastAsia="Kozuka Mincho Pro B"/>
        </w:rPr>
      </w:pPr>
      <m:oMath>
        <m:r>
          <m:rPr>
            <m:sty m:val="p"/>
          </m:rPr>
          <w:rPr>
            <w:rFonts w:ascii="Cambria Math" w:eastAsia="Kozuka Mincho Pro B" w:hAnsi="Cambria Math"/>
          </w:rPr>
          <m:t>GEV=</m:t>
        </m:r>
        <m:f>
          <m:fPr>
            <m:ctrlPr>
              <w:rPr>
                <w:rFonts w:ascii="Cambria Math" w:eastAsia="Kozuka Mincho Pro B" w:hAnsi="Cambria Math"/>
              </w:rPr>
            </m:ctrlPr>
          </m:fPr>
          <m:num>
            <m:sSup>
              <m:sSupPr>
                <m:ctrlPr>
                  <w:rPr>
                    <w:rFonts w:ascii="Cambria Math" w:eastAsia="Kozuka Mincho Pro B" w:hAnsi="Cambria Math"/>
                    <w:i/>
                  </w:rPr>
                </m:ctrlPr>
              </m:sSupPr>
              <m:e>
                <m:d>
                  <m:dPr>
                    <m:ctrlPr>
                      <w:rPr>
                        <w:rFonts w:ascii="Cambria Math" w:eastAsia="Kozuka Mincho Pro B" w:hAnsi="Cambria Math"/>
                        <w:i/>
                      </w:rPr>
                    </m:ctrlPr>
                  </m:dPr>
                  <m:e>
                    <m:r>
                      <w:rPr>
                        <w:rFonts w:ascii="Cambria Math" w:eastAsia="Kozuka Mincho Pro B" w:hAnsi="Cambria Math"/>
                      </w:rPr>
                      <m:t>Corr</m:t>
                    </m:r>
                    <m:d>
                      <m:dPr>
                        <m:ctrlPr>
                          <w:rPr>
                            <w:rFonts w:ascii="Cambria Math" w:eastAsia="Kozuka Mincho Pro B" w:hAnsi="Cambria Math"/>
                            <w:i/>
                          </w:rPr>
                        </m:ctrlPr>
                      </m:dPr>
                      <m:e>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n</m:t>
                            </m:r>
                          </m:sub>
                        </m:sSub>
                        <m:r>
                          <w:rPr>
                            <w:rFonts w:ascii="Cambria Math" w:eastAsia="Kozuka Mincho Pro B" w:hAnsi="Cambria Math"/>
                          </w:rPr>
                          <m:t>,</m:t>
                        </m:r>
                        <m:sSub>
                          <m:sSubPr>
                            <m:ctrlPr>
                              <w:rPr>
                                <w:rFonts w:ascii="Cambria Math" w:eastAsia="Kozuka Mincho Pro B" w:hAnsi="Cambria Math"/>
                                <w:i/>
                              </w:rPr>
                            </m:ctrlPr>
                          </m:sSubPr>
                          <m:e>
                            <m:r>
                              <w:rPr>
                                <w:rFonts w:ascii="Cambria Math" w:eastAsia="Kozuka Mincho Pro B" w:hAnsi="Cambria Math"/>
                              </w:rPr>
                              <m:t>a</m:t>
                            </m:r>
                          </m:e>
                          <m:sub>
                            <m:r>
                              <w:rPr>
                                <w:rFonts w:ascii="Cambria Math" w:eastAsia="Kozuka Mincho Pro B" w:hAnsi="Cambria Math"/>
                              </w:rPr>
                              <m:t>ln</m:t>
                            </m:r>
                          </m:sub>
                        </m:sSub>
                      </m:e>
                    </m:d>
                    <m:r>
                      <w:rPr>
                        <w:rFonts w:ascii="Cambria Math" w:eastAsia="Kozuka Mincho Pro B" w:hAnsi="Cambria Math"/>
                      </w:rPr>
                      <m:t>.</m:t>
                    </m:r>
                    <m:sSub>
                      <m:sSubPr>
                        <m:ctrlPr>
                          <w:rPr>
                            <w:rFonts w:ascii="Cambria Math" w:eastAsia="Kozuka Mincho Pro B" w:hAnsi="Cambria Math"/>
                            <w:i/>
                          </w:rPr>
                        </m:ctrlPr>
                      </m:sSubPr>
                      <m:e>
                        <m:r>
                          <w:rPr>
                            <w:rFonts w:ascii="Cambria Math" w:eastAsia="Kozuka Mincho Pro B" w:hAnsi="Cambria Math"/>
                          </w:rPr>
                          <m:t>GFP</m:t>
                        </m:r>
                      </m:e>
                      <m:sub>
                        <m:r>
                          <w:rPr>
                            <w:rFonts w:ascii="Cambria Math" w:eastAsia="Kozuka Mincho Pro B" w:hAnsi="Cambria Math"/>
                          </w:rPr>
                          <m:t>n</m:t>
                        </m:r>
                      </m:sub>
                    </m:sSub>
                  </m:e>
                </m:d>
              </m:e>
              <m:sup>
                <m:r>
                  <w:rPr>
                    <w:rFonts w:ascii="Cambria Math" w:eastAsia="Kozuka Mincho Pro B" w:hAnsi="Cambria Math"/>
                  </w:rPr>
                  <m:t>2</m:t>
                </m:r>
              </m:sup>
            </m:sSup>
          </m:num>
          <m:den>
            <m:nary>
              <m:naryPr>
                <m:chr m:val="∑"/>
                <m:limLoc m:val="undOvr"/>
                <m:ctrlPr>
                  <w:rPr>
                    <w:rFonts w:ascii="Cambria Math" w:eastAsia="Kozuka Mincho Pro B" w:hAnsi="Cambria Math"/>
                    <w:i/>
                  </w:rPr>
                </m:ctrlPr>
              </m:naryPr>
              <m:sub>
                <m:sSup>
                  <m:sSupPr>
                    <m:ctrlPr>
                      <w:rPr>
                        <w:rFonts w:ascii="Cambria Math" w:eastAsia="Kozuka Mincho Pro B" w:hAnsi="Cambria Math"/>
                        <w:i/>
                      </w:rPr>
                    </m:ctrlPr>
                  </m:sSupPr>
                  <m:e>
                    <m:r>
                      <w:rPr>
                        <w:rFonts w:ascii="Cambria Math" w:eastAsia="Kozuka Mincho Pro B" w:hAnsi="Cambria Math"/>
                      </w:rPr>
                      <m:t>n</m:t>
                    </m:r>
                  </m:e>
                  <m:sup>
                    <m:r>
                      <w:rPr>
                        <w:rFonts w:ascii="Cambria Math" w:eastAsia="Kozuka Mincho Pro B" w:hAnsi="Cambria Math"/>
                      </w:rPr>
                      <m:t>'</m:t>
                    </m:r>
                  </m:sup>
                </m:sSup>
              </m:sub>
              <m:sup>
                <m:r>
                  <w:rPr>
                    <w:rFonts w:ascii="Cambria Math" w:eastAsia="Kozuka Mincho Pro B" w:hAnsi="Cambria Math"/>
                  </w:rPr>
                  <m:t>N</m:t>
                </m:r>
              </m:sup>
              <m:e>
                <m:sSubSup>
                  <m:sSubSupPr>
                    <m:ctrlPr>
                      <w:rPr>
                        <w:rFonts w:ascii="Cambria Math" w:eastAsia="Kozuka Mincho Pro B" w:hAnsi="Cambria Math"/>
                        <w:i/>
                      </w:rPr>
                    </m:ctrlPr>
                  </m:sSubSupPr>
                  <m:e>
                    <m:r>
                      <w:rPr>
                        <w:rFonts w:ascii="Cambria Math" w:eastAsia="Kozuka Mincho Pro B" w:hAnsi="Cambria Math"/>
                      </w:rPr>
                      <m:t>GFP</m:t>
                    </m:r>
                  </m:e>
                  <m:sub>
                    <m:sSup>
                      <m:sSupPr>
                        <m:ctrlPr>
                          <w:rPr>
                            <w:rFonts w:ascii="Cambria Math" w:eastAsia="Kozuka Mincho Pro B" w:hAnsi="Cambria Math"/>
                            <w:i/>
                          </w:rPr>
                        </m:ctrlPr>
                      </m:sSupPr>
                      <m:e>
                        <m:r>
                          <w:rPr>
                            <w:rFonts w:ascii="Cambria Math" w:eastAsia="Kozuka Mincho Pro B" w:hAnsi="Cambria Math"/>
                          </w:rPr>
                          <m:t>n</m:t>
                        </m:r>
                      </m:e>
                      <m:sup>
                        <m:r>
                          <w:rPr>
                            <w:rFonts w:ascii="Cambria Math" w:eastAsia="Kozuka Mincho Pro B" w:hAnsi="Cambria Math"/>
                          </w:rPr>
                          <m:t>'</m:t>
                        </m:r>
                      </m:sup>
                    </m:sSup>
                  </m:sub>
                  <m:sup>
                    <m:r>
                      <w:rPr>
                        <w:rFonts w:ascii="Cambria Math" w:eastAsia="Kozuka Mincho Pro B" w:hAnsi="Cambria Math"/>
                      </w:rPr>
                      <m:t>2</m:t>
                    </m:r>
                  </m:sup>
                </m:sSubSup>
              </m:e>
            </m:nary>
          </m:den>
        </m:f>
      </m:oMath>
      <w:r w:rsidRPr="004F5A11">
        <w:rPr>
          <w:rFonts w:eastAsia="Kozuka Mincho Pro B"/>
        </w:rPr>
        <w:t xml:space="preserve">                                               .(12)</w:t>
      </w:r>
    </w:p>
    <w:p w:rsidR="008F5C9E" w:rsidRPr="004F5A11" w:rsidRDefault="008F5C9E" w:rsidP="008F5C9E">
      <w:pPr>
        <w:spacing w:line="480" w:lineRule="auto"/>
        <w:jc w:val="both"/>
        <w:rPr>
          <w:rFonts w:eastAsia="Kozuka Mincho Pro B"/>
        </w:rPr>
      </w:pPr>
      <w:r w:rsidRPr="004F5A11">
        <w:rPr>
          <w:rFonts w:eastAsia="Kozuka Mincho Pro B"/>
        </w:rPr>
        <w:t>Subsequently, the cross-validation criterion (CV) measures the residual noise and is calculated as:</w:t>
      </w:r>
    </w:p>
    <w:p w:rsidR="008F5C9E" w:rsidRPr="004F5A11" w:rsidRDefault="008F5C9E" w:rsidP="008F5C9E">
      <w:pPr>
        <w:spacing w:line="480" w:lineRule="auto"/>
        <w:ind w:left="2880" w:firstLine="720"/>
        <w:jc w:val="both"/>
        <w:rPr>
          <w:rFonts w:eastAsia="Kozuka Mincho Pro B"/>
        </w:rPr>
      </w:pPr>
      <m:oMath>
        <m:r>
          <w:rPr>
            <w:rFonts w:ascii="Cambria Math" w:eastAsia="Kozuka Mincho Pro B" w:hAnsi="Cambria Math"/>
          </w:rPr>
          <m:t>CV=</m:t>
        </m:r>
        <m:sSup>
          <m:sSupPr>
            <m:ctrlPr>
              <w:rPr>
                <w:rFonts w:ascii="Cambria Math" w:eastAsia="Kozuka Mincho Pro B" w:hAnsi="Cambria Math"/>
                <w:i/>
              </w:rPr>
            </m:ctrlPr>
          </m:sSupPr>
          <m:e>
            <m:acc>
              <m:accPr>
                <m:ctrlPr>
                  <w:rPr>
                    <w:rFonts w:ascii="Cambria Math" w:eastAsia="Kozuka Mincho Pro B" w:hAnsi="Cambria Math"/>
                    <w:i/>
                  </w:rPr>
                </m:ctrlPr>
              </m:accPr>
              <m:e>
                <m:r>
                  <w:rPr>
                    <w:rFonts w:ascii="Cambria Math" w:eastAsia="Kozuka Mincho Pro B" w:hAnsi="Cambria Math"/>
                  </w:rPr>
                  <m:t>σ</m:t>
                </m:r>
              </m:e>
            </m:acc>
          </m:e>
          <m:sup>
            <m:r>
              <w:rPr>
                <w:rFonts w:ascii="Cambria Math" w:eastAsia="Kozuka Mincho Pro B" w:hAnsi="Cambria Math"/>
              </w:rPr>
              <m:t>2</m:t>
            </m:r>
          </m:sup>
        </m:sSup>
        <m:r>
          <w:rPr>
            <w:rFonts w:ascii="Cambria Math" w:eastAsia="Kozuka Mincho Pro B" w:hAnsi="Cambria Math"/>
          </w:rPr>
          <m:t xml:space="preserve">. </m:t>
        </m:r>
        <m:sSup>
          <m:sSupPr>
            <m:ctrlPr>
              <w:rPr>
                <w:rFonts w:ascii="Cambria Math" w:eastAsia="Kozuka Mincho Pro B" w:hAnsi="Cambria Math"/>
                <w:i/>
              </w:rPr>
            </m:ctrlPr>
          </m:sSupPr>
          <m:e>
            <m:d>
              <m:dPr>
                <m:ctrlPr>
                  <w:rPr>
                    <w:rFonts w:ascii="Cambria Math" w:eastAsia="Kozuka Mincho Pro B" w:hAnsi="Cambria Math"/>
                    <w:i/>
                  </w:rPr>
                </m:ctrlPr>
              </m:dPr>
              <m:e>
                <m:f>
                  <m:fPr>
                    <m:ctrlPr>
                      <w:rPr>
                        <w:rFonts w:ascii="Cambria Math" w:eastAsia="Kozuka Mincho Pro B" w:hAnsi="Cambria Math"/>
                        <w:i/>
                      </w:rPr>
                    </m:ctrlPr>
                  </m:fPr>
                  <m:num>
                    <m:r>
                      <w:rPr>
                        <w:rFonts w:ascii="Cambria Math" w:eastAsia="Kozuka Mincho Pro B" w:hAnsi="Cambria Math"/>
                      </w:rPr>
                      <m:t>M-1</m:t>
                    </m:r>
                  </m:num>
                  <m:den>
                    <m:r>
                      <w:rPr>
                        <w:rFonts w:ascii="Cambria Math" w:eastAsia="Kozuka Mincho Pro B" w:hAnsi="Cambria Math"/>
                      </w:rPr>
                      <m:t>M-K-1</m:t>
                    </m:r>
                  </m:den>
                </m:f>
              </m:e>
            </m:d>
          </m:e>
          <m:sup>
            <m:r>
              <w:rPr>
                <w:rFonts w:ascii="Cambria Math" w:eastAsia="Kozuka Mincho Pro B" w:hAnsi="Cambria Math"/>
              </w:rPr>
              <m:t>2</m:t>
            </m:r>
          </m:sup>
        </m:sSup>
      </m:oMath>
      <w:r w:rsidRPr="004F5A11">
        <w:rPr>
          <w:rFonts w:eastAsia="Kozuka Mincho Pro B"/>
        </w:rPr>
        <w:t xml:space="preserve">                                                           .(13)</w:t>
      </w:r>
    </w:p>
    <w:p w:rsidR="008F5C9E" w:rsidRPr="004F5A11" w:rsidRDefault="003249CB" w:rsidP="008F5C9E">
      <w:pPr>
        <w:spacing w:line="480" w:lineRule="auto"/>
        <w:ind w:left="2880" w:firstLine="720"/>
        <w:jc w:val="both"/>
        <w:rPr>
          <w:rFonts w:eastAsia="Kozuka Mincho Pro B"/>
        </w:rPr>
      </w:pPr>
      <m:oMath>
        <m:sSup>
          <m:sSupPr>
            <m:ctrlPr>
              <w:rPr>
                <w:rFonts w:ascii="Cambria Math" w:eastAsia="Kozuka Mincho Pro B" w:hAnsi="Cambria Math"/>
                <w:i/>
              </w:rPr>
            </m:ctrlPr>
          </m:sSupPr>
          <m:e>
            <m:acc>
              <m:accPr>
                <m:ctrlPr>
                  <w:rPr>
                    <w:rFonts w:ascii="Cambria Math" w:eastAsia="Kozuka Mincho Pro B" w:hAnsi="Cambria Math"/>
                    <w:i/>
                  </w:rPr>
                </m:ctrlPr>
              </m:accPr>
              <m:e>
                <m:r>
                  <w:rPr>
                    <w:rFonts w:ascii="Cambria Math" w:eastAsia="Kozuka Mincho Pro B" w:hAnsi="Cambria Math"/>
                  </w:rPr>
                  <m:t>σ</m:t>
                </m:r>
              </m:e>
            </m:acc>
          </m:e>
          <m:sup>
            <m:r>
              <w:rPr>
                <w:rFonts w:ascii="Cambria Math" w:eastAsia="Kozuka Mincho Pro B" w:hAnsi="Cambria Math"/>
              </w:rPr>
              <m:t>2</m:t>
            </m:r>
          </m:sup>
        </m:sSup>
        <m:r>
          <w:rPr>
            <w:rFonts w:ascii="Cambria Math" w:eastAsia="Kozuka Mincho Pro B" w:hAnsi="Cambria Math"/>
          </w:rPr>
          <m:t>=</m:t>
        </m:r>
        <m:f>
          <m:fPr>
            <m:ctrlPr>
              <w:rPr>
                <w:rFonts w:ascii="Cambria Math" w:eastAsia="Kozuka Mincho Pro B" w:hAnsi="Cambria Math"/>
                <w:i/>
              </w:rPr>
            </m:ctrlPr>
          </m:fPr>
          <m:num>
            <m:nary>
              <m:naryPr>
                <m:chr m:val="∑"/>
                <m:limLoc m:val="undOvr"/>
                <m:ctrlPr>
                  <w:rPr>
                    <w:rFonts w:ascii="Cambria Math" w:eastAsia="Kozuka Mincho Pro B" w:hAnsi="Cambria Math"/>
                    <w:i/>
                  </w:rPr>
                </m:ctrlPr>
              </m:naryPr>
              <m:sub>
                <m:r>
                  <w:rPr>
                    <w:rFonts w:ascii="Cambria Math" w:eastAsia="Kozuka Mincho Pro B" w:hAnsi="Cambria Math"/>
                  </w:rPr>
                  <m:t>n</m:t>
                </m:r>
              </m:sub>
              <m:sup>
                <m:r>
                  <w:rPr>
                    <w:rFonts w:ascii="Cambria Math" w:eastAsia="Kozuka Mincho Pro B" w:hAnsi="Cambria Math"/>
                  </w:rPr>
                  <m:t>N</m:t>
                </m:r>
              </m:sup>
              <m:e>
                <m:sSubSup>
                  <m:sSubSupPr>
                    <m:ctrlPr>
                      <w:rPr>
                        <w:rFonts w:ascii="Cambria Math" w:eastAsia="Kozuka Mincho Pro B" w:hAnsi="Cambria Math"/>
                        <w:i/>
                      </w:rPr>
                    </m:ctrlPr>
                  </m:sSubSupPr>
                  <m:e>
                    <m:r>
                      <w:rPr>
                        <w:rFonts w:ascii="Cambria Math" w:eastAsia="Kozuka Mincho Pro B" w:hAnsi="Cambria Math"/>
                      </w:rPr>
                      <m:t>x</m:t>
                    </m:r>
                  </m:e>
                  <m:sub>
                    <m:r>
                      <w:rPr>
                        <w:rFonts w:ascii="Cambria Math" w:eastAsia="Kozuka Mincho Pro B" w:hAnsi="Cambria Math"/>
                      </w:rPr>
                      <m:t>n</m:t>
                    </m:r>
                  </m:sub>
                  <m:sup>
                    <m:r>
                      <w:rPr>
                        <w:rFonts w:ascii="Cambria Math" w:eastAsia="Kozuka Mincho Pro B" w:hAnsi="Cambria Math"/>
                      </w:rPr>
                      <m:t>T</m:t>
                    </m:r>
                  </m:sup>
                </m:sSubSup>
                <m:r>
                  <w:rPr>
                    <w:rFonts w:ascii="Cambria Math" w:eastAsia="Kozuka Mincho Pro B" w:hAnsi="Cambria Math"/>
                  </w:rPr>
                  <m:t xml:space="preserve"> </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n</m:t>
                    </m:r>
                  </m:sub>
                </m:sSub>
                <m:r>
                  <w:rPr>
                    <w:rFonts w:ascii="Cambria Math" w:eastAsia="Kozuka Mincho Pro B" w:hAnsi="Cambria Math"/>
                  </w:rPr>
                  <m:t>-</m:t>
                </m:r>
                <m:sSup>
                  <m:sSupPr>
                    <m:ctrlPr>
                      <w:rPr>
                        <w:rFonts w:ascii="Cambria Math" w:eastAsia="Kozuka Mincho Pro B" w:hAnsi="Cambria Math"/>
                        <w:i/>
                      </w:rPr>
                    </m:ctrlPr>
                  </m:sSupPr>
                  <m:e>
                    <m:d>
                      <m:dPr>
                        <m:ctrlPr>
                          <w:rPr>
                            <w:rFonts w:ascii="Cambria Math" w:eastAsia="Kozuka Mincho Pro B" w:hAnsi="Cambria Math"/>
                            <w:i/>
                          </w:rPr>
                        </m:ctrlPr>
                      </m:dPr>
                      <m:e>
                        <m:sSubSup>
                          <m:sSubSupPr>
                            <m:ctrlPr>
                              <w:rPr>
                                <w:rFonts w:ascii="Cambria Math" w:eastAsia="Kozuka Mincho Pro B" w:hAnsi="Cambria Math"/>
                                <w:i/>
                              </w:rPr>
                            </m:ctrlPr>
                          </m:sSubSupPr>
                          <m:e>
                            <m:r>
                              <w:rPr>
                                <w:rFonts w:ascii="Cambria Math" w:eastAsia="Kozuka Mincho Pro B" w:hAnsi="Cambria Math"/>
                              </w:rPr>
                              <m:t>a</m:t>
                            </m:r>
                          </m:e>
                          <m:sub>
                            <m:r>
                              <w:rPr>
                                <w:rFonts w:ascii="Cambria Math" w:eastAsia="Kozuka Mincho Pro B" w:hAnsi="Cambria Math"/>
                              </w:rPr>
                              <m:t>ln</m:t>
                            </m:r>
                          </m:sub>
                          <m:sup>
                            <m:r>
                              <w:rPr>
                                <w:rFonts w:ascii="Cambria Math" w:eastAsia="Kozuka Mincho Pro B" w:hAnsi="Cambria Math"/>
                              </w:rPr>
                              <m:t>T</m:t>
                            </m:r>
                          </m:sup>
                        </m:sSubSup>
                        <m:r>
                          <w:rPr>
                            <w:rFonts w:ascii="Cambria Math" w:eastAsia="Kozuka Mincho Pro B" w:hAnsi="Cambria Math"/>
                          </w:rPr>
                          <m:t>.</m:t>
                        </m:r>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n</m:t>
                            </m:r>
                          </m:sub>
                        </m:sSub>
                      </m:e>
                    </m:d>
                  </m:e>
                  <m:sup>
                    <m:r>
                      <w:rPr>
                        <w:rFonts w:ascii="Cambria Math" w:eastAsia="Kozuka Mincho Pro B" w:hAnsi="Cambria Math"/>
                      </w:rPr>
                      <m:t>2</m:t>
                    </m:r>
                  </m:sup>
                </m:sSup>
              </m:e>
            </m:nary>
          </m:num>
          <m:den>
            <m:r>
              <w:rPr>
                <w:rFonts w:ascii="Cambria Math" w:eastAsia="Kozuka Mincho Pro B" w:hAnsi="Cambria Math"/>
              </w:rPr>
              <m:t>N</m:t>
            </m:r>
            <m:d>
              <m:dPr>
                <m:ctrlPr>
                  <w:rPr>
                    <w:rFonts w:ascii="Cambria Math" w:eastAsia="Kozuka Mincho Pro B" w:hAnsi="Cambria Math"/>
                    <w:i/>
                  </w:rPr>
                </m:ctrlPr>
              </m:dPr>
              <m:e>
                <m:r>
                  <w:rPr>
                    <w:rFonts w:ascii="Cambria Math" w:eastAsia="Kozuka Mincho Pro B" w:hAnsi="Cambria Math"/>
                  </w:rPr>
                  <m:t>M-1</m:t>
                </m:r>
              </m:e>
            </m:d>
          </m:den>
        </m:f>
      </m:oMath>
      <w:r w:rsidR="008F5C9E" w:rsidRPr="004F5A11">
        <w:rPr>
          <w:rFonts w:eastAsia="Kozuka Mincho Pro B"/>
        </w:rPr>
        <w:t xml:space="preserve">                                                     .(14)</w:t>
      </w:r>
    </w:p>
    <w:p w:rsidR="008F5C9E" w:rsidRPr="004F5A11" w:rsidRDefault="008F5C9E" w:rsidP="008F5C9E">
      <w:pPr>
        <w:spacing w:line="480" w:lineRule="auto"/>
        <w:ind w:firstLine="720"/>
        <w:jc w:val="both"/>
        <w:rPr>
          <w:rFonts w:eastAsia="Kozuka Mincho Pro B"/>
        </w:rPr>
      </w:pPr>
      <w:r w:rsidRPr="004F5A11">
        <w:rPr>
          <w:rFonts w:eastAsia="Kozuka Mincho Pro B"/>
        </w:rPr>
        <w:t xml:space="preserve">Where M is the number of channels, N is the number of time samples and </w:t>
      </w:r>
      <m:oMath>
        <m:sSup>
          <m:sSupPr>
            <m:ctrlPr>
              <w:rPr>
                <w:rFonts w:ascii="Cambria Math" w:eastAsia="Kozuka Mincho Pro B" w:hAnsi="Cambria Math"/>
                <w:i/>
              </w:rPr>
            </m:ctrlPr>
          </m:sSupPr>
          <m:e>
            <m:acc>
              <m:accPr>
                <m:ctrlPr>
                  <w:rPr>
                    <w:rFonts w:ascii="Cambria Math" w:eastAsia="Kozuka Mincho Pro B" w:hAnsi="Cambria Math"/>
                    <w:i/>
                  </w:rPr>
                </m:ctrlPr>
              </m:accPr>
              <m:e>
                <m:r>
                  <w:rPr>
                    <w:rFonts w:ascii="Cambria Math" w:eastAsia="Kozuka Mincho Pro B" w:hAnsi="Cambria Math"/>
                  </w:rPr>
                  <m:t>σ</m:t>
                </m:r>
              </m:e>
            </m:acc>
          </m:e>
          <m:sup>
            <m:r>
              <w:rPr>
                <w:rFonts w:ascii="Cambria Math" w:eastAsia="Kozuka Mincho Pro B" w:hAnsi="Cambria Math"/>
              </w:rPr>
              <m:t>2</m:t>
            </m:r>
          </m:sup>
        </m:sSup>
      </m:oMath>
      <w:r w:rsidRPr="004F5A11">
        <w:rPr>
          <w:rFonts w:eastAsia="Kozuka Mincho Pro B"/>
        </w:rPr>
        <w:t xml:space="preserve"> is an estimator of the variance of the residual noise. </w:t>
      </w:r>
    </w:p>
    <w:p w:rsidR="008F5C9E" w:rsidRPr="004F5A11" w:rsidRDefault="008F5C9E" w:rsidP="008F5C9E">
      <w:pPr>
        <w:spacing w:line="480" w:lineRule="auto"/>
        <w:ind w:firstLine="720"/>
        <w:jc w:val="both"/>
        <w:rPr>
          <w:rFonts w:eastAsiaTheme="minorHAnsi"/>
        </w:rPr>
      </w:pPr>
      <w:r w:rsidRPr="004F5A11">
        <w:rPr>
          <w:rFonts w:eastAsiaTheme="minorHAnsi"/>
        </w:rPr>
        <w:t xml:space="preserve">The assignment of microstate prototypes to EEG samples are measured using a global map </w:t>
      </w:r>
    </w:p>
    <w:p w:rsidR="008F5C9E" w:rsidRPr="004F5A11" w:rsidRDefault="008F5C9E" w:rsidP="008F5C9E">
      <w:pPr>
        <w:spacing w:line="480" w:lineRule="auto"/>
        <w:jc w:val="both"/>
        <w:rPr>
          <w:rFonts w:eastAsia="Kozuka Mincho Pro B"/>
        </w:rPr>
      </w:pPr>
      <w:r w:rsidRPr="004F5A11">
        <w:rPr>
          <w:rFonts w:eastAsiaTheme="minorHAnsi"/>
        </w:rPr>
        <w:t>dissimilarity (GMD) index, which is a distance measure that is invariant to the strength of the signal and instead only looks at how similar the topographical maps look and calculated as:</w:t>
      </w:r>
    </w:p>
    <w:p w:rsidR="008F5C9E" w:rsidRPr="004F5A11" w:rsidRDefault="008F5C9E" w:rsidP="008F5C9E">
      <w:pPr>
        <w:spacing w:line="480" w:lineRule="auto"/>
        <w:ind w:left="2880" w:firstLine="720"/>
        <w:jc w:val="both"/>
        <w:rPr>
          <w:rFonts w:eastAsia="Kozuka Mincho Pro B"/>
        </w:rPr>
      </w:pPr>
      <m:oMath>
        <m:r>
          <w:rPr>
            <w:rFonts w:ascii="Cambria Math" w:eastAsia="Kozuka Mincho Pro B" w:hAnsi="Cambria Math"/>
          </w:rPr>
          <m:t>GMD=</m:t>
        </m:r>
        <m:f>
          <m:fPr>
            <m:ctrlPr>
              <w:rPr>
                <w:rFonts w:ascii="Cambria Math" w:eastAsia="Kozuka Mincho Pro B" w:hAnsi="Cambria Math"/>
                <w:i/>
              </w:rPr>
            </m:ctrlPr>
          </m:fPr>
          <m:num>
            <m:d>
              <m:dPr>
                <m:begChr m:val="‖"/>
                <m:endChr m:val="‖"/>
                <m:ctrlPr>
                  <w:rPr>
                    <w:rFonts w:ascii="Cambria Math" w:eastAsia="Kozuka Mincho Pro B" w:hAnsi="Cambria Math"/>
                    <w:i/>
                  </w:rPr>
                </m:ctrlPr>
              </m:dPr>
              <m:e>
                <m:f>
                  <m:fPr>
                    <m:ctrlPr>
                      <w:rPr>
                        <w:rFonts w:ascii="Cambria Math" w:eastAsia="Kozuka Mincho Pro B" w:hAnsi="Cambria Math"/>
                        <w:i/>
                      </w:rPr>
                    </m:ctrlPr>
                  </m:fPr>
                  <m:num>
                    <m:sSub>
                      <m:sSubPr>
                        <m:ctrlPr>
                          <w:rPr>
                            <w:rFonts w:ascii="Cambria Math" w:eastAsia="Kozuka Mincho Pro B" w:hAnsi="Cambria Math"/>
                            <w:i/>
                          </w:rPr>
                        </m:ctrlPr>
                      </m:sSubPr>
                      <m:e>
                        <m:r>
                          <w:rPr>
                            <w:rFonts w:ascii="Cambria Math" w:eastAsia="Kozuka Mincho Pro B" w:hAnsi="Cambria Math"/>
                          </w:rPr>
                          <m:t>x</m:t>
                        </m:r>
                      </m:e>
                      <m:sub>
                        <m:r>
                          <w:rPr>
                            <w:rFonts w:ascii="Cambria Math" w:eastAsia="Kozuka Mincho Pro B" w:hAnsi="Cambria Math"/>
                          </w:rPr>
                          <m:t>n</m:t>
                        </m:r>
                      </m:sub>
                    </m:sSub>
                  </m:num>
                  <m:den>
                    <m:sSub>
                      <m:sSubPr>
                        <m:ctrlPr>
                          <w:rPr>
                            <w:rFonts w:ascii="Cambria Math" w:eastAsia="Kozuka Mincho Pro B" w:hAnsi="Cambria Math"/>
                            <w:i/>
                          </w:rPr>
                        </m:ctrlPr>
                      </m:sSubPr>
                      <m:e>
                        <m:r>
                          <w:rPr>
                            <w:rFonts w:ascii="Cambria Math" w:eastAsia="Kozuka Mincho Pro B" w:hAnsi="Cambria Math"/>
                          </w:rPr>
                          <m:t>GFP</m:t>
                        </m:r>
                      </m:e>
                      <m:sub>
                        <m:r>
                          <w:rPr>
                            <w:rFonts w:ascii="Cambria Math" w:eastAsia="Kozuka Mincho Pro B" w:hAnsi="Cambria Math"/>
                          </w:rPr>
                          <m:t>n</m:t>
                        </m:r>
                      </m:sub>
                    </m:sSub>
                  </m:den>
                </m:f>
                <m:r>
                  <w:rPr>
                    <w:rFonts w:ascii="Cambria Math" w:eastAsia="Kozuka Mincho Pro B" w:hAnsi="Cambria Math"/>
                  </w:rPr>
                  <m:t>-</m:t>
                </m:r>
                <m:f>
                  <m:fPr>
                    <m:ctrlPr>
                      <w:rPr>
                        <w:rFonts w:ascii="Cambria Math" w:eastAsia="Kozuka Mincho Pro B" w:hAnsi="Cambria Math"/>
                        <w:i/>
                      </w:rPr>
                    </m:ctrlPr>
                  </m:fPr>
                  <m:num>
                    <m:sSub>
                      <m:sSubPr>
                        <m:ctrlPr>
                          <w:rPr>
                            <w:rFonts w:ascii="Cambria Math" w:eastAsia="Kozuka Mincho Pro B" w:hAnsi="Cambria Math"/>
                            <w:i/>
                          </w:rPr>
                        </m:ctrlPr>
                      </m:sSubPr>
                      <m:e>
                        <m:r>
                          <w:rPr>
                            <w:rFonts w:ascii="Cambria Math" w:eastAsia="Kozuka Mincho Pro B" w:hAnsi="Cambria Math"/>
                          </w:rPr>
                          <m:t>x</m:t>
                        </m:r>
                      </m:e>
                      <m:sub>
                        <m:sSup>
                          <m:sSupPr>
                            <m:ctrlPr>
                              <w:rPr>
                                <w:rFonts w:ascii="Cambria Math" w:eastAsia="Kozuka Mincho Pro B" w:hAnsi="Cambria Math"/>
                                <w:i/>
                              </w:rPr>
                            </m:ctrlPr>
                          </m:sSupPr>
                          <m:e>
                            <m:r>
                              <w:rPr>
                                <w:rFonts w:ascii="Cambria Math" w:eastAsia="Kozuka Mincho Pro B" w:hAnsi="Cambria Math"/>
                              </w:rPr>
                              <m:t>n</m:t>
                            </m:r>
                          </m:e>
                          <m:sup>
                            <m:r>
                              <w:rPr>
                                <w:rFonts w:ascii="Cambria Math" w:eastAsia="Kozuka Mincho Pro B" w:hAnsi="Cambria Math"/>
                              </w:rPr>
                              <m:t>'</m:t>
                            </m:r>
                          </m:sup>
                        </m:sSup>
                      </m:sub>
                    </m:sSub>
                  </m:num>
                  <m:den>
                    <m:sSub>
                      <m:sSubPr>
                        <m:ctrlPr>
                          <w:rPr>
                            <w:rFonts w:ascii="Cambria Math" w:eastAsia="Kozuka Mincho Pro B" w:hAnsi="Cambria Math"/>
                            <w:i/>
                          </w:rPr>
                        </m:ctrlPr>
                      </m:sSubPr>
                      <m:e>
                        <m:r>
                          <w:rPr>
                            <w:rFonts w:ascii="Cambria Math" w:eastAsia="Kozuka Mincho Pro B" w:hAnsi="Cambria Math"/>
                          </w:rPr>
                          <m:t>GFP</m:t>
                        </m:r>
                      </m:e>
                      <m:sub>
                        <m:sSup>
                          <m:sSupPr>
                            <m:ctrlPr>
                              <w:rPr>
                                <w:rFonts w:ascii="Cambria Math" w:eastAsia="Kozuka Mincho Pro B" w:hAnsi="Cambria Math"/>
                                <w:i/>
                              </w:rPr>
                            </m:ctrlPr>
                          </m:sSupPr>
                          <m:e>
                            <m:r>
                              <w:rPr>
                                <w:rFonts w:ascii="Cambria Math" w:eastAsia="Kozuka Mincho Pro B" w:hAnsi="Cambria Math"/>
                              </w:rPr>
                              <m:t>n</m:t>
                            </m:r>
                          </m:e>
                          <m:sup>
                            <m:r>
                              <w:rPr>
                                <w:rFonts w:ascii="Cambria Math" w:eastAsia="Kozuka Mincho Pro B" w:hAnsi="Cambria Math"/>
                              </w:rPr>
                              <m:t>'</m:t>
                            </m:r>
                          </m:sup>
                        </m:sSup>
                      </m:sub>
                    </m:sSub>
                  </m:den>
                </m:f>
              </m:e>
            </m:d>
          </m:num>
          <m:den>
            <m:rad>
              <m:radPr>
                <m:degHide m:val="1"/>
                <m:ctrlPr>
                  <w:rPr>
                    <w:rFonts w:ascii="Cambria Math" w:eastAsia="Kozuka Mincho Pro B" w:hAnsi="Cambria Math"/>
                    <w:i/>
                  </w:rPr>
                </m:ctrlPr>
              </m:radPr>
              <m:deg/>
              <m:e>
                <m:r>
                  <w:rPr>
                    <w:rFonts w:ascii="Cambria Math" w:eastAsia="Kozuka Mincho Pro B" w:hAnsi="Cambria Math"/>
                  </w:rPr>
                  <m:t>M</m:t>
                </m:r>
              </m:e>
            </m:rad>
          </m:den>
        </m:f>
      </m:oMath>
      <w:r w:rsidRPr="004F5A11">
        <w:rPr>
          <w:rFonts w:eastAsia="Kozuka Mincho Pro B"/>
        </w:rPr>
        <w:t xml:space="preserve">                                                       .(15)</w:t>
      </w:r>
    </w:p>
    <w:p w:rsidR="00EE777D" w:rsidRDefault="008F5C9E" w:rsidP="00EE777D">
      <w:pPr>
        <w:spacing w:line="480" w:lineRule="auto"/>
        <w:jc w:val="both"/>
        <w:textAlignment w:val="baseline"/>
        <w:rPr>
          <w:rFonts w:eastAsia="Kozuka Mincho Pro B"/>
        </w:rPr>
      </w:pPr>
      <w:r w:rsidRPr="004F5A11">
        <w:rPr>
          <w:rFonts w:eastAsia="Kozuka Mincho Pro B"/>
        </w:rPr>
        <w:t xml:space="preserve">Finally, statistics about the sequence of microstate classes, such as their frequency of occurrence or average duration, can be calculated. As the study primarily aims to identify the frequency-microstate that corresponds to the distant cortical communication caused by the task engagement, the number of occurrences of each frequency-microstates during each task engagement (target, distractor, and fixation) has been estimated. The number of times a frequency-microstate elucidated in one second in every individual’s back fitted frequency EEG information is estimated as the number of occurrences. This quasi-stable frequency-microstate patterns elicitation information is subsequently mapped with neural mechanisms and functional connectivity of each task engagement assessed from simultaneously acquired fMRI information. </w:t>
      </w:r>
    </w:p>
    <w:p w:rsidR="00555D5A" w:rsidRPr="000C29E3" w:rsidRDefault="000C29E3" w:rsidP="00EE777D">
      <w:pPr>
        <w:spacing w:line="480" w:lineRule="auto"/>
        <w:jc w:val="both"/>
        <w:textAlignment w:val="baseline"/>
        <w:rPr>
          <w:b/>
          <w:bCs/>
          <w:sz w:val="28"/>
          <w:szCs w:val="28"/>
        </w:rPr>
      </w:pPr>
      <w:r w:rsidRPr="000C29E3">
        <w:rPr>
          <w:rFonts w:eastAsia="Kozuka Mincho Pro B"/>
          <w:b/>
          <w:sz w:val="28"/>
          <w:szCs w:val="28"/>
        </w:rPr>
        <w:lastRenderedPageBreak/>
        <w:t xml:space="preserve">S.2 ESTIMATION OF </w:t>
      </w:r>
      <w:r w:rsidRPr="000C29E3">
        <w:rPr>
          <w:b/>
          <w:bCs/>
          <w:sz w:val="28"/>
          <w:szCs w:val="28"/>
        </w:rPr>
        <w:t>GLOBAL FUNCTIONAL CONNECTIVITY FROM SIMULTANEOUSLY ACQUIRED FMRI INFORMATION</w:t>
      </w:r>
    </w:p>
    <w:p w:rsidR="00495100" w:rsidRPr="00FC4F30" w:rsidRDefault="00650122" w:rsidP="00495100">
      <w:pPr>
        <w:spacing w:line="480" w:lineRule="auto"/>
        <w:ind w:firstLine="720"/>
        <w:jc w:val="both"/>
        <w:textAlignment w:val="baseline"/>
        <w:rPr>
          <w:rFonts w:ascii="Segoe UI" w:hAnsi="Segoe UI" w:cs="Segoe UI"/>
        </w:rPr>
      </w:pPr>
      <w:r>
        <w:t>T</w:t>
      </w:r>
      <w:r w:rsidRPr="00FC4F30">
        <w:t xml:space="preserve">he neural correlates are identified from the second level of the GLM model </w:t>
      </w:r>
      <w:r>
        <w:t>t</w:t>
      </w:r>
      <w:r w:rsidR="00495100" w:rsidRPr="00FC4F30">
        <w:t xml:space="preserve">o estimate distinct and distant cortical communication </w:t>
      </w:r>
      <w:r>
        <w:t>among task engaged brain regions</w:t>
      </w:r>
      <w:r w:rsidR="00495100" w:rsidRPr="00FC4F30">
        <w:t>, and</w:t>
      </w:r>
      <w:r>
        <w:t xml:space="preserve"> subsequently</w:t>
      </w:r>
      <w:r w:rsidR="00495100" w:rsidRPr="00FC4F30">
        <w:t xml:space="preserve"> subjected </w:t>
      </w:r>
      <w:r>
        <w:t xml:space="preserve">as regions pf interest (ROI) </w:t>
      </w:r>
      <w:r w:rsidR="00495100" w:rsidRPr="00FC4F30">
        <w:t xml:space="preserve">to the graph theory-based functional connectivity analysis. The CONN toolbox </w:t>
      </w:r>
      <w:r w:rsidR="00495100" w:rsidRPr="00FC4F30">
        <w:fldChar w:fldCharType="begin" w:fldLock="1"/>
      </w:r>
      <w:r w:rsidR="00495100" w:rsidRPr="00FC4F30">
        <w:instrText>ADDIN CSL_CITATION {"citationItems":[{"id":"ITEM-1","itemData":{"DOI":"10.1089/brain.2012.0073","author":[{"dropping-particle":"","family":"Whitfield-gabrieli","given":"Susan","non-dropping-particle":"","parse-names":false,"suffix":""},{"dropping-particle":"","family":"Nieto-castanon","given":"Alfonso","non-dropping-particle":"","parse-names":false,"suffix":""}],"id":"ITEM-1","issue":"3","issued":{"date-parts":[["2012"]]},"title":"Conn : A Functional Connectivity Toolbox for Correlated and Anticorrelated Brain Networks","type":"article-journal","volume":"2"},"uris":["http://www.mendeley.com/documents/?uuid=32ac3c4e-486e-463d-9929-f10d5298022d"]}],"mendeley":{"formattedCitation":"(Whitfield-gabrieli &amp; Nieto-castanon, 2012)","plainTextFormattedCitation":"(Whitfield-gabrieli &amp; Nieto-castanon, 2012)","previouslyFormattedCitation":"(Whitfield-gabrieli &amp; Nieto-castanon, 2012)"},"properties":{"noteIndex":0},"schema":"https://github.com/citation-style-language/schema/raw/master/csl-citation.json"}</w:instrText>
      </w:r>
      <w:r w:rsidR="00495100" w:rsidRPr="00FC4F30">
        <w:fldChar w:fldCharType="separate"/>
      </w:r>
      <w:r w:rsidR="00495100" w:rsidRPr="00FC4F30">
        <w:rPr>
          <w:noProof/>
        </w:rPr>
        <w:t>(Whitfield-gabrieli &amp; Nieto-castanon, 2012)</w:t>
      </w:r>
      <w:r w:rsidR="00495100" w:rsidRPr="00FC4F30">
        <w:fldChar w:fldCharType="end"/>
      </w:r>
      <w:r w:rsidR="00495100" w:rsidRPr="00FC4F30">
        <w:t xml:space="preserve"> has been employed for this purpose. At first, the noise in fMRI information was reduced through the anatomical CompCor approach </w:t>
      </w:r>
      <w:r w:rsidR="00495100" w:rsidRPr="00FC4F30">
        <w:fldChar w:fldCharType="begin" w:fldLock="1"/>
      </w:r>
      <w:r w:rsidR="00495100" w:rsidRPr="00FC4F30">
        <w:instrText>ADDIN CSL_CITATION {"citationItems":[{"id":"ITEM-1","itemData":{"DOI":"10.1016/j.neuroimage.2007.04.042","ISSN":"10538119","PMID":"17560126","abstract":"A component based method (CompCor) for the reduction of noise in both blood oxygenation level-dependent (BOLD) and perfusion-based functional magnetic resonance imaging (fMRI) data is presented. In the proposed method, significant principal components are derived from noise regions-of-interest (ROI) in which the time series data are unlikely to be modulated by neural activity. These components are then included as nuisance parameters within general linear models for BOLD and perfusion-based fMRI time series data. Two approaches for the determination of the noise ROI are considered. The first method uses high-resolution anatomical data to define a region of interest composed primarily of white matter and cerebrospinal fluid, while the second method defines a region based upon the temporal standard deviation of the time series data. With the application of CompCor, the temporal standard deviation of resting-state perfusion and BOLD data in gray matter regions was significantly reduced as compared to either no correction or the application of a previously described retrospective image based correction scheme (RETROICOR). For both functional perfusion and BOLD data, the application of CompCor significantly increased the number of activated voxels as compared to no correction. In addition, for functional BOLD data, there were significantly more activated voxels detected with CompCor as compared to RETROICOR. In comparison to RETROICOR, CompCor has the advantage of not requiring external monitoring of physiological fluctuations. © 2007 Elsevier Inc. All rights reserved.","author":[{"dropping-particle":"","family":"Behzadi","given":"Yashar","non-dropping-particle":"","parse-names":false,"suffix":""},{"dropping-particle":"","family":"Restom","given":"Khaled","non-dropping-particle":"","parse-names":false,"suffix":""},{"dropping-particle":"","family":"Liau","given":"Joy","non-dropping-particle":"","parse-names":false,"suffix":""},{"dropping-particle":"","family":"Liu","given":"Thomas T.","non-dropping-particle":"","parse-names":false,"suffix":""}],"container-title":"NeuroImage","id":"ITEM-1","issue":"1","issued":{"date-parts":[["2007"]]},"page":"90-101","title":"A component based noise correction method (CompCor) for BOLD and perfusion based fMRI","type":"article-journal","volume":"37"},"uris":["http://www.mendeley.com/documents/?uuid=ddae1d1b-8655-43dc-b8be-c69961319c10"]}],"mendeley":{"formattedCitation":"(Behzadi et al., 2007)","plainTextFormattedCitation":"(Behzadi et al., 2007)","previouslyFormattedCitation":"(Behzadi et al., 2007)"},"properties":{"noteIndex":0},"schema":"https://github.com/citation-style-language/schema/raw/master/csl-citation.json"}</w:instrText>
      </w:r>
      <w:r w:rsidR="00495100" w:rsidRPr="00FC4F30">
        <w:fldChar w:fldCharType="separate"/>
      </w:r>
      <w:r w:rsidR="00495100" w:rsidRPr="00FC4F30">
        <w:rPr>
          <w:noProof/>
        </w:rPr>
        <w:t>(Behzadi et al., 2007)</w:t>
      </w:r>
      <w:r w:rsidR="00495100" w:rsidRPr="00FC4F30">
        <w:fldChar w:fldCharType="end"/>
      </w:r>
      <w:r w:rsidR="00495100" w:rsidRPr="00FC4F30">
        <w:t xml:space="preserve">, which extracts principal components (PCA) from white matter and cerebrospinal fluid BOLD time series. These components were further added as confounds in the denoising step of the CONN toolbox. Each of the defined temporal confounding factors is subsequently regressed from the BOLD time series at each voxel, and the resulting residual time series are band-pass filtered. Linear detrending was additionally performed. </w:t>
      </w:r>
      <w:r w:rsidRPr="00F6280F">
        <w:t>Subsequently, the second-level GLM model results for every task engagement are passed as Regions of Interest (ROI) to graph theory analysis</w:t>
      </w:r>
      <w:r>
        <w:t>.</w:t>
      </w:r>
      <w:r w:rsidR="00495100" w:rsidRPr="00FC4F30">
        <w:t xml:space="preserve"> The graph theory metrics such as global and local efficiency of the functionally connected regions characterizing the structural properties of the estimated ROI-to-ROI functional connectivity networks are estimated. Each subject-specific ROI-to-ROI connectivity matrix is thresholded at p-FDR&lt;0.05 in a two-sided analysis and characterizes a graph with nodes associated with ROIs and edges associated with the strength of functional connectivity among these ROIs. For each node in a graph, global efficiency is measured as the average inverse shortest path distance from each node to all other nodes in the graph, and local efficiency is measured as the average global efficiency across all nodes in the local subgraph of each node. Both graph theory measures (global and local efficiency) are estimated at p-FDR&lt;0.05 in a two-sided analysis. </w:t>
      </w:r>
    </w:p>
    <w:p w:rsidR="007941E5" w:rsidRPr="000C29E3" w:rsidRDefault="000C29E3" w:rsidP="00A43588">
      <w:pPr>
        <w:spacing w:line="360" w:lineRule="auto"/>
        <w:jc w:val="both"/>
        <w:textAlignment w:val="baseline"/>
        <w:rPr>
          <w:sz w:val="28"/>
          <w:szCs w:val="28"/>
        </w:rPr>
      </w:pPr>
      <w:r w:rsidRPr="000C29E3">
        <w:rPr>
          <w:rFonts w:eastAsia="Kozuka Mincho Pro B"/>
          <w:b/>
          <w:sz w:val="28"/>
          <w:szCs w:val="28"/>
        </w:rPr>
        <w:lastRenderedPageBreak/>
        <w:t xml:space="preserve">S.3 </w:t>
      </w:r>
      <w:r w:rsidRPr="000C29E3">
        <w:rPr>
          <w:b/>
          <w:bCs/>
          <w:sz w:val="28"/>
          <w:szCs w:val="28"/>
        </w:rPr>
        <w:t>OPTIMIZING FREQUENCY-MICROSTATE ELICITATIONS WITH FMRI FUNCTIONAL CONNECTIVITY MEASURES AND THEIR VALIDATION THROUGH MICROSTATE INFORMED FMRI </w:t>
      </w:r>
      <w:r w:rsidRPr="000C29E3">
        <w:rPr>
          <w:sz w:val="28"/>
          <w:szCs w:val="28"/>
        </w:rPr>
        <w:t> </w:t>
      </w:r>
    </w:p>
    <w:p w:rsidR="00495100" w:rsidRPr="00FC4F30" w:rsidRDefault="00495100" w:rsidP="00495100">
      <w:pPr>
        <w:shd w:val="clear" w:color="auto" w:fill="FFFFFF"/>
        <w:spacing w:line="480" w:lineRule="auto"/>
        <w:ind w:firstLine="720"/>
        <w:jc w:val="both"/>
        <w:textAlignment w:val="baseline"/>
        <w:rPr>
          <w:rFonts w:ascii="Segoe UI" w:hAnsi="Segoe UI" w:cs="Segoe UI"/>
        </w:rPr>
      </w:pPr>
      <w:r w:rsidRPr="00FC4F30">
        <w:t xml:space="preserve">The brain-computer interface technologies are primarily based on surface EEG information and fundamentally aim to decipher neural engagement and distant cortical communications caused by task engagement. However, getting these information pieces from the surface EEG is a more complex research question due to the volume conduction and superposition of neural activation as they travel through the intracranial regions. This study explored whether cortical quasi-stable frequency elicitation could be used as a task engagement neural marker. For this purpose, the number of occurrences of each delta, theta, alpha, beta, and gamma EEG-microstates of every individual during task engagement (target, distractor, and fixation) is subjected to the robust correlation </w:t>
      </w:r>
      <w:r w:rsidR="009A2C36">
        <w:t xml:space="preserve">analysis </w:t>
      </w:r>
      <w:r w:rsidR="009A2C36" w:rsidRPr="00F8335F">
        <w:rPr>
          <w:rFonts w:eastAsia="Kozuka Mincho Pro B"/>
        </w:rPr>
        <w:fldChar w:fldCharType="begin" w:fldLock="1"/>
      </w:r>
      <w:r w:rsidR="009A2C36" w:rsidRPr="00F8335F">
        <w:rPr>
          <w:rFonts w:eastAsia="Kozuka Mincho Pro B"/>
        </w:rPr>
        <w:instrText>ADDIN CSL_CITATION {"citationItems":[{"id":"ITEM-1","itemData":{"DOI":"10.3389/fpsyg.2012.00606","ISSN":"16641078","abstract":"Pearson's correlation measures the strength of the association between two variables. The technique is, however, restricted to linear associations and is overly sensitive to out-liers. Indeed, a single outlier can result in a highly inaccurate summary of the data. Yet, it remains the most commonly used measure of association in psychology research. Here we describe a free Matlab(R) based toolbox(http://sourceforge.net/projects/robustcorrtool/) that computes robust measures of association between two or more random variables: the percentage-bend correlation and skipped-correlations. After illustrating how to use the toolbox, we show that robust methods, where outliers are down weighted or removed and accounted for in significance testing, provide better estimates of the true association with accurate false positive control and without loss of power. The different correlation methods were tested with normal data and normal data contaminated with marginal or bivariate outliers. We report estimates of effect size, false positive rate and power, and advise on which technique to use depending on the data at hand. Copyright © 2013 Pernet, Wilcox and Rousselet.","author":[{"dropping-particle":"","family":"Pernet","given":"Cyril R.","non-dropping-particle":"","parse-names":false,"suffix":""},{"dropping-particle":"","family":"Wilcox","given":"Rand","non-dropping-particle":"","parse-names":false,"suffix":""},{"dropping-particle":"","family":"Rousselet","given":"Guillaume A.","non-dropping-particle":"","parse-names":false,"suffix":""}],"container-title":"Frontiers in Psychology","id":"ITEM-1","issue":"JAN","issued":{"date-parts":[["2013"]]},"page":"1-18","title":"Robust correlation analyses: False positive and power validation using a new open source matlab toolbox","type":"article-journal","volume":"3"},"uris":["http://www.mendeley.com/documents/?uuid=738293be-4e06-4e00-9f73-62ec27f59bca"]}],"mendeley":{"formattedCitation":"(Pernet et al., 2013)","plainTextFormattedCitation":"(Pernet et al., 2013)","previouslyFormattedCitation":"(Pernet et al., 2013)"},"properties":{"noteIndex":0},"schema":"https://github.com/citation-style-language/schema/raw/master/csl-citation.json"}</w:instrText>
      </w:r>
      <w:r w:rsidR="009A2C36" w:rsidRPr="00F8335F">
        <w:rPr>
          <w:rFonts w:eastAsia="Kozuka Mincho Pro B"/>
        </w:rPr>
        <w:fldChar w:fldCharType="separate"/>
      </w:r>
      <w:r w:rsidR="009A2C36" w:rsidRPr="00F8335F">
        <w:rPr>
          <w:rFonts w:eastAsia="Kozuka Mincho Pro B"/>
          <w:noProof/>
        </w:rPr>
        <w:t>(Pernet et al., 2013)</w:t>
      </w:r>
      <w:r w:rsidR="009A2C36" w:rsidRPr="00F8335F">
        <w:rPr>
          <w:rFonts w:eastAsia="Kozuka Mincho Pro B"/>
        </w:rPr>
        <w:fldChar w:fldCharType="end"/>
      </w:r>
      <w:r w:rsidR="009A2C36">
        <w:rPr>
          <w:rFonts w:eastAsia="Kozuka Mincho Pro B"/>
        </w:rPr>
        <w:t xml:space="preserve"> </w:t>
      </w:r>
      <w:r w:rsidRPr="00FC4F30">
        <w:t>with functional connectivit</w:t>
      </w:r>
      <w:r w:rsidR="00E449AA">
        <w:t>y</w:t>
      </w:r>
      <w:r w:rsidRPr="00FC4F30">
        <w:t> metrics (global and local efficiencies) measured from the simultaneously measured fMRI information. The significantly correlating frequency microstates with the fMRI functional connectivity metrics are neural signatures associated with distinct and distant cortical communication caused by the associated task engagement.   </w:t>
      </w:r>
    </w:p>
    <w:p w:rsidR="00495100" w:rsidRPr="00FC4F30" w:rsidRDefault="00495100" w:rsidP="00495100">
      <w:pPr>
        <w:shd w:val="clear" w:color="auto" w:fill="FFFFFF"/>
        <w:spacing w:line="480" w:lineRule="auto"/>
        <w:ind w:firstLine="720"/>
        <w:jc w:val="both"/>
        <w:textAlignment w:val="baseline"/>
        <w:rPr>
          <w:rFonts w:ascii="Segoe UI" w:hAnsi="Segoe UI" w:cs="Segoe UI"/>
        </w:rPr>
      </w:pPr>
      <w:r w:rsidRPr="00FC4F30">
        <w:t xml:space="preserve">This study further validated these significantly correlating frequency microstates by subjecting them to the EEG-informed fMRI analysis </w:t>
      </w:r>
      <w:r w:rsidRPr="00FC4F30">
        <w:fldChar w:fldCharType="begin" w:fldLock="1"/>
      </w:r>
      <w:r w:rsidRPr="00FC4F30">
        <w:instrText>ADDIN CSL_CITATION {"citationItems":[{"id":"ITEM-1","itemData":{"DOI":"10.3389/fnhum.2018.00029","ISSN":"16625161","abstract":"The simultaneous acquisition of electroencephalography (EEG) with functional magnetic resonance imaging (fMRI) is a very promising non-invasive technique for the study of human brain function. Despite continuous improvements, it remains a challenging technique, and a standard methodology for data analysis is yet to be established. Here we review the methodologies that are currently available to address the challenges at each step of the data analysis pipeline. We start by surveying methods for preprocessing both EEG and fMRI data. On the EEG side, we focus on the correction for several MR-induced artifacts, particularly the gradient and pulse artifacts, as well as other sources of EEG artifacts. On the fMRI side, we consider image artifacts induced by the presence of EEG hardware inside the MR scanner, and the contamination of the fMRI signal by physiological noise of non-neuronal origin, including a review of several approaches to model and remove it. We then provide an overview of the approaches specifically employed for the integration of EEG and fMRI when using EEG to predict the blood oxygenation level dependent (BOLD) fMRI signal, the so-called EEG-informed fMRI integration strategy, the most commonly used strategy in EEG-fMRI research. Finally, we systematically review methods used for the extraction of EEG features reflecting neuronal phenomena of interest.","author":[{"dropping-particle":"","family":"Abreu","given":"Rodolfo","non-dropping-particle":"","parse-names":false,"suffix":""},{"dropping-particle":"","family":"Leal","given":"Alberto","non-dropping-particle":"","parse-names":false,"suffix":""},{"dropping-particle":"","family":"Figueiredo","given":"Patrícia","non-dropping-particle":"","parse-names":false,"suffix":""}],"container-title":"Frontiers in Human Neuroscience","id":"ITEM-1","issue":"February","issued":{"date-parts":[["2018"]]},"page":"1-23","title":"EEG-informed fMRI: A review of data analysis methods","type":"article-journal","volume":"12"},"uris":["http://www.mendeley.com/documents/?uuid=2ac52c4a-0989-4a09-a4c8-502b4369f516"]},{"id":"ITEM-2","itemData":{"DOI":"10.1523/JNEUROSCI.0447-12.2012","ISSN":"02706474","abstract":"The simultaneous recording and analysis of electroencephalography (EEG) and fMRI data in human systems, cognitive and clinical neurosciences is rapidly evolving and has received substantial attention. The significance of multimodal brain imaging is documented by a steadily increasing number of laboratories now using simultaneous EEG-fMRI aiming to achieve both high temporal and spatial resolution of human brain function. Due to recent developments in technical and algorithmic instrumentation, the rate-limiting step in multimodal studies has shifted from data acquisition to analytic aspects. Here, we introduce and compare different methods for data integration and identify the benefits that come with each approach, guiding the reader toward an understanding and informed selection of the integration approach most suitable for addressing a particular research question. © 2012 the authors.","author":[{"dropping-particle":"","family":"Huster","given":"René J.","non-dropping-particle":"","parse-names":false,"suffix":""},{"dropping-particle":"","family":"Debener","given":"Stefan","non-dropping-particle":"","parse-names":false,"suffix":""},{"dropping-particle":"","family":"Eichele","given":"Tom","non-dropping-particle":"","parse-names":false,"suffix":""},{"dropping-particle":"","family":"Herrmann","given":"Christoph S.","non-dropping-particle":"","parse-names":false,"suffix":""}],"container-title":"Journal of Neuroscience","id":"ITEM-2","issue":"18","issued":{"date-parts":[["2012"]]},"page":"6053-6060","title":"Methods for simultaneous EEG-fMRI: An introductory review","type":"article-journal","volume":"32"},"uris":["http://www.mendeley.com/documents/?uuid=cbe31137-ff9e-4e0f-bf95-e8e944e40d6f"]}],"mendeley":{"formattedCitation":"(Abreu et al., 2018; Huster et al., 2012)","plainTextFormattedCitation":"(Abreu et al., 2018; Huster et al., 2012)","previouslyFormattedCitation":"(Abreu et al., 2018; Huster et al., 2012)"},"properties":{"noteIndex":0},"schema":"https://github.com/citation-style-language/schema/raw/master/csl-citation.json"}</w:instrText>
      </w:r>
      <w:r w:rsidRPr="00FC4F30">
        <w:fldChar w:fldCharType="separate"/>
      </w:r>
      <w:r w:rsidRPr="00FC4F30">
        <w:rPr>
          <w:noProof/>
        </w:rPr>
        <w:t>(Abreu et al., 2018; Huster et al., 2012)</w:t>
      </w:r>
      <w:r w:rsidRPr="00FC4F30">
        <w:fldChar w:fldCharType="end"/>
      </w:r>
      <w:r w:rsidRPr="00FC4F30">
        <w:t xml:space="preserve">  and studied their neural mechanisms. Since the frequency microstates that correlates with fMRI functional connectivity metrics are different for target, distractor, and fixation, three separate EEG-informed fMRI models were constructed for every task engagement. For this purpose, at first, each significantly correlating frequency-microstates is subjected to the back-fitting correlation with every volunteer's preprocessed, filtered EEG frequency information. Then, this correlation information is constructed for every 3 seconds to match simultaneously acquired fMRI information </w:t>
      </w:r>
      <w:r w:rsidRPr="00FC4F30">
        <w:lastRenderedPageBreak/>
        <w:t xml:space="preserve">and passed as separate regressors in the EEG-informed fMRI model.  The first level analysis is performed using SPM 12. The EEG regressors are introduced as parametric modulators of the task execution period in the GLM design matrix, convolved with canonical HRF, the temporal-dispersion derivatives, and six realignment parameters for each run. At the first level, t-contrasts are calculated for each parametric modulator for frequency microstate. Subsequently, these first-level contrast images are subjected to group-level random-effects analysis using a robust regression toolbox </w:t>
      </w:r>
      <w:r w:rsidRPr="00FC4F30">
        <w:fldChar w:fldCharType="begin" w:fldLock="1"/>
      </w:r>
      <w:r w:rsidRPr="00FC4F30">
        <w:instrText>ADDIN CSL_CITATION {"citationItems":[{"id":"ITEM-1","itemData":{"DOI":"10.1016/j.neuroimage.2005.01.011","ISSN":"10538119","PMID":"15862210","abstract":"Robust regression techniques are a class of estimators that are relatively insensitive to the presence of one or more outliers in the data. They are especially well suited to data that require large numbers of statistical tests and may contain outliers due to factors not of experimental interest. Both these issues apply particularly to neuroimaging data analysis. We use simulations to compare several robust techniques against ordinary least squares (OLS) regression, and we apply robust regression to second-level (group \"random effects\") analyses in three fMRI datasets. Our results show that robust iteratively reweighted least squares (IRLS) at the 2nd level is a computationally efficient technique that both increases statistical power and decreases false positive rates in the presence of outliers. The benefits of IRLS are apparent with small samples (n = 10) and increase with larger sample sizes (n = 40) in the typical range of group neuroimaging experiments. When no true effects are present, IRLS controls false positive rates at an appropriate level. We show that IRLS can have substantial benefits in analysis of group data and in estimating hemodynamic response shapes from time series data. We provide software to implement IRLS in group neuroimaging analyses. © 2005 Elsevier Inc. All rights reserved.","author":[{"dropping-particle":"","family":"Wager","given":"Tor D.","non-dropping-particle":"","parse-names":false,"suffix":""},{"dropping-particle":"","family":"Keller","given":"Matthew C.","non-dropping-particle":"","parse-names":false,"suffix":""},{"dropping-particle":"","family":"Lacey","given":"Steven C.","non-dropping-particle":"","parse-names":false,"suffix":""},{"dropping-particle":"","family":"Jonides","given":"John","non-dropping-particle":"","parse-names":false,"suffix":""}],"container-title":"NeuroImage","id":"ITEM-1","issue":"1","issued":{"date-parts":[["2005"]]},"page":"99-113","title":"Increased sensitivity in neuroimaging analyses using robust regression","type":"article-journal","volume":"26"},"uris":["http://www.mendeley.com/documents/?uuid=839d29c4-b7b9-4480-a1d0-cc89d23c4c55"]}],"mendeley":{"formattedCitation":"(Wager et al., 2005)","plainTextFormattedCitation":"(Wager et al., 2005)","previouslyFormattedCitation":"(Wager et al., 2005)"},"properties":{"noteIndex":0},"schema":"https://github.com/citation-style-language/schema/raw/master/csl-citation.json"}</w:instrText>
      </w:r>
      <w:r w:rsidRPr="00FC4F30">
        <w:fldChar w:fldCharType="separate"/>
      </w:r>
      <w:r w:rsidRPr="00FC4F30">
        <w:rPr>
          <w:noProof/>
        </w:rPr>
        <w:t>(Wager et al., 2005)</w:t>
      </w:r>
      <w:r w:rsidRPr="00FC4F30">
        <w:fldChar w:fldCharType="end"/>
      </w:r>
      <w:r w:rsidRPr="00FC4F30">
        <w:t>. The robust regression toolbox uses robust iteratively reweighted least squares (IRLS) to identify and down-weight potential outliers that can cause an increase in false positives and false negatives. Effects observed at P&lt;0.05 and surviving a false discovery rate (FDR) correction at the cluster level at P(FDR)&lt;0.05 are reported as significant for fMRI analyses. </w:t>
      </w: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A43588" w:rsidRDefault="00A43588" w:rsidP="00EE777D">
      <w:pPr>
        <w:spacing w:line="480" w:lineRule="auto"/>
        <w:jc w:val="both"/>
        <w:textAlignment w:val="baseline"/>
        <w:rPr>
          <w:rFonts w:eastAsia="Kozuka Mincho Pro B"/>
          <w:b/>
        </w:rPr>
      </w:pPr>
    </w:p>
    <w:p w:rsidR="00A43588" w:rsidRDefault="00A43588"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0C29E3" w:rsidRDefault="000C29E3" w:rsidP="00EE777D">
      <w:pPr>
        <w:spacing w:line="480" w:lineRule="auto"/>
        <w:jc w:val="both"/>
        <w:textAlignment w:val="baseline"/>
        <w:rPr>
          <w:rFonts w:eastAsia="Kozuka Mincho Pro B"/>
          <w:b/>
        </w:rPr>
      </w:pPr>
    </w:p>
    <w:p w:rsidR="00EE777D" w:rsidRPr="000C29E3" w:rsidRDefault="00EE777D" w:rsidP="00EE777D">
      <w:pPr>
        <w:spacing w:line="480" w:lineRule="auto"/>
        <w:jc w:val="both"/>
        <w:textAlignment w:val="baseline"/>
        <w:rPr>
          <w:sz w:val="28"/>
          <w:szCs w:val="28"/>
        </w:rPr>
      </w:pPr>
      <w:r w:rsidRPr="000C29E3">
        <w:rPr>
          <w:rFonts w:eastAsia="Kozuka Mincho Pro B"/>
          <w:b/>
          <w:sz w:val="28"/>
          <w:szCs w:val="28"/>
        </w:rPr>
        <w:lastRenderedPageBreak/>
        <w:t>S.</w:t>
      </w:r>
      <w:r w:rsidR="00555D5A" w:rsidRPr="000C29E3">
        <w:rPr>
          <w:rFonts w:eastAsia="Kozuka Mincho Pro B"/>
          <w:b/>
          <w:sz w:val="28"/>
          <w:szCs w:val="28"/>
        </w:rPr>
        <w:t>4</w:t>
      </w:r>
      <w:r w:rsidRPr="000C29E3">
        <w:rPr>
          <w:rFonts w:eastAsia="Kozuka Mincho Pro B"/>
          <w:b/>
          <w:sz w:val="28"/>
          <w:szCs w:val="28"/>
        </w:rPr>
        <w:t xml:space="preserve"> </w:t>
      </w:r>
      <w:r w:rsidRPr="000C29E3">
        <w:rPr>
          <w:b/>
          <w:bCs/>
          <w:sz w:val="28"/>
          <w:szCs w:val="28"/>
        </w:rPr>
        <w:t>DEEP ATTENTIONAL LSTM MODEL</w:t>
      </w:r>
    </w:p>
    <w:p w:rsidR="009A2C36" w:rsidRPr="00020444" w:rsidRDefault="009A2C36" w:rsidP="009A2C36">
      <w:pPr>
        <w:shd w:val="clear" w:color="auto" w:fill="FFFFFF"/>
        <w:spacing w:line="480" w:lineRule="auto"/>
        <w:ind w:firstLine="720"/>
        <w:jc w:val="both"/>
        <w:textAlignment w:val="baseline"/>
      </w:pPr>
      <w:r>
        <w:t>Our current study</w:t>
      </w:r>
      <w:r w:rsidRPr="00020444">
        <w:t xml:space="preserve"> employed attention-based Long Short-Term Memory (LSTM), the deep learning model, to classify the task engagements based on the quasi-stable frequency microstate information.</w:t>
      </w:r>
      <w:r>
        <w:t xml:space="preserve"> </w:t>
      </w:r>
      <w:r w:rsidRPr="00020444">
        <w:t xml:space="preserve">Due to the discrepant and task-dependent nature of the task’s </w:t>
      </w:r>
      <w:r>
        <w:t xml:space="preserve">time series </w:t>
      </w:r>
      <w:r w:rsidRPr="00020444">
        <w:t xml:space="preserve">EEG information, attention-based LSTM architecture is more suited and </w:t>
      </w:r>
      <w:r>
        <w:t>used</w:t>
      </w:r>
      <w:r w:rsidRPr="00020444">
        <w:t xml:space="preserve"> in our study for classifying the task’s EEG signals.</w:t>
      </w:r>
      <w:r>
        <w:t xml:space="preserve"> The detailed description of LSTM and attention mechanism is explained in following sections. </w:t>
      </w:r>
    </w:p>
    <w:p w:rsidR="00555D5A" w:rsidRPr="00555D5A" w:rsidRDefault="00555D5A" w:rsidP="00555D5A">
      <w:pPr>
        <w:shd w:val="clear" w:color="auto" w:fill="FFFFFF"/>
        <w:spacing w:line="480" w:lineRule="auto"/>
        <w:jc w:val="both"/>
        <w:textAlignment w:val="baseline"/>
        <w:rPr>
          <w:rFonts w:ascii="Segoe UI" w:hAnsi="Segoe UI" w:cs="Segoe UI"/>
        </w:rPr>
      </w:pPr>
      <w:r w:rsidRPr="00555D5A">
        <w:rPr>
          <w:b/>
          <w:bCs/>
        </w:rPr>
        <w:t>LSTM Architecture: </w:t>
      </w:r>
      <w:r w:rsidRPr="00555D5A">
        <w:t> </w:t>
      </w:r>
    </w:p>
    <w:p w:rsidR="00555D5A" w:rsidRPr="00555D5A" w:rsidRDefault="00555D5A" w:rsidP="00555D5A">
      <w:pPr>
        <w:shd w:val="clear" w:color="auto" w:fill="FFFFFF"/>
        <w:spacing w:line="480" w:lineRule="auto"/>
        <w:ind w:firstLine="720"/>
        <w:jc w:val="both"/>
        <w:textAlignment w:val="baseline"/>
        <w:rPr>
          <w:rFonts w:ascii="Segoe UI" w:hAnsi="Segoe UI" w:cs="Segoe UI"/>
        </w:rPr>
      </w:pPr>
      <w:r w:rsidRPr="00555D5A">
        <w:t>The LSTM architecture consists of interconnected cells that hold the memory information through which the input data is processed to evaluate the output results. In LSTM, the input information flows through the input gate (it) and forget gate (</w:t>
      </w:r>
      <m:oMath>
        <m:sSub>
          <m:sSubPr>
            <m:ctrlPr>
              <w:rPr>
                <w:rFonts w:ascii="Cambria Math" w:hAnsi="Cambria Math"/>
                <w:i/>
              </w:rPr>
            </m:ctrlPr>
          </m:sSubPr>
          <m:e>
            <m:r>
              <w:rPr>
                <w:rFonts w:ascii="Cambria Math" w:hAnsi="Cambria Math"/>
              </w:rPr>
              <m:t>f</m:t>
            </m:r>
          </m:e>
          <m:sub>
            <m:r>
              <w:rPr>
                <w:rFonts w:ascii="Cambria Math" w:hAnsi="Cambria Math"/>
              </w:rPr>
              <m:t>t</m:t>
            </m:r>
          </m:sub>
        </m:sSub>
      </m:oMath>
      <w:r w:rsidRPr="00555D5A">
        <w:t>) initially and enables the network to keep or erase the earlier memory information (</w:t>
      </w:r>
      <m:oMath>
        <m:sSub>
          <m:sSubPr>
            <m:ctrlPr>
              <w:rPr>
                <w:rFonts w:ascii="Cambria Math" w:hAnsi="Cambria Math"/>
                <w:i/>
              </w:rPr>
            </m:ctrlPr>
          </m:sSubPr>
          <m:e>
            <m:r>
              <w:rPr>
                <w:rFonts w:ascii="Cambria Math" w:hAnsi="Cambria Math"/>
              </w:rPr>
              <m:t>C</m:t>
            </m:r>
          </m:e>
          <m:sub>
            <m:r>
              <w:rPr>
                <w:rFonts w:ascii="Cambria Math" w:hAnsi="Cambria Math"/>
              </w:rPr>
              <m:t>t-1</m:t>
            </m:r>
          </m:sub>
        </m:sSub>
      </m:oMath>
      <w:r w:rsidRPr="00555D5A">
        <w:t>) or update them with currently learned information (</w:t>
      </w:r>
      <m:oMath>
        <m:sSub>
          <m:sSubPr>
            <m:ctrlPr>
              <w:rPr>
                <w:rFonts w:ascii="Cambria Math" w:hAnsi="Cambria Math"/>
                <w:i/>
              </w:rPr>
            </m:ctrlPr>
          </m:sSubPr>
          <m:e>
            <m:r>
              <w:rPr>
                <w:rFonts w:ascii="Cambria Math" w:hAnsi="Cambria Math"/>
              </w:rPr>
              <m:t>C</m:t>
            </m:r>
          </m:e>
          <m:sub>
            <m:r>
              <w:rPr>
                <w:rFonts w:ascii="Cambria Math" w:hAnsi="Cambria Math"/>
              </w:rPr>
              <m:t>t</m:t>
            </m:r>
          </m:sub>
        </m:sSub>
      </m:oMath>
      <w:r w:rsidRPr="00555D5A">
        <w:t>). Further, each cell's result is modulated by an output gate (</w:t>
      </w:r>
      <m:oMath>
        <m:sSub>
          <m:sSubPr>
            <m:ctrlPr>
              <w:rPr>
                <w:rFonts w:ascii="Cambria Math" w:hAnsi="Cambria Math"/>
                <w:i/>
              </w:rPr>
            </m:ctrlPr>
          </m:sSubPr>
          <m:e>
            <m:r>
              <w:rPr>
                <w:rFonts w:ascii="Cambria Math" w:hAnsi="Cambria Math"/>
              </w:rPr>
              <m:t>o</m:t>
            </m:r>
          </m:e>
          <m:sub>
            <m:r>
              <w:rPr>
                <w:rFonts w:ascii="Cambria Math" w:hAnsi="Cambria Math"/>
              </w:rPr>
              <m:t>t</m:t>
            </m:r>
          </m:sub>
        </m:sSub>
      </m:oMath>
      <w:r w:rsidRPr="00555D5A">
        <w:t>), which lets the cell compute its output based on the updated information. The function of LSTM cell architecture is presented as: </w:t>
      </w:r>
    </w:p>
    <w:p w:rsidR="00555D5A" w:rsidRPr="00555D5A" w:rsidRDefault="003249CB" w:rsidP="00555D5A">
      <w:pPr>
        <w:spacing w:line="480" w:lineRule="auto"/>
        <w:ind w:left="2160" w:firstLine="720"/>
        <w:jc w:val="both"/>
        <w:rPr>
          <w:rFonts w:eastAsiaTheme="minorEastAsia"/>
        </w:rPr>
      </w:pPr>
      <m:oMath>
        <m:sSub>
          <m:sSubPr>
            <m:ctrlPr>
              <w:rPr>
                <w:rFonts w:ascii="Cambria Math" w:hAnsi="Cambria Math"/>
              </w:rPr>
            </m:ctrlPr>
          </m:sSubPr>
          <m:e>
            <m:r>
              <m:rPr>
                <m:sty m:val="p"/>
              </m:rPr>
              <w:rPr>
                <w:rFonts w:ascii="Cambria Math" w:hAnsi="Cambria Math"/>
              </w:rPr>
              <m:t>i</m:t>
            </m:r>
          </m:e>
          <m:sub>
            <m:r>
              <m:rPr>
                <m:sty m:val="p"/>
              </m:rPr>
              <w:rPr>
                <w:rFonts w:ascii="Cambria Math" w:hAnsi="Cambria Math"/>
              </w:rPr>
              <m:t>t</m:t>
            </m:r>
          </m:sub>
        </m:sSub>
        <m:r>
          <m:rPr>
            <m:sty m:val="p"/>
          </m:rPr>
          <w:rPr>
            <w:rFonts w:ascii="Cambria Math" w:hAnsi="Cambria Math"/>
          </w:rPr>
          <m:t>=σ</m:t>
        </m:r>
        <m:d>
          <m:dPr>
            <m:ctrlPr>
              <w:rPr>
                <w:rFonts w:ascii="Cambria Math" w:hAnsi="Cambria Math"/>
              </w:rPr>
            </m:ctrlPr>
          </m:dPr>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i</m:t>
                </m:r>
              </m:sub>
            </m:sSub>
            <m:r>
              <m:rPr>
                <m:sty m:val="p"/>
              </m:rPr>
              <w:rPr>
                <w:rFonts w:ascii="Cambria Math" w:hAnsi="Cambria Math"/>
              </w:rPr>
              <m:t xml:space="preserve"> .  </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t</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b</m:t>
                </m:r>
              </m:e>
              <m:sub>
                <m:r>
                  <m:rPr>
                    <m:sty m:val="p"/>
                  </m:rPr>
                  <w:rPr>
                    <w:rFonts w:ascii="Cambria Math" w:hAnsi="Cambria Math"/>
                  </w:rPr>
                  <m:t>i</m:t>
                </m:r>
              </m:sub>
            </m:sSub>
          </m:e>
        </m:d>
      </m:oMath>
      <w:r w:rsidR="00555D5A" w:rsidRPr="00555D5A">
        <w:rPr>
          <w:rFonts w:eastAsiaTheme="minorEastAsia"/>
        </w:rPr>
        <w:t xml:space="preserve">                                                        </w:t>
      </w:r>
      <w:r w:rsidR="00555D5A" w:rsidRPr="00555D5A">
        <w:rPr>
          <w:rFonts w:eastAsia="Kozuka Mincho Pro B"/>
        </w:rPr>
        <w:t>.(16)</w:t>
      </w:r>
    </w:p>
    <w:p w:rsidR="00555D5A" w:rsidRPr="00555D5A" w:rsidRDefault="003249CB" w:rsidP="00555D5A">
      <w:pPr>
        <w:spacing w:line="480" w:lineRule="auto"/>
        <w:ind w:left="2160" w:firstLine="720"/>
        <w:jc w:val="both"/>
        <w:rPr>
          <w:rFonts w:eastAsiaTheme="minorEastAsia"/>
        </w:rPr>
      </w:pP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t</m:t>
            </m:r>
          </m:sub>
        </m:sSub>
        <m:r>
          <m:rPr>
            <m:sty m:val="p"/>
          </m:rPr>
          <w:rPr>
            <w:rFonts w:ascii="Cambria Math" w:hAnsi="Cambria Math"/>
          </w:rPr>
          <m:t>=σ</m:t>
        </m:r>
        <m:d>
          <m:dPr>
            <m:ctrlPr>
              <w:rPr>
                <w:rFonts w:ascii="Cambria Math" w:hAnsi="Cambria Math"/>
              </w:rPr>
            </m:ctrlPr>
          </m:dPr>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f</m:t>
                </m:r>
              </m:sub>
            </m:sSub>
            <m:r>
              <m:rPr>
                <m:sty m:val="p"/>
              </m:rPr>
              <w:rPr>
                <w:rFonts w:ascii="Cambria Math" w:hAnsi="Cambria Math"/>
              </w:rPr>
              <m:t xml:space="preserve"> .  </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t</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b</m:t>
                </m:r>
              </m:e>
              <m:sub>
                <m:r>
                  <m:rPr>
                    <m:sty m:val="p"/>
                  </m:rPr>
                  <w:rPr>
                    <w:rFonts w:ascii="Cambria Math" w:hAnsi="Cambria Math"/>
                  </w:rPr>
                  <m:t>f</m:t>
                </m:r>
              </m:sub>
            </m:sSub>
          </m:e>
        </m:d>
      </m:oMath>
      <w:r w:rsidR="00555D5A" w:rsidRPr="00555D5A">
        <w:rPr>
          <w:rFonts w:eastAsia="Kozuka Mincho Pro B"/>
        </w:rPr>
        <w:t xml:space="preserve">                                                        .(17)</w:t>
      </w:r>
    </w:p>
    <w:p w:rsidR="00555D5A" w:rsidRPr="00555D5A" w:rsidRDefault="00555D5A" w:rsidP="00555D5A">
      <w:pPr>
        <w:spacing w:line="480" w:lineRule="auto"/>
        <w:jc w:val="both"/>
        <w:rPr>
          <w:rFonts w:eastAsiaTheme="minorEastAsia"/>
        </w:rPr>
      </w:pPr>
      <w:r w:rsidRPr="00555D5A">
        <w:rPr>
          <w:rFonts w:eastAsiaTheme="minorEastAsia"/>
        </w:rPr>
        <w:t xml:space="preserve">                           </w:t>
      </w:r>
      <m:oMath>
        <m:sSub>
          <m:sSubPr>
            <m:ctrlPr>
              <w:rPr>
                <w:rFonts w:ascii="Cambria Math" w:hAnsi="Cambria Math"/>
              </w:rPr>
            </m:ctrlPr>
          </m:sSubPr>
          <m:e>
            <m:r>
              <m:rPr>
                <m:sty m:val="p"/>
              </m:rPr>
              <w:rPr>
                <w:rFonts w:ascii="Cambria Math" w:hAnsi="Cambria Math"/>
              </w:rPr>
              <m:t>C</m:t>
            </m:r>
          </m:e>
          <m:sub>
            <m:r>
              <m:rPr>
                <m:sty m:val="p"/>
              </m:rPr>
              <w:rPr>
                <w:rFonts w:ascii="Cambria Math" w:hAnsi="Cambria Math"/>
              </w:rPr>
              <m:t>t</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t</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C</m:t>
            </m:r>
          </m:e>
          <m:sub>
            <m:r>
              <m:rPr>
                <m:sty m:val="p"/>
              </m:rPr>
              <w:rPr>
                <w:rFonts w:ascii="Cambria Math" w:hAnsi="Cambria Math"/>
              </w:rPr>
              <m:t>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i</m:t>
            </m:r>
          </m:e>
          <m:sub>
            <m:r>
              <m:rPr>
                <m:sty m:val="p"/>
              </m:rPr>
              <w:rPr>
                <w:rFonts w:ascii="Cambria Math" w:hAnsi="Cambria Math"/>
              </w:rPr>
              <m:t>t</m:t>
            </m:r>
          </m:sub>
        </m:sSub>
        <m:r>
          <m:rPr>
            <m:sty m:val="p"/>
          </m:rPr>
          <w:rPr>
            <w:rFonts w:ascii="Cambria Math" w:hAnsi="Cambria Math"/>
          </w:rPr>
          <m:t>*</m:t>
        </m:r>
        <m:func>
          <m:funcPr>
            <m:ctrlPr>
              <w:rPr>
                <w:rFonts w:ascii="Cambria Math" w:hAnsi="Cambria Math"/>
              </w:rPr>
            </m:ctrlPr>
          </m:funcPr>
          <m:fName>
            <m:r>
              <m:rPr>
                <m:sty m:val="p"/>
              </m:rPr>
              <w:rPr>
                <w:rFonts w:ascii="Cambria Math" w:hAnsi="Cambria Math"/>
              </w:rPr>
              <m:t>tanh</m:t>
            </m:r>
          </m:fName>
          <m:e>
            <m:d>
              <m:dPr>
                <m:ctrlPr>
                  <w:rPr>
                    <w:rFonts w:ascii="Cambria Math" w:hAnsi="Cambria Math"/>
                  </w:rPr>
                </m:ctrlPr>
              </m:dPr>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c</m:t>
                    </m:r>
                  </m:sub>
                </m:sSub>
                <m:r>
                  <m:rPr>
                    <m:sty m:val="p"/>
                  </m:rPr>
                  <w:rPr>
                    <w:rFonts w:ascii="Cambria Math" w:hAnsi="Cambria Math"/>
                  </w:rPr>
                  <m:t xml:space="preserve"> .</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t</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b</m:t>
                    </m:r>
                  </m:e>
                  <m:sub>
                    <m:r>
                      <m:rPr>
                        <m:sty m:val="p"/>
                      </m:rPr>
                      <w:rPr>
                        <w:rFonts w:ascii="Cambria Math" w:hAnsi="Cambria Math"/>
                      </w:rPr>
                      <m:t>c</m:t>
                    </m:r>
                  </m:sub>
                </m:sSub>
                <m:r>
                  <m:rPr>
                    <m:sty m:val="p"/>
                  </m:rPr>
                  <w:rPr>
                    <w:rFonts w:ascii="Cambria Math" w:hAnsi="Cambria Math"/>
                  </w:rPr>
                  <m:t xml:space="preserve"> </m:t>
                </m:r>
              </m:e>
            </m:d>
          </m:e>
        </m:func>
      </m:oMath>
      <w:r w:rsidRPr="00555D5A">
        <w:rPr>
          <w:rFonts w:eastAsia="Kozuka Mincho Pro B"/>
        </w:rPr>
        <w:t xml:space="preserve">                                             .(18)</w:t>
      </w:r>
    </w:p>
    <w:p w:rsidR="00555D5A" w:rsidRPr="00555D5A" w:rsidRDefault="00555D5A" w:rsidP="00555D5A">
      <w:pPr>
        <w:spacing w:line="480" w:lineRule="auto"/>
        <w:jc w:val="both"/>
        <w:rPr>
          <w:rFonts w:eastAsiaTheme="minorEastAsia"/>
        </w:rPr>
      </w:pPr>
      <w:r w:rsidRPr="00555D5A">
        <w:rPr>
          <w:rFonts w:eastAsiaTheme="minorEastAsia"/>
        </w:rPr>
        <w:t xml:space="preserve">                                       </w:t>
      </w:r>
      <m:oMath>
        <m:sSub>
          <m:sSubPr>
            <m:ctrlPr>
              <w:rPr>
                <w:rFonts w:ascii="Cambria Math" w:hAnsi="Cambria Math"/>
              </w:rPr>
            </m:ctrlPr>
          </m:sSubPr>
          <m:e>
            <m:r>
              <m:rPr>
                <m:sty m:val="p"/>
              </m:rPr>
              <w:rPr>
                <w:rFonts w:ascii="Cambria Math" w:hAnsi="Cambria Math"/>
              </w:rPr>
              <m:t>o</m:t>
            </m:r>
          </m:e>
          <m:sub>
            <m:r>
              <m:rPr>
                <m:sty m:val="p"/>
              </m:rPr>
              <w:rPr>
                <w:rFonts w:ascii="Cambria Math" w:hAnsi="Cambria Math"/>
              </w:rPr>
              <m:t>t</m:t>
            </m:r>
          </m:sub>
        </m:sSub>
        <m:r>
          <m:rPr>
            <m:sty m:val="p"/>
          </m:rPr>
          <w:rPr>
            <w:rFonts w:ascii="Cambria Math" w:hAnsi="Cambria Math"/>
          </w:rPr>
          <m:t>=σ</m:t>
        </m:r>
        <m:d>
          <m:dPr>
            <m:ctrlPr>
              <w:rPr>
                <w:rFonts w:ascii="Cambria Math" w:hAnsi="Cambria Math"/>
              </w:rPr>
            </m:ctrlPr>
          </m:dPr>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o</m:t>
                </m:r>
              </m:sub>
            </m:sSub>
            <m:r>
              <m:rPr>
                <m:sty m:val="p"/>
              </m:rPr>
              <w:rPr>
                <w:rFonts w:ascii="Cambria Math" w:hAnsi="Cambria Math"/>
              </w:rPr>
              <m:t xml:space="preserve"> .  </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t</m:t>
                    </m:r>
                  </m:sub>
                </m:sSub>
              </m:e>
            </m:d>
            <m:r>
              <m:rPr>
                <m:sty m:val="p"/>
              </m:rPr>
              <w:rPr>
                <w:rFonts w:ascii="Cambria Math" w:hAnsi="Cambria Math"/>
              </w:rPr>
              <m:t>+</m:t>
            </m:r>
            <m:sSub>
              <m:sSubPr>
                <m:ctrlPr>
                  <w:rPr>
                    <w:rFonts w:ascii="Cambria Math" w:hAnsi="Cambria Math"/>
                  </w:rPr>
                </m:ctrlPr>
              </m:sSubPr>
              <m:e>
                <m:r>
                  <m:rPr>
                    <m:sty m:val="p"/>
                  </m:rPr>
                  <w:rPr>
                    <w:rFonts w:ascii="Cambria Math" w:hAnsi="Cambria Math"/>
                  </w:rPr>
                  <m:t>b</m:t>
                </m:r>
              </m:e>
              <m:sub>
                <m:r>
                  <m:rPr>
                    <m:sty m:val="p"/>
                  </m:rPr>
                  <w:rPr>
                    <w:rFonts w:ascii="Cambria Math" w:hAnsi="Cambria Math"/>
                  </w:rPr>
                  <m:t>o</m:t>
                </m:r>
              </m:sub>
            </m:sSub>
          </m:e>
        </m:d>
      </m:oMath>
      <w:r w:rsidRPr="00555D5A">
        <w:rPr>
          <w:rFonts w:eastAsiaTheme="minorEastAsia"/>
        </w:rPr>
        <w:t xml:space="preserve">                                                                 </w:t>
      </w:r>
      <w:r w:rsidRPr="00555D5A">
        <w:rPr>
          <w:rFonts w:eastAsia="Kozuka Mincho Pro B"/>
        </w:rPr>
        <w:t>.(19)</w:t>
      </w:r>
    </w:p>
    <w:p w:rsidR="00555D5A" w:rsidRPr="00555D5A" w:rsidRDefault="00555D5A" w:rsidP="00555D5A">
      <w:pPr>
        <w:spacing w:line="480" w:lineRule="auto"/>
        <w:jc w:val="both"/>
        <w:rPr>
          <w:rFonts w:eastAsiaTheme="minorEastAsia"/>
        </w:rPr>
      </w:pPr>
      <w:r w:rsidRPr="00555D5A">
        <w:rPr>
          <w:rFonts w:eastAsiaTheme="minorEastAsia"/>
        </w:rPr>
        <w:t xml:space="preserve">                                              </w:t>
      </w: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t</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t</m:t>
            </m:r>
          </m:sub>
        </m:sSub>
        <m:r>
          <m:rPr>
            <m:sty m:val="p"/>
          </m:rPr>
          <w:rPr>
            <w:rFonts w:ascii="Cambria Math" w:hAnsi="Cambria Math"/>
          </w:rPr>
          <m:t>*</m:t>
        </m:r>
        <m:func>
          <m:funcPr>
            <m:ctrlPr>
              <w:rPr>
                <w:rFonts w:ascii="Cambria Math" w:hAnsi="Cambria Math"/>
              </w:rPr>
            </m:ctrlPr>
          </m:funcPr>
          <m:fName>
            <m:r>
              <m:rPr>
                <m:sty m:val="p"/>
              </m:rPr>
              <w:rPr>
                <w:rFonts w:ascii="Cambria Math" w:hAnsi="Cambria Math"/>
              </w:rPr>
              <m:t>tanh</m:t>
            </m:r>
          </m:fName>
          <m:e>
            <m:d>
              <m:dPr>
                <m:ctrlPr>
                  <w:rPr>
                    <w:rFonts w:ascii="Cambria Math" w:hAnsi="Cambria Math"/>
                  </w:rPr>
                </m:ctrlPr>
              </m:dPr>
              <m:e>
                <m:sSub>
                  <m:sSubPr>
                    <m:ctrlPr>
                      <w:rPr>
                        <w:rFonts w:ascii="Cambria Math" w:hAnsi="Cambria Math"/>
                      </w:rPr>
                    </m:ctrlPr>
                  </m:sSubPr>
                  <m:e>
                    <m:r>
                      <m:rPr>
                        <m:sty m:val="p"/>
                      </m:rPr>
                      <w:rPr>
                        <w:rFonts w:ascii="Cambria Math" w:hAnsi="Cambria Math"/>
                      </w:rPr>
                      <m:t>C</m:t>
                    </m:r>
                  </m:e>
                  <m:sub>
                    <m:r>
                      <m:rPr>
                        <m:sty m:val="p"/>
                      </m:rPr>
                      <w:rPr>
                        <w:rFonts w:ascii="Cambria Math" w:hAnsi="Cambria Math"/>
                      </w:rPr>
                      <m:t>t</m:t>
                    </m:r>
                  </m:sub>
                </m:sSub>
              </m:e>
            </m:d>
          </m:e>
        </m:func>
      </m:oMath>
      <w:r w:rsidRPr="00555D5A">
        <w:rPr>
          <w:rFonts w:eastAsiaTheme="minorEastAsia"/>
        </w:rPr>
        <w:t xml:space="preserve">                                                                      </w:t>
      </w:r>
      <w:r w:rsidR="009A2C36">
        <w:rPr>
          <w:rFonts w:eastAsiaTheme="minorEastAsia"/>
        </w:rPr>
        <w:t xml:space="preserve"> </w:t>
      </w:r>
      <w:r w:rsidRPr="00555D5A">
        <w:rPr>
          <w:rFonts w:eastAsiaTheme="minorEastAsia"/>
        </w:rPr>
        <w:t xml:space="preserve"> </w:t>
      </w:r>
      <w:r w:rsidRPr="00555D5A">
        <w:rPr>
          <w:rFonts w:eastAsia="Kozuka Mincho Pro B"/>
        </w:rPr>
        <w:t>.(20)</w:t>
      </w:r>
    </w:p>
    <w:p w:rsidR="00555D5A" w:rsidRDefault="00555D5A" w:rsidP="00555D5A">
      <w:pPr>
        <w:spacing w:line="480" w:lineRule="auto"/>
        <w:jc w:val="both"/>
        <w:rPr>
          <w:rStyle w:val="eop"/>
          <w:color w:val="000000"/>
        </w:rPr>
      </w:pPr>
      <w:r w:rsidRPr="00555D5A">
        <w:rPr>
          <w:rStyle w:val="normaltextrun"/>
          <w:color w:val="000000"/>
        </w:rPr>
        <w:t>where </w:t>
      </w:r>
      <m:oMath>
        <m:r>
          <w:rPr>
            <w:rFonts w:ascii="Cambria Math" w:hAnsi="Cambria Math"/>
          </w:rPr>
          <m:t>σ</m:t>
        </m:r>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-x</m:t>
                </m:r>
              </m:sup>
            </m:sSup>
          </m:den>
        </m:f>
      </m:oMath>
      <w:r w:rsidRPr="00555D5A">
        <w:rPr>
          <w:rFonts w:eastAsiaTheme="minorEastAsia"/>
        </w:rPr>
        <w:t xml:space="preserve">  , </w:t>
      </w:r>
      <m:oMath>
        <m:func>
          <m:funcPr>
            <m:ctrlPr>
              <w:rPr>
                <w:rFonts w:ascii="Cambria Math" w:hAnsi="Cambria Math"/>
                <w:i/>
              </w:rPr>
            </m:ctrlPr>
          </m:funcPr>
          <m:fName>
            <m:r>
              <m:rPr>
                <m:sty m:val="p"/>
              </m:rPr>
              <w:rPr>
                <w:rFonts w:ascii="Cambria Math" w:hAnsi="Cambria Math"/>
              </w:rPr>
              <m:t>tanh</m:t>
            </m:r>
          </m:fName>
          <m:e>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2</m:t>
                </m:r>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-2x</m:t>
                    </m:r>
                  </m:sup>
                </m:sSup>
              </m:den>
            </m:f>
            <m:r>
              <w:rPr>
                <w:rFonts w:ascii="Cambria Math" w:hAnsi="Cambria Math"/>
              </w:rPr>
              <m:t>-1</m:t>
            </m:r>
          </m:e>
        </m:func>
      </m:oMath>
      <w:r w:rsidRPr="00555D5A">
        <w:rPr>
          <w:rFonts w:eastAsiaTheme="minorEastAsia"/>
        </w:rPr>
        <w:t xml:space="preserve">. </w:t>
      </w:r>
      <w:r w:rsidRPr="00555D5A">
        <w:rPr>
          <w:rStyle w:val="normaltextrun"/>
          <w:color w:val="000000"/>
        </w:rPr>
        <w:t>. h</w:t>
      </w:r>
      <w:r w:rsidRPr="00555D5A">
        <w:rPr>
          <w:rStyle w:val="normaltextrun"/>
          <w:color w:val="000000"/>
          <w:vertAlign w:val="subscript"/>
        </w:rPr>
        <w:t>t</w:t>
      </w:r>
      <w:r w:rsidRPr="00555D5A">
        <w:rPr>
          <w:rStyle w:val="normaltextrun"/>
          <w:color w:val="000000"/>
        </w:rPr>
        <w:t>, C</w:t>
      </w:r>
      <w:r w:rsidRPr="00555D5A">
        <w:rPr>
          <w:rStyle w:val="normaltextrun"/>
          <w:color w:val="000000"/>
          <w:vertAlign w:val="subscript"/>
        </w:rPr>
        <w:t>t-1</w:t>
      </w:r>
      <w:r w:rsidRPr="00555D5A">
        <w:rPr>
          <w:rStyle w:val="normaltextrun"/>
          <w:color w:val="000000"/>
        </w:rPr>
        <w:t> and x</w:t>
      </w:r>
      <w:r w:rsidRPr="00555D5A">
        <w:rPr>
          <w:rStyle w:val="normaltextrun"/>
          <w:color w:val="000000"/>
          <w:vertAlign w:val="subscript"/>
        </w:rPr>
        <w:t>t</w:t>
      </w:r>
      <w:r w:rsidRPr="00555D5A">
        <w:rPr>
          <w:rStyle w:val="normaltextrun"/>
          <w:color w:val="000000"/>
        </w:rPr>
        <w:t> are the hidden state, cell state and input passed to the architecture at time step t. W</w:t>
      </w:r>
      <w:r w:rsidRPr="00555D5A">
        <w:rPr>
          <w:rStyle w:val="normaltextrun"/>
          <w:color w:val="000000"/>
          <w:vertAlign w:val="subscript"/>
        </w:rPr>
        <w:t>f</w:t>
      </w:r>
      <w:r w:rsidRPr="00555D5A">
        <w:rPr>
          <w:rStyle w:val="normaltextrun"/>
          <w:color w:val="000000"/>
        </w:rPr>
        <w:t>, W</w:t>
      </w:r>
      <w:r w:rsidRPr="00555D5A">
        <w:rPr>
          <w:rStyle w:val="normaltextrun"/>
          <w:color w:val="000000"/>
          <w:vertAlign w:val="subscript"/>
        </w:rPr>
        <w:t>i</w:t>
      </w:r>
      <w:r w:rsidRPr="00555D5A">
        <w:rPr>
          <w:rStyle w:val="normaltextrun"/>
          <w:color w:val="000000"/>
        </w:rPr>
        <w:t>, W</w:t>
      </w:r>
      <w:r w:rsidRPr="00555D5A">
        <w:rPr>
          <w:rStyle w:val="normaltextrun"/>
          <w:color w:val="000000"/>
          <w:vertAlign w:val="subscript"/>
        </w:rPr>
        <w:t>c</w:t>
      </w:r>
      <w:r w:rsidRPr="00555D5A">
        <w:rPr>
          <w:rStyle w:val="normaltextrun"/>
          <w:color w:val="000000"/>
        </w:rPr>
        <w:t>,W</w:t>
      </w:r>
      <w:r w:rsidRPr="00555D5A">
        <w:rPr>
          <w:rStyle w:val="normaltextrun"/>
          <w:color w:val="000000"/>
          <w:vertAlign w:val="subscript"/>
        </w:rPr>
        <w:t>o</w:t>
      </w:r>
      <w:r w:rsidRPr="00555D5A">
        <w:rPr>
          <w:rStyle w:val="normaltextrun"/>
          <w:color w:val="000000"/>
        </w:rPr>
        <w:t> are the weights, and b</w:t>
      </w:r>
      <w:r w:rsidRPr="00555D5A">
        <w:rPr>
          <w:rStyle w:val="normaltextrun"/>
          <w:color w:val="000000"/>
          <w:vertAlign w:val="subscript"/>
        </w:rPr>
        <w:t>f</w:t>
      </w:r>
      <w:r w:rsidRPr="00555D5A">
        <w:rPr>
          <w:rStyle w:val="normaltextrun"/>
          <w:color w:val="000000"/>
        </w:rPr>
        <w:t>, b</w:t>
      </w:r>
      <w:r w:rsidRPr="00555D5A">
        <w:rPr>
          <w:rStyle w:val="normaltextrun"/>
          <w:color w:val="000000"/>
          <w:vertAlign w:val="subscript"/>
        </w:rPr>
        <w:t>i</w:t>
      </w:r>
      <w:r w:rsidRPr="00555D5A">
        <w:rPr>
          <w:rStyle w:val="normaltextrun"/>
          <w:color w:val="000000"/>
        </w:rPr>
        <w:t>, b</w:t>
      </w:r>
      <w:r w:rsidRPr="00555D5A">
        <w:rPr>
          <w:rStyle w:val="normaltextrun"/>
          <w:color w:val="000000"/>
          <w:vertAlign w:val="subscript"/>
        </w:rPr>
        <w:t>c</w:t>
      </w:r>
      <w:r w:rsidRPr="00555D5A">
        <w:rPr>
          <w:rStyle w:val="normaltextrun"/>
          <w:color w:val="000000"/>
        </w:rPr>
        <w:t>, b</w:t>
      </w:r>
      <w:r w:rsidRPr="00555D5A">
        <w:rPr>
          <w:rStyle w:val="normaltextrun"/>
          <w:color w:val="000000"/>
          <w:vertAlign w:val="subscript"/>
        </w:rPr>
        <w:t>o</w:t>
      </w:r>
      <w:r w:rsidRPr="00555D5A">
        <w:rPr>
          <w:rStyle w:val="normaltextrun"/>
          <w:color w:val="000000"/>
        </w:rPr>
        <w:t> are the biases.</w:t>
      </w:r>
      <w:r w:rsidRPr="00555D5A">
        <w:rPr>
          <w:rStyle w:val="eop"/>
          <w:color w:val="000000"/>
        </w:rPr>
        <w:t> </w:t>
      </w:r>
    </w:p>
    <w:p w:rsidR="009A2C36" w:rsidRPr="00020444" w:rsidRDefault="009A2C36" w:rsidP="009A2C36">
      <w:pPr>
        <w:shd w:val="clear" w:color="auto" w:fill="FFFFFF"/>
        <w:spacing w:line="480" w:lineRule="auto"/>
        <w:jc w:val="both"/>
        <w:textAlignment w:val="baseline"/>
        <w:rPr>
          <w:rFonts w:ascii="Segoe UI" w:hAnsi="Segoe UI" w:cs="Segoe UI"/>
        </w:rPr>
      </w:pPr>
      <w:r w:rsidRPr="00020444">
        <w:rPr>
          <w:b/>
          <w:bCs/>
        </w:rPr>
        <w:lastRenderedPageBreak/>
        <w:t xml:space="preserve">Attention-based Long </w:t>
      </w:r>
      <w:r w:rsidR="009F674D" w:rsidRPr="00020444">
        <w:rPr>
          <w:b/>
          <w:bCs/>
        </w:rPr>
        <w:t>Short-Term</w:t>
      </w:r>
      <w:r w:rsidRPr="00020444">
        <w:rPr>
          <w:b/>
          <w:bCs/>
        </w:rPr>
        <w:t xml:space="preserve"> Memory Deep Learning model </w:t>
      </w:r>
      <w:r w:rsidRPr="00020444">
        <w:t> </w:t>
      </w:r>
    </w:p>
    <w:p w:rsidR="009A2C36" w:rsidRPr="007902B1" w:rsidRDefault="007902B1" w:rsidP="007902B1">
      <w:pPr>
        <w:shd w:val="clear" w:color="auto" w:fill="FFFFFF"/>
        <w:spacing w:line="480" w:lineRule="auto"/>
        <w:ind w:firstLine="720"/>
        <w:jc w:val="both"/>
        <w:textAlignment w:val="baseline"/>
      </w:pPr>
      <w:r>
        <w:t xml:space="preserve">Recently, </w:t>
      </w:r>
      <w:r w:rsidR="009A2C36" w:rsidRPr="00020444">
        <w:t xml:space="preserve">attention mechanisms have been recently conceptualized </w:t>
      </w:r>
      <w:r w:rsidR="009A2C36" w:rsidRPr="00020444">
        <w:fldChar w:fldCharType="begin" w:fldLock="1"/>
      </w:r>
      <w:r w:rsidR="009A2C36" w:rsidRPr="00020444">
        <w:instrText>ADDIN CSL_CITATION {"citationItems":[{"id":"ITEM-1","itemData":{"DOI":"10.1109/2943.974352","ISSN":"10772618","author":[{"dropping-particle":"al","family":"Vaswani, A.","given":"et","non-dropping-particle":"","parse-names":false,"suffix":""}],"container-title":"IEEE Industry Applications Magazine","id":"ITEM-1","issue":"1","issued":{"date-parts":[["2017"]]},"page":"8-15","title":"Attention Is All You Need","type":"article-journal","volume":"8"},"uris":["http://www.mendeley.com/documents/?uuid=e028bb41-c206-41a1-9f8b-a0c2912c5a62"]}],"mendeley":{"formattedCitation":"(Vaswani, A., 2017)","plainTextFormattedCitation":"(Vaswani, A., 2017)","previouslyFormattedCitation":"(Vaswani, A., 2017)"},"properties":{"noteIndex":0},"schema":"https://github.com/citation-style-language/schema/raw/master/csl-citation.json"}</w:instrText>
      </w:r>
      <w:r w:rsidR="009A2C36" w:rsidRPr="00020444">
        <w:fldChar w:fldCharType="separate"/>
      </w:r>
      <w:r w:rsidR="009A2C36" w:rsidRPr="00020444">
        <w:rPr>
          <w:noProof/>
        </w:rPr>
        <w:t>(Vaswani, A., 2017)</w:t>
      </w:r>
      <w:r w:rsidR="009A2C36" w:rsidRPr="00020444">
        <w:fldChar w:fldCharType="end"/>
      </w:r>
      <w:r w:rsidR="009A2C36" w:rsidRPr="00020444">
        <w:t xml:space="preserve"> and integrated with the LSTM framework and found helpful in classifying the data that involves remembering and aggregating feature embeddings in time-series information </w:t>
      </w:r>
      <w:r w:rsidR="009A2C36" w:rsidRPr="00020444">
        <w:fldChar w:fldCharType="begin" w:fldLock="1"/>
      </w:r>
      <w:r w:rsidR="00AF7881">
        <w:instrText>ADDIN CSL_CITATION {"citationItems":[{"id":"ITEM-1","itemData":{"DOI":"10.1109/JSEN.2019.2956998","ISSN":"15581748","abstract":"Classifying limb movements using brain activity is an important task in Brain-computer Interfaces (BCI) that has been successfully used in multiple application domains, ranging from human-computer interaction to medical and biomedical applications. This paper proposes a novel solution for classification of left/right hand movement by exploiting a Long Short-Term Memory (LSTM) network with attention mechanism to learn the electroencephalogram (EEG) time-series information. To this end, a wide range of time and frequency domain features are extracted from the EEG signals and used to train an LSTM network to perform the classification task. We conduct extensive experiments with the EEG Movement dataset and show that our proposed solution our method achieves improvements over several benchmarks and state-of-the-art methods in both intra-subject and cross-subject validation schemes. Moreover, we utilize the proposed framework to analyze the information as received by the sensors and monitor the activated regions of the brain by tracking EEG topography throughout the experiments.","author":[{"dropping-particle":"","family":"Zhang","given":"Guangyi","non-dropping-particle":"","parse-names":false,"suffix":""},{"dropping-particle":"","family":"Davoodnia","given":"Vandad","non-dropping-particle":"","parse-names":false,"suffix":""},{"dropping-particle":"","family":"Sepas-Moghaddam","given":"Alireza","non-dropping-particle":"","parse-names":false,"suffix":""},{"dropping-particle":"","family":"Zhang","given":"Yaoxue","non-dropping-particle":"","parse-names":false,"suffix":""},{"dropping-particle":"","family":"Etemad","given":"Ali","non-dropping-particle":"","parse-names":false,"suffix":""}],"container-title":"IEEE Sensors Journal","id":"ITEM-1","issue":"6","issued":{"date-parts":[["2020"]]},"page":"3113-3122","title":"Classification of Hand Movements from EEG Using a Deep Attention-Based LSTM Network","type":"article-journal","volume":"20"},"uris":["http://www.mendeley.com/documents/?uuid=9e3b1734-700b-462a-a250-4f1c1bfc95f9"]}],"mendeley":{"formattedCitation":"(Zhang et al., 2020)","plainTextFormattedCitation":"(Zhang et al., 2020)","previouslyFormattedCitation":"(Zhang et al., 2020)"},"properties":{"noteIndex":0},"schema":"https://github.com/citation-style-language/schema/raw/master/csl-citation.json"}</w:instrText>
      </w:r>
      <w:r w:rsidR="009A2C36" w:rsidRPr="00020444">
        <w:fldChar w:fldCharType="separate"/>
      </w:r>
      <w:r w:rsidR="009A2C36" w:rsidRPr="00020444">
        <w:rPr>
          <w:noProof/>
        </w:rPr>
        <w:t>(Zhang et al., 2020)</w:t>
      </w:r>
      <w:r w:rsidR="009A2C36" w:rsidRPr="00020444">
        <w:fldChar w:fldCharType="end"/>
      </w:r>
      <w:r w:rsidR="009A2C36" w:rsidRPr="00020444">
        <w:t>. </w:t>
      </w:r>
      <w:r>
        <w:t>T</w:t>
      </w:r>
      <w:r w:rsidR="009A2C36" w:rsidRPr="00020444">
        <w:t>he attention mechanism improves the ability of LSTM by concentrating on particular time fragments with the most discriminative information in EEG time series. It is carried out by multiplying the hidden output states by trainable weights, capturing more discriminative task-related features. This can be expressed as: </w:t>
      </w:r>
    </w:p>
    <w:p w:rsidR="009A2C36" w:rsidRPr="00020444" w:rsidRDefault="009A2C36" w:rsidP="009A2C36">
      <w:pPr>
        <w:spacing w:line="480" w:lineRule="auto"/>
        <w:jc w:val="both"/>
        <w:rPr>
          <w:color w:val="000000"/>
        </w:rPr>
      </w:pPr>
      <w:r w:rsidRPr="00020444">
        <w:rPr>
          <w:rFonts w:ascii="Segoe UI" w:hAnsi="Segoe UI" w:cs="Segoe UI"/>
        </w:rPr>
        <w:t xml:space="preserve">                                                     </w:t>
      </w: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i</m:t>
            </m:r>
          </m:sub>
        </m:sSub>
        <m:r>
          <m:rPr>
            <m:sty m:val="p"/>
          </m:rPr>
          <w:rPr>
            <w:rFonts w:ascii="Cambria Math" w:hAnsi="Cambria Math"/>
          </w:rPr>
          <m:t>=LSTM</m:t>
        </m:r>
        <m:d>
          <m:dPr>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s</m:t>
                </m:r>
              </m:e>
              <m:sub>
                <m:r>
                  <m:rPr>
                    <m:sty m:val="p"/>
                  </m:rPr>
                  <w:rPr>
                    <w:rFonts w:ascii="Cambria Math" w:eastAsiaTheme="minorEastAsia" w:hAnsi="Cambria Math"/>
                  </w:rPr>
                  <m:t>i</m:t>
                </m:r>
              </m:sub>
            </m:sSub>
          </m:e>
        </m:d>
      </m:oMath>
      <w:r w:rsidRPr="00020444">
        <w:rPr>
          <w:rFonts w:eastAsiaTheme="minorEastAsia"/>
        </w:rPr>
        <w:t xml:space="preserve">, </w:t>
      </w:r>
      <m:oMath>
        <m:r>
          <m:rPr>
            <m:sty m:val="p"/>
          </m:rPr>
          <w:rPr>
            <w:rFonts w:ascii="Cambria Math" w:eastAsiaTheme="minorEastAsia" w:hAnsi="Cambria Math"/>
          </w:rPr>
          <m:t>i∈</m:t>
        </m:r>
        <m:d>
          <m:dPr>
            <m:begChr m:val="["/>
            <m:endChr m:val="]"/>
            <m:ctrlPr>
              <w:rPr>
                <w:rFonts w:ascii="Cambria Math" w:eastAsiaTheme="minorEastAsia" w:hAnsi="Cambria Math"/>
              </w:rPr>
            </m:ctrlPr>
          </m:dPr>
          <m:e>
            <m:r>
              <m:rPr>
                <m:sty m:val="p"/>
              </m:rPr>
              <w:rPr>
                <w:rFonts w:ascii="Cambria Math" w:eastAsiaTheme="minorEastAsia" w:hAnsi="Cambria Math"/>
              </w:rPr>
              <m:t>1, L</m:t>
            </m:r>
          </m:e>
        </m:d>
      </m:oMath>
      <w:r w:rsidRPr="00020444">
        <w:rPr>
          <w:rFonts w:eastAsiaTheme="minorEastAsia"/>
        </w:rPr>
        <w:t xml:space="preserve"> ,</w:t>
      </w:r>
      <w:r w:rsidRPr="00020444">
        <w:rPr>
          <w:rFonts w:eastAsia="Kozuka Mincho Pro B"/>
        </w:rPr>
        <w:t xml:space="preserve">                                                              .(21)</w:t>
      </w:r>
    </w:p>
    <w:p w:rsidR="009A2C36" w:rsidRPr="00020444" w:rsidRDefault="009A2C36" w:rsidP="009A2C36">
      <w:pPr>
        <w:shd w:val="clear" w:color="auto" w:fill="FFFFFF"/>
        <w:spacing w:line="480" w:lineRule="auto"/>
        <w:jc w:val="both"/>
        <w:textAlignment w:val="baseline"/>
        <w:rPr>
          <w:rFonts w:ascii="Segoe UI" w:hAnsi="Segoe UI" w:cs="Segoe UI"/>
        </w:rPr>
      </w:pPr>
      <w:r w:rsidRPr="00020444">
        <w:t>where, h</w:t>
      </w:r>
      <w:r w:rsidRPr="00020444">
        <w:rPr>
          <w:vertAlign w:val="subscript"/>
        </w:rPr>
        <w:t>i</w:t>
      </w:r>
      <w:r w:rsidRPr="00020444">
        <w:t> is the output hidden state vector for the i</w:t>
      </w:r>
      <w:r w:rsidRPr="00020444">
        <w:rPr>
          <w:vertAlign w:val="superscript"/>
        </w:rPr>
        <w:t>th</w:t>
      </w:r>
      <w:r w:rsidRPr="00020444">
        <w:t> LSTM cell corresponding to the i</w:t>
      </w:r>
      <w:r w:rsidRPr="00020444">
        <w:rPr>
          <w:vertAlign w:val="subscript"/>
        </w:rPr>
        <w:t>th</w:t>
      </w:r>
      <w:r w:rsidRPr="00020444">
        <w:t> input, and L is the number of cells in each recurrent layer of the LSTM network. To capture the importance of each hidden state, the attention mechanism is defined as follows: </w:t>
      </w:r>
    </w:p>
    <w:p w:rsidR="009A2C36" w:rsidRPr="00020444" w:rsidRDefault="003249CB" w:rsidP="009A2C36">
      <w:pPr>
        <w:spacing w:line="480" w:lineRule="auto"/>
        <w:ind w:left="2880" w:firstLine="720"/>
        <w:jc w:val="both"/>
        <w:rPr>
          <w:rFonts w:eastAsiaTheme="minorEastAsia"/>
        </w:rPr>
      </w:pPr>
      <m:oMath>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func>
          <m:funcPr>
            <m:ctrlPr>
              <w:rPr>
                <w:rFonts w:ascii="Cambria Math" w:hAnsi="Cambria Math"/>
              </w:rPr>
            </m:ctrlPr>
          </m:funcPr>
          <m:fName>
            <m:r>
              <m:rPr>
                <m:sty m:val="p"/>
              </m:rPr>
              <w:rPr>
                <w:rFonts w:ascii="Cambria Math" w:hAnsi="Cambria Math"/>
              </w:rPr>
              <m:t>tanh</m:t>
            </m:r>
          </m:fName>
          <m:e>
            <m:d>
              <m:dPr>
                <m:ctrlPr>
                  <w:rPr>
                    <w:rFonts w:ascii="Cambria Math" w:hAnsi="Cambria Math"/>
                  </w:rPr>
                </m:ctrlPr>
              </m:dPr>
              <m:e>
                <m:sSub>
                  <m:sSubPr>
                    <m:ctrlPr>
                      <w:rPr>
                        <w:rFonts w:ascii="Cambria Math" w:hAnsi="Cambria Math"/>
                      </w:rPr>
                    </m:ctrlPr>
                  </m:sSubPr>
                  <m:e>
                    <m:r>
                      <m:rPr>
                        <m:sty m:val="p"/>
                      </m:rPr>
                      <w:rPr>
                        <w:rFonts w:ascii="Cambria Math" w:hAnsi="Cambria Math"/>
                      </w:rPr>
                      <m:t>W</m:t>
                    </m:r>
                  </m:e>
                  <m:sub>
                    <m:r>
                      <m:rPr>
                        <m:sty m:val="p"/>
                      </m:rPr>
                      <w:rPr>
                        <w:rFonts w:ascii="Cambria Math" w:hAnsi="Cambria Math"/>
                      </w:rPr>
                      <m:t>s</m:t>
                    </m:r>
                  </m:sub>
                </m:sSub>
                <m:sSub>
                  <m:sSubPr>
                    <m:ctrlPr>
                      <w:rPr>
                        <w:rFonts w:ascii="Cambria Math" w:hAnsi="Cambria Math"/>
                      </w:rPr>
                    </m:ctrlPr>
                  </m:sSubPr>
                  <m:e>
                    <m:r>
                      <m:rPr>
                        <m:sty m:val="p"/>
                      </m:rPr>
                      <w:rPr>
                        <w:rFonts w:ascii="Cambria Math" w:hAnsi="Cambria Math"/>
                      </w:rPr>
                      <m:t>h</m:t>
                    </m:r>
                  </m:e>
                  <m:sub>
                    <m:r>
                      <m:rPr>
                        <m:sty m:val="p"/>
                      </m:rP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b</m:t>
                    </m:r>
                  </m:e>
                  <m:sub>
                    <m:r>
                      <m:rPr>
                        <m:sty m:val="p"/>
                      </m:rPr>
                      <w:rPr>
                        <w:rFonts w:ascii="Cambria Math" w:hAnsi="Cambria Math"/>
                      </w:rPr>
                      <m:t>s</m:t>
                    </m:r>
                  </m:sub>
                </m:sSub>
              </m:e>
            </m:d>
          </m:e>
        </m:func>
      </m:oMath>
      <w:r w:rsidR="009A2C36" w:rsidRPr="00020444">
        <w:rPr>
          <w:rFonts w:eastAsiaTheme="minorEastAsia"/>
        </w:rPr>
        <w:t xml:space="preserve"> ,</w:t>
      </w:r>
      <w:r w:rsidR="009A2C36" w:rsidRPr="00020444">
        <w:rPr>
          <w:rFonts w:eastAsia="Kozuka Mincho Pro B"/>
        </w:rPr>
        <w:t xml:space="preserve">                                                 .(22)</w:t>
      </w:r>
    </w:p>
    <w:p w:rsidR="009A2C36" w:rsidRPr="00020444" w:rsidRDefault="009A2C36" w:rsidP="009A2C36">
      <w:pPr>
        <w:spacing w:line="480" w:lineRule="auto"/>
        <w:ind w:left="2880" w:firstLine="720"/>
        <w:jc w:val="both"/>
        <w:rPr>
          <w:rFonts w:eastAsiaTheme="minorEastAsia"/>
        </w:rPr>
      </w:pPr>
      <w:r w:rsidRPr="00020444">
        <w:rPr>
          <w:rFonts w:eastAsiaTheme="minorEastAsia"/>
        </w:rPr>
        <w:t xml:space="preserve">      </w:t>
      </w:r>
      <m:oMath>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exp</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i</m:t>
                    </m:r>
                  </m:sub>
                </m:sSub>
              </m:e>
            </m:d>
          </m:num>
          <m:den>
            <m:nary>
              <m:naryPr>
                <m:chr m:val="∑"/>
                <m:limLoc m:val="undOvr"/>
                <m:supHide m:val="1"/>
                <m:ctrlPr>
                  <w:rPr>
                    <w:rFonts w:ascii="Cambria Math" w:hAnsi="Cambria Math"/>
                    <w:i/>
                  </w:rPr>
                </m:ctrlPr>
              </m:naryPr>
              <m:sub>
                <m:r>
                  <w:rPr>
                    <w:rFonts w:ascii="Cambria Math" w:hAnsi="Cambria Math"/>
                  </w:rPr>
                  <m:t>j</m:t>
                </m:r>
              </m:sub>
              <m:sup/>
              <m:e>
                <m:r>
                  <w:rPr>
                    <w:rFonts w:ascii="Cambria Math" w:hAnsi="Cambria Math"/>
                  </w:rPr>
                  <m:t>exp</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j</m:t>
                        </m:r>
                      </m:sub>
                    </m:sSub>
                  </m:e>
                </m:d>
              </m:e>
            </m:nary>
          </m:den>
        </m:f>
      </m:oMath>
      <w:r w:rsidRPr="00020444">
        <w:rPr>
          <w:rFonts w:eastAsiaTheme="minorEastAsia"/>
        </w:rPr>
        <w:t xml:space="preserve"> ,</w:t>
      </w:r>
      <w:r w:rsidRPr="00020444">
        <w:rPr>
          <w:rFonts w:eastAsia="Kozuka Mincho Pro B"/>
        </w:rPr>
        <w:t xml:space="preserve">                                                          .(23)</w:t>
      </w:r>
    </w:p>
    <w:p w:rsidR="009A2C36" w:rsidRPr="00020444" w:rsidRDefault="009A2C36" w:rsidP="009A2C36">
      <w:pPr>
        <w:spacing w:line="480" w:lineRule="auto"/>
        <w:jc w:val="both"/>
        <w:rPr>
          <w:rFonts w:ascii="Segoe UI" w:hAnsi="Segoe UI" w:cs="Segoe UI"/>
          <w:color w:val="000000"/>
        </w:rPr>
      </w:pPr>
      <w:r w:rsidRPr="00020444">
        <w:rPr>
          <w:rFonts w:eastAsiaTheme="minorEastAsia"/>
        </w:rPr>
        <w:t xml:space="preserve">                                                                     v=</w:t>
      </w:r>
      <m:oMath>
        <m:nary>
          <m:naryPr>
            <m:chr m:val="∑"/>
            <m:limLoc m:val="undOvr"/>
            <m:supHide m:val="1"/>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α</m:t>
                </m:r>
              </m:e>
              <m:sub>
                <m:r>
                  <w:rPr>
                    <w:rFonts w:ascii="Cambria Math" w:hAnsi="Cambria Math"/>
                  </w:rPr>
                  <m:t>i</m:t>
                </m:r>
              </m:sub>
            </m:sSub>
          </m:e>
        </m:nary>
        <m:sSub>
          <m:sSubPr>
            <m:ctrlPr>
              <w:rPr>
                <w:rFonts w:ascii="Cambria Math" w:hAnsi="Cambria Math"/>
                <w:i/>
              </w:rPr>
            </m:ctrlPr>
          </m:sSubPr>
          <m:e>
            <m:r>
              <w:rPr>
                <w:rFonts w:ascii="Cambria Math" w:hAnsi="Cambria Math"/>
              </w:rPr>
              <m:t>h</m:t>
            </m:r>
          </m:e>
          <m:sub>
            <m:r>
              <w:rPr>
                <w:rFonts w:ascii="Cambria Math" w:hAnsi="Cambria Math"/>
              </w:rPr>
              <m:t>i</m:t>
            </m:r>
          </m:sub>
        </m:sSub>
      </m:oMath>
      <w:r w:rsidRPr="00020444">
        <w:rPr>
          <w:color w:val="000000"/>
        </w:rPr>
        <w:t xml:space="preserve">                                                                   </w:t>
      </w:r>
      <w:r w:rsidRPr="00020444">
        <w:rPr>
          <w:rFonts w:eastAsia="Kozuka Mincho Pro B"/>
        </w:rPr>
        <w:t>.(24)</w:t>
      </w:r>
    </w:p>
    <w:p w:rsidR="009A2C36" w:rsidRPr="00020444" w:rsidRDefault="009A2C36" w:rsidP="009A2C36">
      <w:pPr>
        <w:shd w:val="clear" w:color="auto" w:fill="FFFFFF"/>
        <w:spacing w:line="480" w:lineRule="auto"/>
        <w:jc w:val="both"/>
        <w:textAlignment w:val="baseline"/>
        <w:rPr>
          <w:b/>
          <w:bCs/>
        </w:rPr>
      </w:pPr>
      <w:r w:rsidRPr="00020444">
        <w:t>where vector v is the attention layer's output, and Ws and bs are trainable parameters. </w:t>
      </w:r>
    </w:p>
    <w:p w:rsidR="007902B1" w:rsidRDefault="007902B1" w:rsidP="007902B1">
      <w:pPr>
        <w:shd w:val="clear" w:color="auto" w:fill="FFFFFF"/>
        <w:spacing w:line="360" w:lineRule="auto"/>
        <w:jc w:val="both"/>
        <w:textAlignment w:val="baseline"/>
        <w:rPr>
          <w:b/>
          <w:bCs/>
        </w:rPr>
      </w:pPr>
    </w:p>
    <w:p w:rsidR="007902B1" w:rsidRPr="00020444" w:rsidRDefault="007902B1" w:rsidP="007902B1">
      <w:pPr>
        <w:shd w:val="clear" w:color="auto" w:fill="FFFFFF"/>
        <w:spacing w:line="360" w:lineRule="auto"/>
        <w:jc w:val="both"/>
        <w:textAlignment w:val="baseline"/>
        <w:rPr>
          <w:rFonts w:ascii="Segoe UI" w:hAnsi="Segoe UI" w:cs="Segoe UI"/>
        </w:rPr>
      </w:pPr>
      <w:r w:rsidRPr="00020444">
        <w:rPr>
          <w:b/>
          <w:bCs/>
        </w:rPr>
        <w:t>Selection of Deep learning architecture for task classification</w:t>
      </w:r>
      <w:r w:rsidRPr="00020444">
        <w:t> </w:t>
      </w:r>
    </w:p>
    <w:p w:rsidR="00EE777D" w:rsidRPr="004F5A11" w:rsidRDefault="00EE777D" w:rsidP="00EE777D">
      <w:pPr>
        <w:spacing w:line="480" w:lineRule="auto"/>
        <w:ind w:firstLine="720"/>
        <w:jc w:val="both"/>
        <w:textAlignment w:val="baseline"/>
        <w:rPr>
          <w:rFonts w:ascii="Segoe UI" w:hAnsi="Segoe UI" w:cs="Segoe UI"/>
        </w:rPr>
      </w:pPr>
      <w:r w:rsidRPr="004F5A11">
        <w:t xml:space="preserve">All </w:t>
      </w:r>
      <w:r w:rsidR="007902B1">
        <w:t>twelve</w:t>
      </w:r>
      <w:r w:rsidRPr="004F5A11">
        <w:t xml:space="preserve"> quasi-stable frequency microstates that correlate with task engagement’s neural mechanisms are further utilized as input information to train attention-based LSTM models. As mentioned in the methods, seventy volunteers participated in the study and performed fixation (rest), target identification, and distractor identification. Each paradigm involved 32 blocks of the target, 62 blocks of the distractor, and 92 blocks of fixation (resting).  More distractors and fixation are needed to avoid the expectancy aspect of cognitive engagement. Each block is of 3 seconds in </w:t>
      </w:r>
      <w:r w:rsidRPr="004F5A11">
        <w:lastRenderedPageBreak/>
        <w:t xml:space="preserve">length.  32 channel EEG is employed to acquire the data with a 5k sampling rate and subsequently subsampled to 250 during preprocessing.  The 32nd channel data is ECG, hence not included for processing. Hence, each volunteer will have a 750 x 31 dataset at every block.  Equal numbers, 32 blocks from each target, distractor, and fixation are selected for training. Selecting distractor and fixation from many blocks is carried out randomly to avoid training bias. Hence, each volunteer had selected data with a size of 72,000x31 (24000x31 for every task engagement). The preprocessed EEG data of the complete seventy volunteer set (50,40,000 x 31) is initially subjected to the correlation with all the </w:t>
      </w:r>
      <w:r w:rsidR="007902B1">
        <w:t>twelve</w:t>
      </w:r>
      <w:r w:rsidR="007902B1" w:rsidRPr="004F5A11">
        <w:t xml:space="preserve"> </w:t>
      </w:r>
      <w:r w:rsidRPr="004F5A11">
        <w:t>significant frequency-microstates, resulting in feature vectors with the size of 50,40,000 x 1</w:t>
      </w:r>
      <w:r w:rsidR="007902B1">
        <w:t>2</w:t>
      </w:r>
      <w:r w:rsidRPr="004F5A11">
        <w:t>.  Each feature vector consists of the correlation value for each one of the quasi-stable frequency microstate information belonging to every task engagement is formed.    </w:t>
      </w:r>
    </w:p>
    <w:p w:rsidR="00EE777D" w:rsidRPr="004F5A11" w:rsidRDefault="00EE777D" w:rsidP="00EE777D">
      <w:pPr>
        <w:spacing w:line="480" w:lineRule="auto"/>
        <w:jc w:val="both"/>
        <w:textAlignment w:val="baseline"/>
        <w:rPr>
          <w:rFonts w:ascii="Segoe UI" w:hAnsi="Segoe UI" w:cs="Segoe UI"/>
        </w:rPr>
      </w:pPr>
      <w:r w:rsidRPr="004F5A11">
        <w:rPr>
          <w:b/>
          <w:bCs/>
        </w:rPr>
        <w:t>Fine-tuning of performance during training of LSTM:</w:t>
      </w:r>
      <w:r w:rsidRPr="004F5A11">
        <w:t> </w:t>
      </w:r>
    </w:p>
    <w:p w:rsidR="00EE777D" w:rsidRDefault="00EE777D" w:rsidP="00EE777D">
      <w:pPr>
        <w:spacing w:line="480" w:lineRule="auto"/>
        <w:ind w:firstLine="720"/>
        <w:jc w:val="both"/>
        <w:textAlignment w:val="baseline"/>
      </w:pPr>
      <w:bookmarkStart w:id="1" w:name="_Hlk82641535"/>
      <w:r w:rsidRPr="004F5A11">
        <w:t xml:space="preserve">All the six deep learning architectures (three LSTM and three attention-based LSTM networks) are trained with all the </w:t>
      </w:r>
      <w:r w:rsidR="007902B1">
        <w:t>twelve</w:t>
      </w:r>
      <w:r w:rsidRPr="004F5A11">
        <w:t xml:space="preserve"> features collected from their associated time segments (200, 300 and 500 ms/segment respectively) and passed to their respective input cells (15, 10, and 6) of the first LSTM layer. </w:t>
      </w:r>
      <w:bookmarkEnd w:id="1"/>
      <w:r w:rsidRPr="004F5A11">
        <w:t xml:space="preserve">All the six deeply layered architecture employed in this study possessed three stacked layers, and the final LSTM layer was integrated with an attention layer. Subsequently, a fully connected layer with a sigmoid activation function to predict task engagement from the input is connected with the attention layer. The optimization of the deep LSTM network involved the tuning process of training epoch numbers, hidden layer size, dropout rate, recurrent depth, and batch size. These parameters were applied after each LSTM layer and optimized the weight matrix L2 regularization coefficient of each LSTM layer. Finally, hyper-parameter such as learning rate was tuned for the stochastic Adam optimizer. The final optimized </w:t>
      </w:r>
      <w:r w:rsidRPr="004F5A11">
        <w:lastRenderedPageBreak/>
        <w:t xml:space="preserve">tuned parameter that performed better is tabulated in table </w:t>
      </w:r>
      <w:r w:rsidR="007902B1">
        <w:t>1</w:t>
      </w:r>
      <w:r w:rsidRPr="004F5A11">
        <w:t>. The proposed deep learning architecture is validated by employing a 10-fold cross-validation approach. The performance metrics such as precision, accuracy, and recall are estimated.    </w:t>
      </w:r>
    </w:p>
    <w:p w:rsidR="00407D9D" w:rsidRDefault="00407D9D" w:rsidP="00EE777D">
      <w:pPr>
        <w:spacing w:line="480" w:lineRule="auto"/>
        <w:ind w:firstLine="720"/>
        <w:jc w:val="both"/>
        <w:textAlignment w:val="baseline"/>
      </w:pPr>
    </w:p>
    <w:p w:rsidR="00407D9D" w:rsidRDefault="00407D9D" w:rsidP="00EE777D">
      <w:pPr>
        <w:spacing w:line="480" w:lineRule="auto"/>
        <w:ind w:firstLine="720"/>
        <w:jc w:val="both"/>
        <w:textAlignment w:val="baseline"/>
      </w:pPr>
    </w:p>
    <w:p w:rsidR="007902B1" w:rsidRDefault="007902B1" w:rsidP="00EE777D">
      <w:pPr>
        <w:spacing w:line="480" w:lineRule="auto"/>
        <w:ind w:firstLine="720"/>
        <w:jc w:val="both"/>
        <w:textAlignment w:val="baseline"/>
      </w:pPr>
    </w:p>
    <w:p w:rsidR="007902B1" w:rsidRDefault="007902B1" w:rsidP="00EE777D">
      <w:pPr>
        <w:spacing w:line="480" w:lineRule="auto"/>
        <w:ind w:firstLine="720"/>
        <w:jc w:val="both"/>
        <w:textAlignment w:val="baseline"/>
      </w:pPr>
    </w:p>
    <w:p w:rsidR="007902B1" w:rsidRDefault="007902B1" w:rsidP="00EE777D">
      <w:pPr>
        <w:spacing w:line="480" w:lineRule="auto"/>
        <w:ind w:firstLine="720"/>
        <w:jc w:val="both"/>
        <w:textAlignment w:val="baseline"/>
      </w:pPr>
    </w:p>
    <w:p w:rsidR="007902B1" w:rsidRPr="004F5A11" w:rsidRDefault="007902B1" w:rsidP="00EE777D">
      <w:pPr>
        <w:spacing w:line="480" w:lineRule="auto"/>
        <w:ind w:firstLine="720"/>
        <w:jc w:val="both"/>
        <w:textAlignment w:val="baseline"/>
      </w:pPr>
    </w:p>
    <w:p w:rsidR="00E10E44" w:rsidRDefault="00E10E44"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Default="000C29E3" w:rsidP="00EE777D">
      <w:pPr>
        <w:spacing w:line="480" w:lineRule="auto"/>
        <w:ind w:firstLine="720"/>
        <w:jc w:val="both"/>
        <w:rPr>
          <w:rFonts w:eastAsia="Kozuka Mincho Pro B"/>
          <w:b/>
        </w:rPr>
      </w:pPr>
    </w:p>
    <w:p w:rsidR="000C29E3" w:rsidRPr="004F5A11" w:rsidRDefault="000C29E3" w:rsidP="00EE777D">
      <w:pPr>
        <w:spacing w:line="480" w:lineRule="auto"/>
        <w:ind w:firstLine="720"/>
        <w:jc w:val="both"/>
        <w:rPr>
          <w:rFonts w:eastAsia="Kozuka Mincho Pro B"/>
          <w:b/>
        </w:rPr>
      </w:pPr>
    </w:p>
    <w:p w:rsidR="00AA778F" w:rsidRDefault="00AA778F" w:rsidP="00EB3898">
      <w:pPr>
        <w:spacing w:line="480" w:lineRule="auto"/>
        <w:jc w:val="both"/>
        <w:rPr>
          <w:rFonts w:eastAsia="Kozuka Mincho Pro B"/>
        </w:rPr>
      </w:pPr>
    </w:p>
    <w:p w:rsidR="00265578" w:rsidRDefault="00265578" w:rsidP="00EB3898">
      <w:pPr>
        <w:spacing w:line="480" w:lineRule="auto"/>
        <w:jc w:val="both"/>
        <w:rPr>
          <w:rFonts w:eastAsia="Kozuka Mincho Pro B"/>
          <w:b/>
        </w:rPr>
      </w:pPr>
    </w:p>
    <w:p w:rsidR="0091510E" w:rsidRDefault="00EB3898" w:rsidP="0091510E">
      <w:pPr>
        <w:spacing w:line="480" w:lineRule="auto"/>
        <w:jc w:val="both"/>
        <w:rPr>
          <w:rFonts w:ascii="Segoe UI" w:hAnsi="Segoe UI" w:cs="Segoe UI"/>
        </w:rPr>
      </w:pPr>
      <w:r w:rsidRPr="004F5A11">
        <w:rPr>
          <w:rFonts w:eastAsia="Kozuka Mincho Pro B"/>
          <w:b/>
        </w:rPr>
        <w:lastRenderedPageBreak/>
        <w:t>SUPPLEMENTARY FIGURES:</w:t>
      </w:r>
    </w:p>
    <w:p w:rsidR="0091510E" w:rsidRDefault="00D21853" w:rsidP="00D21853">
      <w:pPr>
        <w:spacing w:line="480" w:lineRule="auto"/>
        <w:jc w:val="center"/>
        <w:textAlignment w:val="baseline"/>
        <w:rPr>
          <w:rFonts w:ascii="Segoe UI" w:hAnsi="Segoe UI" w:cs="Segoe UI"/>
        </w:rPr>
      </w:pPr>
      <w:r w:rsidRPr="004F5A11">
        <w:rPr>
          <w:rFonts w:ascii="Segoe UI" w:hAnsi="Segoe UI" w:cs="Segoe UI"/>
          <w:noProof/>
        </w:rPr>
        <mc:AlternateContent>
          <mc:Choice Requires="wps">
            <w:drawing>
              <wp:anchor distT="45720" distB="45720" distL="114300" distR="114300" simplePos="0" relativeHeight="251663360" behindDoc="0" locked="0" layoutInCell="1" allowOverlap="1" wp14:anchorId="44BFE272" wp14:editId="105F0642">
                <wp:simplePos x="0" y="0"/>
                <wp:positionH relativeFrom="column">
                  <wp:posOffset>1830070</wp:posOffset>
                </wp:positionH>
                <wp:positionV relativeFrom="paragraph">
                  <wp:posOffset>6579235</wp:posOffset>
                </wp:positionV>
                <wp:extent cx="2360930" cy="1404620"/>
                <wp:effectExtent l="0" t="0" r="381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91510E" w:rsidRPr="00476CBA" w:rsidRDefault="0091510E" w:rsidP="00EB3898">
                            <w:pPr>
                              <w:jc w:val="center"/>
                              <w:rPr>
                                <w:b/>
                              </w:rPr>
                            </w:pPr>
                            <w:r w:rsidRPr="00476CBA">
                              <w:rPr>
                                <w:b/>
                              </w:rPr>
                              <w:t>S</w:t>
                            </w:r>
                            <w:r>
                              <w:rPr>
                                <w:b/>
                              </w:rPr>
                              <w:t xml:space="preserve">F </w:t>
                            </w:r>
                            <w:r w:rsidRPr="00476CBA">
                              <w:rPr>
                                <w:b/>
                              </w:rPr>
                              <w:t>1(a)</w:t>
                            </w:r>
                            <w:r>
                              <w:rPr>
                                <w:b/>
                              </w:rPr>
                              <w:t>: Target-engagement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4BFE272" id="_x0000_t202" coordsize="21600,21600" o:spt="202" path="m,l,21600r21600,l21600,xe">
                <v:stroke joinstyle="miter"/>
                <v:path gradientshapeok="t" o:connecttype="rect"/>
              </v:shapetype>
              <v:shape id="Text Box 2" o:spid="_x0000_s1026" type="#_x0000_t202" style="position:absolute;left:0;text-align:left;margin-left:144.1pt;margin-top:518.05pt;width:185.9pt;height:110.6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" stroked="f">
                <v:textbox style="mso-fit-shape-to-text:t">
                  <w:txbxContent>
                    <w:p w:rsidR="0091510E" w:rsidRPr="00476CBA" w:rsidRDefault="0091510E" w:rsidP="00EB3898">
                      <w:pPr>
                        <w:jc w:val="center"/>
                        <w:rPr>
                          <w:b/>
                        </w:rPr>
                      </w:pPr>
                      <w:r w:rsidRPr="00476CBA">
                        <w:rPr>
                          <w:b/>
                        </w:rPr>
                        <w:t>S</w:t>
                      </w:r>
                      <w:r>
                        <w:rPr>
                          <w:b/>
                        </w:rPr>
                        <w:t xml:space="preserve">F </w:t>
                      </w:r>
                      <w:r w:rsidRPr="00476CBA">
                        <w:rPr>
                          <w:b/>
                        </w:rPr>
                        <w:t>1(a)</w:t>
                      </w:r>
                      <w:r>
                        <w:rPr>
                          <w:b/>
                        </w:rPr>
                        <w:t>: Target-engagement</w:t>
                      </w:r>
                    </w:p>
                  </w:txbxContent>
                </v:textbox>
                <w10:wrap type="square"/>
              </v:shape>
            </w:pict>
          </mc:Fallback>
        </mc:AlternateContent>
      </w:r>
      <w:r>
        <w:rPr>
          <w:noProof/>
        </w:rPr>
        <w:drawing>
          <wp:inline distT="0" distB="0" distL="0" distR="0">
            <wp:extent cx="5440686" cy="6135624"/>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a:stretch/>
                  </pic:blipFill>
                  <pic:spPr bwMode="auto">
                    <a:xfrm>
                      <a:off x="0" y="0"/>
                      <a:ext cx="5440686" cy="6135624"/>
                    </a:xfrm>
                    <a:prstGeom prst="rect">
                      <a:avLst/>
                    </a:prstGeom>
                    <a:noFill/>
                    <a:ln>
                      <a:noFill/>
                    </a:ln>
                    <a:extLst>
                      <a:ext uri="{53640926-AAD7-44D8-BBD7-CCE9431645EC}">
                        <a14:shadowObscured xmlns:a14="http://schemas.microsoft.com/office/drawing/2010/main"/>
                      </a:ext>
                    </a:extLst>
                  </pic:spPr>
                </pic:pic>
              </a:graphicData>
            </a:graphic>
          </wp:inline>
        </w:drawing>
      </w:r>
    </w:p>
    <w:p w:rsidR="0091510E" w:rsidRDefault="0091510E" w:rsidP="00EB3898">
      <w:pPr>
        <w:spacing w:line="480" w:lineRule="auto"/>
        <w:jc w:val="both"/>
        <w:textAlignment w:val="baseline"/>
        <w:rPr>
          <w:rFonts w:ascii="Segoe UI" w:hAnsi="Segoe UI" w:cs="Segoe UI"/>
        </w:rPr>
      </w:pPr>
    </w:p>
    <w:p w:rsidR="0091510E" w:rsidRDefault="0091510E" w:rsidP="00EB3898">
      <w:pPr>
        <w:spacing w:line="480" w:lineRule="auto"/>
        <w:jc w:val="both"/>
        <w:textAlignment w:val="baseline"/>
        <w:rPr>
          <w:rFonts w:ascii="Segoe UI" w:hAnsi="Segoe UI" w:cs="Segoe UI"/>
        </w:rPr>
      </w:pPr>
    </w:p>
    <w:p w:rsidR="0091510E" w:rsidRDefault="0091510E" w:rsidP="00EB3898">
      <w:pPr>
        <w:spacing w:line="480" w:lineRule="auto"/>
        <w:jc w:val="both"/>
        <w:textAlignment w:val="baseline"/>
        <w:rPr>
          <w:rFonts w:ascii="Segoe UI" w:hAnsi="Segoe UI" w:cs="Segoe UI"/>
        </w:rPr>
      </w:pPr>
    </w:p>
    <w:p w:rsidR="0091510E" w:rsidRDefault="00D21853" w:rsidP="00D21853">
      <w:pPr>
        <w:spacing w:line="480" w:lineRule="auto"/>
        <w:jc w:val="center"/>
        <w:textAlignment w:val="baseline"/>
        <w:rPr>
          <w:rFonts w:ascii="Segoe UI" w:hAnsi="Segoe UI" w:cs="Segoe UI"/>
        </w:rPr>
      </w:pPr>
      <w:r>
        <w:rPr>
          <w:noProof/>
        </w:rPr>
        <w:lastRenderedPageBreak/>
        <w:drawing>
          <wp:inline distT="0" distB="0" distL="0" distR="0">
            <wp:extent cx="5446624" cy="6135624"/>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a:stretch/>
                  </pic:blipFill>
                  <pic:spPr bwMode="auto">
                    <a:xfrm>
                      <a:off x="0" y="0"/>
                      <a:ext cx="5446624" cy="6135624"/>
                    </a:xfrm>
                    <a:prstGeom prst="rect">
                      <a:avLst/>
                    </a:prstGeom>
                    <a:noFill/>
                    <a:ln>
                      <a:noFill/>
                    </a:ln>
                    <a:extLst>
                      <a:ext uri="{53640926-AAD7-44D8-BBD7-CCE9431645EC}">
                        <a14:shadowObscured xmlns:a14="http://schemas.microsoft.com/office/drawing/2010/main"/>
                      </a:ext>
                    </a:extLst>
                  </pic:spPr>
                </pic:pic>
              </a:graphicData>
            </a:graphic>
          </wp:inline>
        </w:drawing>
      </w:r>
    </w:p>
    <w:p w:rsidR="0091510E" w:rsidRDefault="00D21853" w:rsidP="00EB3898">
      <w:pPr>
        <w:spacing w:line="480" w:lineRule="auto"/>
        <w:jc w:val="both"/>
        <w:textAlignment w:val="baseline"/>
        <w:rPr>
          <w:rFonts w:ascii="Segoe UI" w:hAnsi="Segoe UI" w:cs="Segoe UI"/>
        </w:rPr>
      </w:pPr>
      <w:r w:rsidRPr="004F5A11">
        <w:rPr>
          <w:rFonts w:ascii="Segoe UI" w:hAnsi="Segoe UI" w:cs="Segoe UI"/>
          <w:noProof/>
        </w:rPr>
        <mc:AlternateContent>
          <mc:Choice Requires="wps">
            <w:drawing>
              <wp:anchor distT="45720" distB="45720" distL="114300" distR="114300" simplePos="0" relativeHeight="251664384" behindDoc="0" locked="0" layoutInCell="1" allowOverlap="1" wp14:anchorId="4B56CDEC" wp14:editId="5C26B96A">
                <wp:simplePos x="0" y="0"/>
                <wp:positionH relativeFrom="column">
                  <wp:posOffset>1697355</wp:posOffset>
                </wp:positionH>
                <wp:positionV relativeFrom="paragraph">
                  <wp:posOffset>21590</wp:posOffset>
                </wp:positionV>
                <wp:extent cx="2360930" cy="1404620"/>
                <wp:effectExtent l="0" t="0" r="381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91510E" w:rsidRPr="00476CBA" w:rsidRDefault="0091510E" w:rsidP="00EB3898">
                            <w:pPr>
                              <w:jc w:val="center"/>
                              <w:rPr>
                                <w:b/>
                              </w:rPr>
                            </w:pPr>
                            <w:r w:rsidRPr="00476CBA">
                              <w:rPr>
                                <w:b/>
                              </w:rPr>
                              <w:t>S</w:t>
                            </w:r>
                            <w:r>
                              <w:rPr>
                                <w:b/>
                              </w:rPr>
                              <w:t xml:space="preserve">F </w:t>
                            </w:r>
                            <w:r w:rsidRPr="00476CBA">
                              <w:rPr>
                                <w:b/>
                              </w:rPr>
                              <w:t>1(b)</w:t>
                            </w:r>
                            <w:r>
                              <w:rPr>
                                <w:b/>
                              </w:rPr>
                              <w:t>: Distractor-engagement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B56CDEC" id="_x0000_s1027" type="#_x0000_t202" style="position:absolute;left:0;text-align:left;margin-left:133.65pt;margin-top:1.7pt;width:185.9pt;height:110.6pt;z-index:2516643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" stroked="f">
                <v:textbox style="mso-fit-shape-to-text:t">
                  <w:txbxContent>
                    <w:p w:rsidR="0091510E" w:rsidRPr="00476CBA" w:rsidRDefault="0091510E" w:rsidP="00EB3898">
                      <w:pPr>
                        <w:jc w:val="center"/>
                        <w:rPr>
                          <w:b/>
                        </w:rPr>
                      </w:pPr>
                      <w:r w:rsidRPr="00476CBA">
                        <w:rPr>
                          <w:b/>
                        </w:rPr>
                        <w:t>S</w:t>
                      </w:r>
                      <w:r>
                        <w:rPr>
                          <w:b/>
                        </w:rPr>
                        <w:t xml:space="preserve">F </w:t>
                      </w:r>
                      <w:r w:rsidRPr="00476CBA">
                        <w:rPr>
                          <w:b/>
                        </w:rPr>
                        <w:t>1(b)</w:t>
                      </w:r>
                      <w:r>
                        <w:rPr>
                          <w:b/>
                        </w:rPr>
                        <w:t>: Distractor-engagement</w:t>
                      </w:r>
                    </w:p>
                  </w:txbxContent>
                </v:textbox>
                <w10:wrap type="square"/>
              </v:shape>
            </w:pict>
          </mc:Fallback>
        </mc:AlternateContent>
      </w:r>
    </w:p>
    <w:p w:rsidR="00EB3898" w:rsidRPr="004F5A11" w:rsidRDefault="00EB3898" w:rsidP="00EB3898">
      <w:pPr>
        <w:spacing w:line="480" w:lineRule="auto"/>
        <w:ind w:firstLine="720"/>
        <w:jc w:val="both"/>
        <w:textAlignment w:val="baseline"/>
      </w:pPr>
    </w:p>
    <w:p w:rsidR="00EB3898" w:rsidRPr="004F5A11" w:rsidRDefault="00D21853" w:rsidP="00D21853">
      <w:pPr>
        <w:spacing w:line="480" w:lineRule="auto"/>
        <w:jc w:val="center"/>
        <w:textAlignment w:val="baseline"/>
        <w:rPr>
          <w:rFonts w:ascii="Segoe UI" w:hAnsi="Segoe UI" w:cs="Segoe UI"/>
        </w:rPr>
      </w:pPr>
      <w:r w:rsidRPr="004F5A11">
        <w:rPr>
          <w:rFonts w:ascii="Segoe UI" w:hAnsi="Segoe UI" w:cs="Segoe UI"/>
          <w:noProof/>
        </w:rPr>
        <w:lastRenderedPageBreak/>
        <mc:AlternateContent>
          <mc:Choice Requires="wps">
            <w:drawing>
              <wp:anchor distT="45720" distB="45720" distL="114300" distR="114300" simplePos="0" relativeHeight="251665408" behindDoc="0" locked="0" layoutInCell="1" allowOverlap="1" wp14:anchorId="4F377E66" wp14:editId="1EF8E141">
                <wp:simplePos x="0" y="0"/>
                <wp:positionH relativeFrom="column">
                  <wp:posOffset>1941195</wp:posOffset>
                </wp:positionH>
                <wp:positionV relativeFrom="paragraph">
                  <wp:posOffset>6179820</wp:posOffset>
                </wp:positionV>
                <wp:extent cx="2360930" cy="1404620"/>
                <wp:effectExtent l="0" t="0" r="381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91510E" w:rsidRPr="00476CBA" w:rsidRDefault="0091510E" w:rsidP="00EB3898">
                            <w:pPr>
                              <w:jc w:val="center"/>
                              <w:rPr>
                                <w:b/>
                              </w:rPr>
                            </w:pPr>
                            <w:r w:rsidRPr="00476CBA">
                              <w:rPr>
                                <w:b/>
                              </w:rPr>
                              <w:t>S</w:t>
                            </w:r>
                            <w:r>
                              <w:rPr>
                                <w:b/>
                              </w:rPr>
                              <w:t xml:space="preserve">F </w:t>
                            </w:r>
                            <w:r w:rsidRPr="00476CBA">
                              <w:rPr>
                                <w:b/>
                              </w:rPr>
                              <w:t>1(c)</w:t>
                            </w:r>
                            <w:r>
                              <w:rPr>
                                <w:b/>
                              </w:rPr>
                              <w:t>: Fixation-engagement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F377E66" id="_x0000_s1028" type="#_x0000_t202" style="position:absolute;left:0;text-align:left;margin-left:152.85pt;margin-top:486.6pt;width:185.9pt;height:110.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" stroked="f">
                <v:textbox style="mso-fit-shape-to-text:t">
                  <w:txbxContent>
                    <w:p w:rsidR="0091510E" w:rsidRPr="00476CBA" w:rsidRDefault="0091510E" w:rsidP="00EB3898">
                      <w:pPr>
                        <w:jc w:val="center"/>
                        <w:rPr>
                          <w:b/>
                        </w:rPr>
                      </w:pPr>
                      <w:r w:rsidRPr="00476CBA">
                        <w:rPr>
                          <w:b/>
                        </w:rPr>
                        <w:t>S</w:t>
                      </w:r>
                      <w:r>
                        <w:rPr>
                          <w:b/>
                        </w:rPr>
                        <w:t xml:space="preserve">F </w:t>
                      </w:r>
                      <w:r w:rsidRPr="00476CBA">
                        <w:rPr>
                          <w:b/>
                        </w:rPr>
                        <w:t>1(c)</w:t>
                      </w:r>
                      <w:r>
                        <w:rPr>
                          <w:b/>
                        </w:rPr>
                        <w:t>: Fixation-engagement</w:t>
                      </w:r>
                    </w:p>
                  </w:txbxContent>
                </v:textbox>
                <w10:wrap type="square"/>
              </v:shape>
            </w:pict>
          </mc:Fallback>
        </mc:AlternateContent>
      </w:r>
      <w:r>
        <w:rPr>
          <w:noProof/>
        </w:rPr>
        <w:drawing>
          <wp:inline distT="0" distB="0" distL="0" distR="0">
            <wp:extent cx="5380032" cy="6134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28A0092B-C50C-407E-A947-70E740481C1C}">
                          <a14:useLocalDpi xmlns:a14="http://schemas.microsoft.com/office/drawing/2010/main" val="0"/>
                        </a:ext>
                      </a:extLst>
                    </a:blip>
                    <a:srcRect/>
                    <a:stretch/>
                  </pic:blipFill>
                  <pic:spPr bwMode="auto">
                    <a:xfrm>
                      <a:off x="0" y="0"/>
                      <a:ext cx="5387246" cy="6142326"/>
                    </a:xfrm>
                    <a:prstGeom prst="rect">
                      <a:avLst/>
                    </a:prstGeom>
                    <a:noFill/>
                    <a:ln>
                      <a:noFill/>
                    </a:ln>
                    <a:extLst>
                      <a:ext uri="{53640926-AAD7-44D8-BBD7-CCE9431645EC}">
                        <a14:shadowObscured xmlns:a14="http://schemas.microsoft.com/office/drawing/2010/main"/>
                      </a:ext>
                    </a:extLst>
                  </pic:spPr>
                </pic:pic>
              </a:graphicData>
            </a:graphic>
          </wp:inline>
        </w:drawing>
      </w:r>
    </w:p>
    <w:p w:rsidR="00EB3898" w:rsidRPr="004F5A11" w:rsidRDefault="00EB3898" w:rsidP="00D21853">
      <w:pPr>
        <w:spacing w:line="360" w:lineRule="auto"/>
        <w:jc w:val="both"/>
        <w:textAlignment w:val="baseline"/>
        <w:rPr>
          <w:rFonts w:ascii="Segoe UI" w:hAnsi="Segoe UI" w:cs="Segoe UI"/>
        </w:rPr>
      </w:pPr>
    </w:p>
    <w:p w:rsidR="00EB3898" w:rsidRPr="00136450" w:rsidRDefault="00476CBA" w:rsidP="00D21853">
      <w:pPr>
        <w:spacing w:line="360" w:lineRule="auto"/>
        <w:jc w:val="both"/>
        <w:rPr>
          <w:sz w:val="22"/>
          <w:szCs w:val="22"/>
        </w:rPr>
      </w:pPr>
      <w:r w:rsidRPr="00136450">
        <w:rPr>
          <w:b/>
          <w:sz w:val="22"/>
          <w:szCs w:val="22"/>
        </w:rPr>
        <w:t>SF.1</w:t>
      </w:r>
      <w:r w:rsidR="00EB3898" w:rsidRPr="00136450">
        <w:rPr>
          <w:b/>
          <w:sz w:val="22"/>
          <w:szCs w:val="22"/>
        </w:rPr>
        <w:t>:</w:t>
      </w:r>
      <w:r w:rsidR="00EB3898" w:rsidRPr="00136450">
        <w:rPr>
          <w:sz w:val="22"/>
          <w:szCs w:val="22"/>
        </w:rPr>
        <w:t xml:space="preserve"> Neural correlates of frequency-microstates estimated using EEG informed fMRI analysis for a).Target</w:t>
      </w:r>
      <w:r w:rsidR="00136450" w:rsidRPr="00136450">
        <w:rPr>
          <w:sz w:val="22"/>
          <w:szCs w:val="22"/>
        </w:rPr>
        <w:t xml:space="preserve">-engagement </w:t>
      </w:r>
      <w:r w:rsidR="00EB3898" w:rsidRPr="00136450">
        <w:rPr>
          <w:sz w:val="22"/>
          <w:szCs w:val="22"/>
        </w:rPr>
        <w:t>b). Distractor</w:t>
      </w:r>
      <w:r w:rsidR="00136450" w:rsidRPr="00136450">
        <w:rPr>
          <w:sz w:val="22"/>
          <w:szCs w:val="22"/>
        </w:rPr>
        <w:t>-engagement</w:t>
      </w:r>
      <w:r w:rsidR="00EB3898" w:rsidRPr="00136450">
        <w:rPr>
          <w:sz w:val="22"/>
          <w:szCs w:val="22"/>
        </w:rPr>
        <w:t xml:space="preserve"> and c). Fixation</w:t>
      </w:r>
      <w:r w:rsidR="00136450" w:rsidRPr="00136450">
        <w:rPr>
          <w:sz w:val="22"/>
          <w:szCs w:val="22"/>
        </w:rPr>
        <w:t>-engagement</w:t>
      </w:r>
      <w:r w:rsidR="00EB3898" w:rsidRPr="00136450">
        <w:rPr>
          <w:sz w:val="22"/>
          <w:szCs w:val="22"/>
        </w:rPr>
        <w:t>. The diagram represents the neural correlates only for those microstates, which are found significantly (p&lt;0.01, FDR corrected) correlated with the neuronal engagement.</w:t>
      </w:r>
      <w:r w:rsidR="00D21853">
        <w:rPr>
          <w:sz w:val="22"/>
          <w:szCs w:val="22"/>
        </w:rPr>
        <w:t xml:space="preserve"> </w:t>
      </w:r>
      <w:r w:rsidR="00333F76" w:rsidRPr="00136450">
        <w:rPr>
          <w:sz w:val="22"/>
          <w:szCs w:val="22"/>
        </w:rPr>
        <w:t xml:space="preserve">Nomenclature for microstates are defined as AP (Anterior -Posterior), LR (Left-Right), LD (Left Diagonal), </w:t>
      </w:r>
      <w:r w:rsidR="0029593A" w:rsidRPr="00136450">
        <w:rPr>
          <w:sz w:val="22"/>
          <w:szCs w:val="22"/>
        </w:rPr>
        <w:t>R</w:t>
      </w:r>
      <w:r w:rsidR="00333F76" w:rsidRPr="00136450">
        <w:rPr>
          <w:sz w:val="22"/>
          <w:szCs w:val="22"/>
        </w:rPr>
        <w:t>D (</w:t>
      </w:r>
      <w:r w:rsidR="0029593A" w:rsidRPr="00136450">
        <w:rPr>
          <w:sz w:val="22"/>
          <w:szCs w:val="22"/>
        </w:rPr>
        <w:t xml:space="preserve">Right </w:t>
      </w:r>
      <w:r w:rsidR="00333F76" w:rsidRPr="00136450">
        <w:rPr>
          <w:sz w:val="22"/>
          <w:szCs w:val="22"/>
        </w:rPr>
        <w:t xml:space="preserve">Diagonal). </w:t>
      </w:r>
      <w:r w:rsidR="00D21853">
        <w:rPr>
          <w:sz w:val="22"/>
          <w:szCs w:val="22"/>
        </w:rPr>
        <w:t>The figures</w:t>
      </w:r>
      <w:r w:rsidR="00EB3898" w:rsidRPr="00136450">
        <w:rPr>
          <w:sz w:val="22"/>
          <w:szCs w:val="22"/>
        </w:rPr>
        <w:t xml:space="preserve"> represent the statistically significant spatial maps localizing the clusters on the MNI brain with red clusters as positive and blue clusters as negative correlates of frequency-microstates. </w:t>
      </w:r>
    </w:p>
    <w:p w:rsidR="00AA778F" w:rsidRDefault="00AA778F" w:rsidP="00AA778F">
      <w:r w:rsidRPr="004F5A11">
        <w:rPr>
          <w:b/>
        </w:rPr>
        <w:lastRenderedPageBreak/>
        <w:t>SUPPLEMENTARY TABLE</w:t>
      </w:r>
      <w:r>
        <w:rPr>
          <w:b/>
        </w:rPr>
        <w:t>S</w:t>
      </w:r>
      <w:r w:rsidRPr="004F5A11">
        <w:t>:</w:t>
      </w:r>
    </w:p>
    <w:p w:rsidR="00AA778F" w:rsidRDefault="00AA778F" w:rsidP="00AA778F"/>
    <w:p w:rsidR="006C1A22" w:rsidRPr="000C29E3" w:rsidRDefault="006C1A22" w:rsidP="00AA778F">
      <w:pPr>
        <w:spacing w:line="360" w:lineRule="auto"/>
        <w:jc w:val="both"/>
      </w:pPr>
      <w:r w:rsidRPr="000C29E3">
        <w:rPr>
          <w:b/>
        </w:rPr>
        <w:t xml:space="preserve">ST.1: </w:t>
      </w:r>
      <w:r w:rsidRPr="000C29E3">
        <w:t>Neural correlates</w:t>
      </w:r>
      <w:r w:rsidRPr="000C29E3">
        <w:rPr>
          <w:b/>
        </w:rPr>
        <w:t xml:space="preserve"> </w:t>
      </w:r>
      <w:r w:rsidRPr="000C29E3">
        <w:t>of task engagements</w:t>
      </w:r>
      <w:r w:rsidR="00AF7881">
        <w:t xml:space="preserve"> </w:t>
      </w:r>
      <w:r w:rsidR="000C29E3">
        <w:t>( target, distractor and fixation)</w:t>
      </w:r>
      <w:r w:rsidRPr="000C29E3">
        <w:t>. C1 and C2 denote clusters at a significance level of (p&lt;0.05). The details of cluster are depicted in a format of (Cluster:(x,y,z)/Laterality(L/R)/Cluster size/t-value). Laterality of neuronal activations has been represented as ‘R’ for the right hemisphere and ‘L’ for the left hemisphere.</w:t>
      </w:r>
    </w:p>
    <w:p w:rsidR="006C1A22" w:rsidRPr="006C1A22" w:rsidRDefault="006C1A22" w:rsidP="006C1A22">
      <w:pPr>
        <w:spacing w:line="360" w:lineRule="auto"/>
        <w:jc w:val="both"/>
        <w:rPr>
          <w:sz w:val="20"/>
          <w:szCs w:val="20"/>
        </w:rPr>
      </w:pPr>
    </w:p>
    <w:tbl>
      <w:tblPr>
        <w:tblStyle w:val="TableGrid"/>
        <w:tblpPr w:leftFromText="180" w:rightFromText="180" w:vertAnchor="page" w:horzAnchor="margin" w:tblpXSpec="center" w:tblpY="3815"/>
        <w:tblW w:w="0" w:type="auto"/>
        <w:tblLook w:val="04A0" w:firstRow="1" w:lastRow="0" w:firstColumn="1" w:lastColumn="0" w:noHBand="0" w:noVBand="1"/>
      </w:tblPr>
      <w:tblGrid>
        <w:gridCol w:w="963"/>
        <w:gridCol w:w="3802"/>
        <w:gridCol w:w="3594"/>
      </w:tblGrid>
      <w:tr w:rsidR="00FC0D3E" w:rsidRPr="007F004E" w:rsidTr="00FC0D3E">
        <w:trPr>
          <w:trHeight w:val="350"/>
        </w:trPr>
        <w:tc>
          <w:tcPr>
            <w:tcW w:w="963" w:type="dxa"/>
          </w:tcPr>
          <w:p w:rsidR="00FC0D3E" w:rsidRPr="006C1A22" w:rsidRDefault="00FC0D3E" w:rsidP="00FC0D3E">
            <w:pPr>
              <w:jc w:val="center"/>
              <w:rPr>
                <w:b/>
                <w:sz w:val="22"/>
                <w:szCs w:val="22"/>
              </w:rPr>
            </w:pPr>
            <w:r w:rsidRPr="006C1A22">
              <w:rPr>
                <w:b/>
                <w:sz w:val="22"/>
                <w:szCs w:val="22"/>
              </w:rPr>
              <w:t>Stimuli</w:t>
            </w:r>
          </w:p>
        </w:tc>
        <w:tc>
          <w:tcPr>
            <w:tcW w:w="3802" w:type="dxa"/>
          </w:tcPr>
          <w:p w:rsidR="00FC0D3E" w:rsidRPr="006C1A22" w:rsidRDefault="00FC0D3E" w:rsidP="00FC0D3E">
            <w:pPr>
              <w:jc w:val="center"/>
              <w:rPr>
                <w:b/>
                <w:sz w:val="22"/>
                <w:szCs w:val="22"/>
              </w:rPr>
            </w:pPr>
            <w:r w:rsidRPr="006C1A22">
              <w:rPr>
                <w:b/>
                <w:sz w:val="22"/>
                <w:szCs w:val="22"/>
              </w:rPr>
              <w:t>Brain Region</w:t>
            </w:r>
          </w:p>
        </w:tc>
        <w:tc>
          <w:tcPr>
            <w:tcW w:w="3594" w:type="dxa"/>
          </w:tcPr>
          <w:p w:rsidR="00FC0D3E" w:rsidRPr="006C1A22" w:rsidRDefault="00FC0D3E" w:rsidP="00FC0D3E">
            <w:pPr>
              <w:jc w:val="center"/>
              <w:rPr>
                <w:b/>
                <w:sz w:val="22"/>
                <w:szCs w:val="22"/>
              </w:rPr>
            </w:pPr>
            <w:r w:rsidRPr="006C1A22">
              <w:rPr>
                <w:b/>
                <w:sz w:val="22"/>
                <w:szCs w:val="22"/>
              </w:rPr>
              <w:t>Cluster information</w:t>
            </w:r>
          </w:p>
        </w:tc>
      </w:tr>
      <w:tr w:rsidR="00FC0D3E" w:rsidRPr="007F004E" w:rsidTr="00FC0D3E">
        <w:trPr>
          <w:trHeight w:val="260"/>
        </w:trPr>
        <w:tc>
          <w:tcPr>
            <w:tcW w:w="963" w:type="dxa"/>
            <w:vMerge w:val="restart"/>
            <w:textDirection w:val="btLr"/>
          </w:tcPr>
          <w:p w:rsidR="00FC0D3E" w:rsidRPr="006C1A22" w:rsidRDefault="00FC0D3E" w:rsidP="00FC0D3E">
            <w:pPr>
              <w:ind w:left="113" w:right="113"/>
              <w:jc w:val="center"/>
              <w:rPr>
                <w:b/>
                <w:sz w:val="22"/>
                <w:szCs w:val="22"/>
              </w:rPr>
            </w:pPr>
          </w:p>
          <w:p w:rsidR="00FC0D3E" w:rsidRPr="006C1A22" w:rsidRDefault="00FC0D3E" w:rsidP="00FC0D3E">
            <w:pPr>
              <w:ind w:left="113" w:right="113"/>
              <w:jc w:val="center"/>
              <w:rPr>
                <w:b/>
                <w:sz w:val="22"/>
                <w:szCs w:val="22"/>
              </w:rPr>
            </w:pPr>
            <w:r w:rsidRPr="006C1A22">
              <w:rPr>
                <w:b/>
                <w:sz w:val="22"/>
                <w:szCs w:val="22"/>
              </w:rPr>
              <w:t>Target</w:t>
            </w:r>
          </w:p>
        </w:tc>
        <w:tc>
          <w:tcPr>
            <w:tcW w:w="3802" w:type="dxa"/>
          </w:tcPr>
          <w:p w:rsidR="00FC0D3E" w:rsidRPr="006C1A22" w:rsidRDefault="00FC0D3E" w:rsidP="00FC0D3E">
            <w:pPr>
              <w:rPr>
                <w:sz w:val="20"/>
                <w:szCs w:val="20"/>
              </w:rPr>
            </w:pPr>
            <w:r w:rsidRPr="006C1A22">
              <w:rPr>
                <w:sz w:val="20"/>
                <w:szCs w:val="20"/>
              </w:rPr>
              <w:t>Frontal Orbital Cortex</w:t>
            </w:r>
          </w:p>
        </w:tc>
        <w:tc>
          <w:tcPr>
            <w:tcW w:w="3594" w:type="dxa"/>
          </w:tcPr>
          <w:p w:rsidR="00FC0D3E" w:rsidRPr="006C1A22" w:rsidRDefault="00FC0D3E" w:rsidP="00FC0D3E">
            <w:pPr>
              <w:rPr>
                <w:sz w:val="20"/>
                <w:szCs w:val="20"/>
              </w:rPr>
            </w:pPr>
            <w:r w:rsidRPr="006C1A22">
              <w:rPr>
                <w:sz w:val="20"/>
                <w:szCs w:val="20"/>
              </w:rPr>
              <w:t>C1:( -44.7,37.2,-4.65)/L/703/3.83;</w:t>
            </w:r>
          </w:p>
          <w:p w:rsidR="00FC0D3E" w:rsidRPr="006C1A22" w:rsidRDefault="00FC0D3E" w:rsidP="00FC0D3E">
            <w:pPr>
              <w:rPr>
                <w:sz w:val="20"/>
                <w:szCs w:val="20"/>
              </w:rPr>
            </w:pPr>
            <w:r w:rsidRPr="006C1A22">
              <w:rPr>
                <w:sz w:val="20"/>
                <w:szCs w:val="20"/>
              </w:rPr>
              <w:t>C2:(-27.1,30.2,4.75)/L/11/2.37;</w:t>
            </w:r>
          </w:p>
        </w:tc>
      </w:tr>
      <w:tr w:rsidR="00FC0D3E" w:rsidRPr="007F004E" w:rsidTr="00FC0D3E">
        <w:tc>
          <w:tcPr>
            <w:tcW w:w="963" w:type="dxa"/>
            <w:vMerge/>
          </w:tcPr>
          <w:p w:rsidR="00FC0D3E" w:rsidRPr="006C1A22" w:rsidRDefault="00FC0D3E" w:rsidP="00FC0D3E">
            <w:pPr>
              <w:jc w:val="center"/>
              <w:rPr>
                <w:b/>
                <w:sz w:val="22"/>
                <w:szCs w:val="22"/>
              </w:rPr>
            </w:pPr>
          </w:p>
        </w:tc>
        <w:tc>
          <w:tcPr>
            <w:tcW w:w="3802" w:type="dxa"/>
          </w:tcPr>
          <w:p w:rsidR="00FC0D3E" w:rsidRPr="006C1A22" w:rsidRDefault="00FC0D3E" w:rsidP="00FC0D3E">
            <w:pPr>
              <w:rPr>
                <w:sz w:val="20"/>
                <w:szCs w:val="20"/>
              </w:rPr>
            </w:pPr>
            <w:r w:rsidRPr="006C1A22">
              <w:rPr>
                <w:sz w:val="20"/>
                <w:szCs w:val="20"/>
              </w:rPr>
              <w:t>Frontal Pole</w:t>
            </w:r>
          </w:p>
        </w:tc>
        <w:tc>
          <w:tcPr>
            <w:tcW w:w="3594" w:type="dxa"/>
          </w:tcPr>
          <w:p w:rsidR="00FC0D3E" w:rsidRPr="006C1A22" w:rsidRDefault="00FC0D3E" w:rsidP="00FC0D3E">
            <w:pPr>
              <w:rPr>
                <w:sz w:val="20"/>
                <w:szCs w:val="20"/>
              </w:rPr>
            </w:pPr>
            <w:r w:rsidRPr="006C1A22">
              <w:rPr>
                <w:sz w:val="20"/>
                <w:szCs w:val="20"/>
              </w:rPr>
              <w:t>C1:( 45.5,36.9,-.52)/R/283/3.25;</w:t>
            </w:r>
          </w:p>
        </w:tc>
      </w:tr>
      <w:tr w:rsidR="00FC0D3E" w:rsidRPr="007F004E" w:rsidTr="00FC0D3E">
        <w:tc>
          <w:tcPr>
            <w:tcW w:w="963" w:type="dxa"/>
            <w:vMerge/>
          </w:tcPr>
          <w:p w:rsidR="00FC0D3E" w:rsidRPr="006C1A22" w:rsidRDefault="00FC0D3E" w:rsidP="00FC0D3E">
            <w:pPr>
              <w:jc w:val="center"/>
              <w:rPr>
                <w:b/>
                <w:sz w:val="22"/>
                <w:szCs w:val="22"/>
              </w:rPr>
            </w:pPr>
          </w:p>
        </w:tc>
        <w:tc>
          <w:tcPr>
            <w:tcW w:w="3802" w:type="dxa"/>
          </w:tcPr>
          <w:p w:rsidR="00FC0D3E" w:rsidRPr="006C1A22" w:rsidRDefault="00FC0D3E" w:rsidP="00FC0D3E">
            <w:pPr>
              <w:rPr>
                <w:sz w:val="20"/>
                <w:szCs w:val="20"/>
              </w:rPr>
            </w:pPr>
            <w:r w:rsidRPr="006C1A22">
              <w:rPr>
                <w:sz w:val="20"/>
                <w:szCs w:val="20"/>
              </w:rPr>
              <w:t>Inferior Temporal Gyrus</w:t>
            </w:r>
          </w:p>
        </w:tc>
        <w:tc>
          <w:tcPr>
            <w:tcW w:w="3594" w:type="dxa"/>
          </w:tcPr>
          <w:p w:rsidR="00FC0D3E" w:rsidRPr="006C1A22" w:rsidRDefault="00FC0D3E" w:rsidP="00FC0D3E">
            <w:pPr>
              <w:rPr>
                <w:sz w:val="20"/>
                <w:szCs w:val="20"/>
              </w:rPr>
            </w:pPr>
            <w:r w:rsidRPr="006C1A22">
              <w:rPr>
                <w:sz w:val="20"/>
                <w:szCs w:val="20"/>
              </w:rPr>
              <w:t>C1:( -53,-49.8,-8.37)/L/394/3.11;</w:t>
            </w:r>
          </w:p>
          <w:p w:rsidR="00FC0D3E" w:rsidRPr="006C1A22" w:rsidRDefault="00FC0D3E" w:rsidP="00FC0D3E">
            <w:pPr>
              <w:rPr>
                <w:sz w:val="20"/>
                <w:szCs w:val="20"/>
              </w:rPr>
            </w:pPr>
            <w:r w:rsidRPr="006C1A22">
              <w:rPr>
                <w:sz w:val="20"/>
                <w:szCs w:val="20"/>
              </w:rPr>
              <w:t>C2:(-52.2,-58.1,-20.2)/L/70/3.03;</w:t>
            </w:r>
          </w:p>
        </w:tc>
      </w:tr>
      <w:tr w:rsidR="00FC0D3E" w:rsidRPr="007F004E" w:rsidTr="00FC0D3E">
        <w:tc>
          <w:tcPr>
            <w:tcW w:w="963" w:type="dxa"/>
            <w:vMerge/>
          </w:tcPr>
          <w:p w:rsidR="00FC0D3E" w:rsidRPr="006C1A22" w:rsidRDefault="00FC0D3E" w:rsidP="00FC0D3E">
            <w:pPr>
              <w:jc w:val="center"/>
              <w:rPr>
                <w:b/>
                <w:sz w:val="22"/>
                <w:szCs w:val="22"/>
              </w:rPr>
            </w:pPr>
          </w:p>
        </w:tc>
        <w:tc>
          <w:tcPr>
            <w:tcW w:w="3802" w:type="dxa"/>
          </w:tcPr>
          <w:p w:rsidR="00FC0D3E" w:rsidRPr="006C1A22" w:rsidRDefault="00FC0D3E" w:rsidP="00FC0D3E">
            <w:pPr>
              <w:rPr>
                <w:sz w:val="20"/>
                <w:szCs w:val="20"/>
              </w:rPr>
            </w:pPr>
            <w:r w:rsidRPr="006C1A22">
              <w:rPr>
                <w:sz w:val="20"/>
                <w:szCs w:val="20"/>
              </w:rPr>
              <w:t>Lateral Occipital Cortex</w:t>
            </w:r>
          </w:p>
        </w:tc>
        <w:tc>
          <w:tcPr>
            <w:tcW w:w="3594" w:type="dxa"/>
          </w:tcPr>
          <w:p w:rsidR="00FC0D3E" w:rsidRPr="006C1A22" w:rsidRDefault="00FC0D3E" w:rsidP="00FC0D3E">
            <w:pPr>
              <w:rPr>
                <w:sz w:val="20"/>
                <w:szCs w:val="20"/>
              </w:rPr>
            </w:pPr>
            <w:r w:rsidRPr="006C1A22">
              <w:rPr>
                <w:sz w:val="20"/>
                <w:szCs w:val="20"/>
              </w:rPr>
              <w:t>C1:( 10.8,-74.2,57)/R/21/2.48;</w:t>
            </w:r>
          </w:p>
        </w:tc>
      </w:tr>
      <w:tr w:rsidR="00FC0D3E" w:rsidRPr="007F004E" w:rsidTr="00FC0D3E">
        <w:tc>
          <w:tcPr>
            <w:tcW w:w="963" w:type="dxa"/>
            <w:vMerge/>
          </w:tcPr>
          <w:p w:rsidR="00FC0D3E" w:rsidRPr="006C1A22" w:rsidRDefault="00FC0D3E" w:rsidP="00FC0D3E">
            <w:pPr>
              <w:jc w:val="center"/>
              <w:rPr>
                <w:b/>
                <w:sz w:val="22"/>
                <w:szCs w:val="22"/>
              </w:rPr>
            </w:pPr>
          </w:p>
        </w:tc>
        <w:tc>
          <w:tcPr>
            <w:tcW w:w="3802" w:type="dxa"/>
          </w:tcPr>
          <w:p w:rsidR="00FC0D3E" w:rsidRPr="006C1A22" w:rsidRDefault="00FC0D3E" w:rsidP="00FC0D3E">
            <w:pPr>
              <w:rPr>
                <w:sz w:val="20"/>
                <w:szCs w:val="20"/>
              </w:rPr>
            </w:pPr>
            <w:r w:rsidRPr="006C1A22">
              <w:rPr>
                <w:sz w:val="20"/>
                <w:szCs w:val="20"/>
              </w:rPr>
              <w:t>Middle Temporal Gyrus</w:t>
            </w:r>
          </w:p>
        </w:tc>
        <w:tc>
          <w:tcPr>
            <w:tcW w:w="3594" w:type="dxa"/>
          </w:tcPr>
          <w:p w:rsidR="00FC0D3E" w:rsidRPr="006C1A22" w:rsidRDefault="00FC0D3E" w:rsidP="00FC0D3E">
            <w:pPr>
              <w:rPr>
                <w:sz w:val="20"/>
                <w:szCs w:val="20"/>
              </w:rPr>
            </w:pPr>
            <w:r w:rsidRPr="006C1A22">
              <w:rPr>
                <w:sz w:val="20"/>
                <w:szCs w:val="20"/>
              </w:rPr>
              <w:t>C1:( 59.9,-33.5,-1.71)/R/192/3.39;</w:t>
            </w:r>
          </w:p>
        </w:tc>
      </w:tr>
      <w:tr w:rsidR="00FC0D3E" w:rsidRPr="007F004E" w:rsidTr="00FC0D3E">
        <w:tc>
          <w:tcPr>
            <w:tcW w:w="963" w:type="dxa"/>
            <w:vMerge/>
          </w:tcPr>
          <w:p w:rsidR="00FC0D3E" w:rsidRPr="006C1A22" w:rsidRDefault="00FC0D3E" w:rsidP="00FC0D3E">
            <w:pPr>
              <w:jc w:val="center"/>
              <w:rPr>
                <w:b/>
                <w:sz w:val="22"/>
                <w:szCs w:val="22"/>
              </w:rPr>
            </w:pPr>
          </w:p>
        </w:tc>
        <w:tc>
          <w:tcPr>
            <w:tcW w:w="3802" w:type="dxa"/>
          </w:tcPr>
          <w:p w:rsidR="00FC0D3E" w:rsidRPr="006C1A22" w:rsidRDefault="00FC0D3E" w:rsidP="00FC0D3E">
            <w:pPr>
              <w:rPr>
                <w:sz w:val="20"/>
                <w:szCs w:val="20"/>
              </w:rPr>
            </w:pPr>
            <w:r w:rsidRPr="006C1A22">
              <w:rPr>
                <w:sz w:val="20"/>
                <w:szCs w:val="20"/>
              </w:rPr>
              <w:t>Occipital Pole</w:t>
            </w:r>
          </w:p>
        </w:tc>
        <w:tc>
          <w:tcPr>
            <w:tcW w:w="3594" w:type="dxa"/>
          </w:tcPr>
          <w:p w:rsidR="00FC0D3E" w:rsidRPr="006C1A22" w:rsidRDefault="00FC0D3E" w:rsidP="00FC0D3E">
            <w:pPr>
              <w:rPr>
                <w:sz w:val="20"/>
                <w:szCs w:val="20"/>
              </w:rPr>
            </w:pPr>
            <w:r w:rsidRPr="006C1A22">
              <w:rPr>
                <w:sz w:val="20"/>
                <w:szCs w:val="20"/>
              </w:rPr>
              <w:t>C1:( 1.39,-94.1,13)/R/150/3.56;</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Paracingulate Gyrus</w:t>
            </w:r>
          </w:p>
        </w:tc>
        <w:tc>
          <w:tcPr>
            <w:tcW w:w="3594" w:type="dxa"/>
          </w:tcPr>
          <w:p w:rsidR="00FC0D3E" w:rsidRPr="006C1A22" w:rsidRDefault="00FC0D3E" w:rsidP="00FC0D3E">
            <w:pPr>
              <w:rPr>
                <w:sz w:val="20"/>
                <w:szCs w:val="20"/>
              </w:rPr>
            </w:pPr>
            <w:r w:rsidRPr="006C1A22">
              <w:rPr>
                <w:sz w:val="20"/>
                <w:szCs w:val="20"/>
              </w:rPr>
              <w:t>C1:( 6.85,35.3,34.5)/R/543/3.81;</w:t>
            </w:r>
          </w:p>
          <w:p w:rsidR="00FC0D3E" w:rsidRPr="006C1A22" w:rsidRDefault="00FC0D3E" w:rsidP="00FC0D3E">
            <w:pPr>
              <w:rPr>
                <w:sz w:val="20"/>
                <w:szCs w:val="20"/>
              </w:rPr>
            </w:pPr>
            <w:r w:rsidRPr="006C1A22">
              <w:rPr>
                <w:sz w:val="20"/>
                <w:szCs w:val="20"/>
              </w:rPr>
              <w:t>C2:(-5.71,34.1,35.6)/L/509/3.63;</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Precuneus Cortex</w:t>
            </w:r>
          </w:p>
        </w:tc>
        <w:tc>
          <w:tcPr>
            <w:tcW w:w="3594" w:type="dxa"/>
          </w:tcPr>
          <w:p w:rsidR="00FC0D3E" w:rsidRPr="006C1A22" w:rsidRDefault="00FC0D3E" w:rsidP="00FC0D3E">
            <w:pPr>
              <w:rPr>
                <w:sz w:val="20"/>
                <w:szCs w:val="20"/>
              </w:rPr>
            </w:pPr>
            <w:r w:rsidRPr="006C1A22">
              <w:rPr>
                <w:sz w:val="20"/>
                <w:szCs w:val="20"/>
              </w:rPr>
              <w:t>C1 :( 0.894,-71.7,59.5)/R/8/2.88;</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Superior Frontal Gyrus</w:t>
            </w:r>
          </w:p>
        </w:tc>
        <w:tc>
          <w:tcPr>
            <w:tcW w:w="3594" w:type="dxa"/>
          </w:tcPr>
          <w:p w:rsidR="00FC0D3E" w:rsidRPr="006C1A22" w:rsidRDefault="00FC0D3E" w:rsidP="00FC0D3E">
            <w:pPr>
              <w:rPr>
                <w:sz w:val="20"/>
                <w:szCs w:val="20"/>
              </w:rPr>
            </w:pPr>
            <w:r w:rsidRPr="006C1A22">
              <w:rPr>
                <w:sz w:val="20"/>
                <w:szCs w:val="20"/>
              </w:rPr>
              <w:t>C1:( 17,34.7,47.3)/R/6/2.12;</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Angular Gyrus</w:t>
            </w:r>
          </w:p>
        </w:tc>
        <w:tc>
          <w:tcPr>
            <w:tcW w:w="3594" w:type="dxa"/>
          </w:tcPr>
          <w:p w:rsidR="00FC0D3E" w:rsidRPr="006C1A22" w:rsidRDefault="00FC0D3E" w:rsidP="00FC0D3E">
            <w:pPr>
              <w:rPr>
                <w:sz w:val="20"/>
                <w:szCs w:val="20"/>
              </w:rPr>
            </w:pPr>
            <w:r w:rsidRPr="006C1A22">
              <w:rPr>
                <w:sz w:val="20"/>
                <w:szCs w:val="20"/>
              </w:rPr>
              <w:t>C1:(-50.1,-53.2,34.6)/L/836/3.74;</w:t>
            </w:r>
          </w:p>
          <w:p w:rsidR="00FC0D3E" w:rsidRPr="006C1A22" w:rsidRDefault="00FC0D3E" w:rsidP="00FC0D3E">
            <w:pPr>
              <w:rPr>
                <w:sz w:val="20"/>
                <w:szCs w:val="20"/>
              </w:rPr>
            </w:pPr>
            <w:r w:rsidRPr="006C1A22">
              <w:rPr>
                <w:sz w:val="20"/>
                <w:szCs w:val="20"/>
              </w:rPr>
              <w:t>C2:(52.6,-49,42.7)/R/408/4.18;</w:t>
            </w:r>
          </w:p>
          <w:p w:rsidR="00FC0D3E" w:rsidRPr="006C1A22" w:rsidRDefault="00FC0D3E" w:rsidP="00FC0D3E">
            <w:pPr>
              <w:rPr>
                <w:sz w:val="20"/>
                <w:szCs w:val="20"/>
              </w:rPr>
            </w:pPr>
            <w:r w:rsidRPr="006C1A22">
              <w:rPr>
                <w:sz w:val="20"/>
                <w:szCs w:val="20"/>
              </w:rPr>
              <w:t>C3:(46,-54.4,33.2)/R/5/2.47;</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Insular Cortex</w:t>
            </w:r>
          </w:p>
        </w:tc>
        <w:tc>
          <w:tcPr>
            <w:tcW w:w="3594" w:type="dxa"/>
          </w:tcPr>
          <w:p w:rsidR="00FC0D3E" w:rsidRPr="006C1A22" w:rsidRDefault="00FC0D3E" w:rsidP="00FC0D3E">
            <w:pPr>
              <w:rPr>
                <w:sz w:val="20"/>
                <w:szCs w:val="20"/>
              </w:rPr>
            </w:pPr>
            <w:r w:rsidRPr="006C1A22">
              <w:rPr>
                <w:sz w:val="20"/>
                <w:szCs w:val="20"/>
              </w:rPr>
              <w:t>C1:(- 29,15.2,13.6)/L/10/2.1;</w:t>
            </w:r>
          </w:p>
        </w:tc>
      </w:tr>
      <w:tr w:rsidR="00FC0D3E" w:rsidRPr="007F004E" w:rsidTr="00FC0D3E">
        <w:tc>
          <w:tcPr>
            <w:tcW w:w="963" w:type="dxa"/>
            <w:vMerge/>
          </w:tcPr>
          <w:p w:rsidR="00FC0D3E" w:rsidRPr="006C1A22" w:rsidRDefault="00FC0D3E" w:rsidP="00FC0D3E">
            <w:pPr>
              <w:jc w:val="cente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Temporal Occipital Fusiform Cortex</w:t>
            </w:r>
          </w:p>
        </w:tc>
        <w:tc>
          <w:tcPr>
            <w:tcW w:w="3594" w:type="dxa"/>
          </w:tcPr>
          <w:p w:rsidR="00FC0D3E" w:rsidRPr="006C1A22" w:rsidRDefault="00FC0D3E" w:rsidP="00FC0D3E">
            <w:pPr>
              <w:rPr>
                <w:sz w:val="20"/>
                <w:szCs w:val="20"/>
              </w:rPr>
            </w:pPr>
            <w:r w:rsidRPr="006C1A22">
              <w:rPr>
                <w:sz w:val="20"/>
                <w:szCs w:val="20"/>
              </w:rPr>
              <w:t>C1:( -33.5,-49.7,-1.11)/L/7/2.61;</w:t>
            </w:r>
          </w:p>
        </w:tc>
      </w:tr>
      <w:tr w:rsidR="00FC0D3E" w:rsidRPr="007F004E" w:rsidTr="00FC0D3E">
        <w:tc>
          <w:tcPr>
            <w:tcW w:w="963" w:type="dxa"/>
            <w:vMerge w:val="restart"/>
            <w:textDirection w:val="btLr"/>
          </w:tcPr>
          <w:p w:rsidR="00FC0D3E" w:rsidRPr="006C1A22" w:rsidRDefault="00FC0D3E" w:rsidP="00FC0D3E">
            <w:pPr>
              <w:ind w:left="113" w:right="113"/>
              <w:jc w:val="center"/>
              <w:rPr>
                <w:b/>
                <w:sz w:val="22"/>
                <w:szCs w:val="22"/>
              </w:rPr>
            </w:pPr>
          </w:p>
          <w:p w:rsidR="00FC0D3E" w:rsidRPr="006C1A22" w:rsidRDefault="00FC0D3E" w:rsidP="00FC0D3E">
            <w:pPr>
              <w:ind w:left="113" w:right="113"/>
              <w:jc w:val="center"/>
              <w:rPr>
                <w:b/>
                <w:sz w:val="22"/>
                <w:szCs w:val="22"/>
              </w:rPr>
            </w:pPr>
            <w:r w:rsidRPr="006C1A22">
              <w:rPr>
                <w:b/>
                <w:sz w:val="22"/>
                <w:szCs w:val="22"/>
              </w:rPr>
              <w:t>Distractor</w:t>
            </w:r>
          </w:p>
        </w:tc>
        <w:tc>
          <w:tcPr>
            <w:tcW w:w="3802" w:type="dxa"/>
          </w:tcPr>
          <w:p w:rsidR="00FC0D3E" w:rsidRPr="006C1A22" w:rsidRDefault="00FC0D3E" w:rsidP="00FC0D3E">
            <w:pPr>
              <w:rPr>
                <w:sz w:val="20"/>
                <w:szCs w:val="20"/>
              </w:rPr>
            </w:pPr>
            <w:r w:rsidRPr="006C1A22">
              <w:rPr>
                <w:sz w:val="20"/>
                <w:szCs w:val="20"/>
              </w:rPr>
              <w:t>Frontal Pole</w:t>
            </w:r>
          </w:p>
        </w:tc>
        <w:tc>
          <w:tcPr>
            <w:tcW w:w="3594" w:type="dxa"/>
          </w:tcPr>
          <w:p w:rsidR="00FC0D3E" w:rsidRPr="006C1A22" w:rsidRDefault="00FC0D3E" w:rsidP="00FC0D3E">
            <w:pPr>
              <w:rPr>
                <w:sz w:val="20"/>
                <w:szCs w:val="20"/>
              </w:rPr>
            </w:pPr>
            <w:r w:rsidRPr="006C1A22">
              <w:rPr>
                <w:sz w:val="20"/>
                <w:szCs w:val="20"/>
              </w:rPr>
              <w:t>C1:( -18.9,60.6,14)/L/30/2.73;</w:t>
            </w:r>
          </w:p>
          <w:p w:rsidR="00FC0D3E" w:rsidRPr="006C1A22" w:rsidRDefault="00FC0D3E" w:rsidP="00FC0D3E">
            <w:pPr>
              <w:tabs>
                <w:tab w:val="left" w:pos="508"/>
              </w:tabs>
              <w:rPr>
                <w:sz w:val="20"/>
                <w:szCs w:val="20"/>
              </w:rPr>
            </w:pPr>
            <w:r w:rsidRPr="006C1A22">
              <w:rPr>
                <w:sz w:val="20"/>
                <w:szCs w:val="20"/>
              </w:rPr>
              <w:t>C2:(-22.7,47.6,15.5)/L/22/2.58;</w:t>
            </w:r>
          </w:p>
        </w:tc>
      </w:tr>
      <w:tr w:rsidR="00FC0D3E" w:rsidRPr="007F004E" w:rsidTr="00FC0D3E">
        <w:tc>
          <w:tcPr>
            <w:tcW w:w="963" w:type="dxa"/>
            <w:vMerge/>
          </w:tcPr>
          <w:p w:rsidR="00FC0D3E" w:rsidRPr="006C1A22" w:rsidRDefault="00FC0D3E" w:rsidP="00FC0D3E">
            <w:pPr>
              <w:rPr>
                <w:b/>
                <w:sz w:val="22"/>
                <w:szCs w:val="22"/>
              </w:rPr>
            </w:pPr>
          </w:p>
        </w:tc>
        <w:tc>
          <w:tcPr>
            <w:tcW w:w="3802" w:type="dxa"/>
          </w:tcPr>
          <w:p w:rsidR="00FC0D3E" w:rsidRPr="006C1A22" w:rsidRDefault="00FC0D3E" w:rsidP="00FC0D3E">
            <w:pPr>
              <w:rPr>
                <w:sz w:val="20"/>
                <w:szCs w:val="20"/>
              </w:rPr>
            </w:pPr>
            <w:r w:rsidRPr="006C1A22">
              <w:rPr>
                <w:sz w:val="20"/>
                <w:szCs w:val="20"/>
              </w:rPr>
              <w:t>Angular Gyrus</w:t>
            </w:r>
          </w:p>
        </w:tc>
        <w:tc>
          <w:tcPr>
            <w:tcW w:w="3594" w:type="dxa"/>
          </w:tcPr>
          <w:p w:rsidR="00FC0D3E" w:rsidRPr="006C1A22" w:rsidRDefault="00FC0D3E" w:rsidP="00FC0D3E">
            <w:pPr>
              <w:rPr>
                <w:sz w:val="20"/>
                <w:szCs w:val="20"/>
              </w:rPr>
            </w:pPr>
            <w:r w:rsidRPr="006C1A22">
              <w:rPr>
                <w:sz w:val="20"/>
                <w:szCs w:val="20"/>
              </w:rPr>
              <w:t>C1:( -50.2,-58.5,30.9)/L/344/2.97;</w:t>
            </w:r>
          </w:p>
        </w:tc>
      </w:tr>
      <w:tr w:rsidR="00FC0D3E" w:rsidRPr="007F004E" w:rsidTr="00FC0D3E">
        <w:tc>
          <w:tcPr>
            <w:tcW w:w="963" w:type="dxa"/>
            <w:vMerge/>
          </w:tcPr>
          <w:p w:rsidR="00FC0D3E" w:rsidRPr="006C1A22" w:rsidRDefault="00FC0D3E" w:rsidP="00FC0D3E">
            <w:pP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Paracingulate Gyrus</w:t>
            </w:r>
          </w:p>
        </w:tc>
        <w:tc>
          <w:tcPr>
            <w:tcW w:w="3594" w:type="dxa"/>
          </w:tcPr>
          <w:p w:rsidR="00FC0D3E" w:rsidRPr="006C1A22" w:rsidRDefault="00FC0D3E" w:rsidP="00FC0D3E">
            <w:pPr>
              <w:rPr>
                <w:sz w:val="20"/>
                <w:szCs w:val="20"/>
              </w:rPr>
            </w:pPr>
            <w:r w:rsidRPr="006C1A22">
              <w:rPr>
                <w:sz w:val="20"/>
                <w:szCs w:val="20"/>
              </w:rPr>
              <w:t>C1:( -7.88,34.6,30.1)/L/375/3.26;</w:t>
            </w:r>
          </w:p>
        </w:tc>
      </w:tr>
      <w:tr w:rsidR="00FC0D3E" w:rsidRPr="007F004E" w:rsidTr="00FC0D3E">
        <w:tc>
          <w:tcPr>
            <w:tcW w:w="963" w:type="dxa"/>
            <w:vMerge/>
          </w:tcPr>
          <w:p w:rsidR="00FC0D3E" w:rsidRPr="006C1A22" w:rsidRDefault="00FC0D3E" w:rsidP="00FC0D3E">
            <w:pP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Temporal-Occipital Fusiform Cortex</w:t>
            </w:r>
          </w:p>
        </w:tc>
        <w:tc>
          <w:tcPr>
            <w:tcW w:w="3594" w:type="dxa"/>
          </w:tcPr>
          <w:p w:rsidR="00FC0D3E" w:rsidRPr="006C1A22" w:rsidRDefault="00FC0D3E" w:rsidP="00FC0D3E">
            <w:pPr>
              <w:rPr>
                <w:sz w:val="20"/>
                <w:szCs w:val="20"/>
              </w:rPr>
            </w:pPr>
            <w:r w:rsidRPr="006C1A22">
              <w:rPr>
                <w:sz w:val="20"/>
                <w:szCs w:val="20"/>
              </w:rPr>
              <w:t>C1:( 34.6,-42.2,-5.2)/R/20/2.76;</w:t>
            </w:r>
          </w:p>
        </w:tc>
      </w:tr>
      <w:tr w:rsidR="00FC0D3E" w:rsidRPr="007F004E" w:rsidTr="00FC0D3E">
        <w:tc>
          <w:tcPr>
            <w:tcW w:w="963" w:type="dxa"/>
            <w:vMerge/>
          </w:tcPr>
          <w:p w:rsidR="00FC0D3E" w:rsidRPr="006C1A22" w:rsidRDefault="00FC0D3E" w:rsidP="00FC0D3E">
            <w:pP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Intracalcarine Cortex</w:t>
            </w:r>
          </w:p>
        </w:tc>
        <w:tc>
          <w:tcPr>
            <w:tcW w:w="3594" w:type="dxa"/>
          </w:tcPr>
          <w:p w:rsidR="00FC0D3E" w:rsidRPr="006C1A22" w:rsidRDefault="00FC0D3E" w:rsidP="00FC0D3E">
            <w:pPr>
              <w:tabs>
                <w:tab w:val="left" w:pos="399"/>
              </w:tabs>
              <w:rPr>
                <w:sz w:val="20"/>
                <w:szCs w:val="20"/>
              </w:rPr>
            </w:pPr>
            <w:r w:rsidRPr="006C1A22">
              <w:rPr>
                <w:sz w:val="20"/>
                <w:szCs w:val="20"/>
              </w:rPr>
              <w:t>C1:( -21,-77,4.94)/L/37/2.69;</w:t>
            </w:r>
          </w:p>
        </w:tc>
      </w:tr>
      <w:tr w:rsidR="00FC0D3E" w:rsidRPr="007F004E" w:rsidTr="00FC0D3E">
        <w:tc>
          <w:tcPr>
            <w:tcW w:w="963" w:type="dxa"/>
            <w:vMerge/>
          </w:tcPr>
          <w:p w:rsidR="00FC0D3E" w:rsidRPr="006C1A22" w:rsidRDefault="00FC0D3E" w:rsidP="00FC0D3E">
            <w:pP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Occipital Fusiform Gyrus</w:t>
            </w:r>
          </w:p>
        </w:tc>
        <w:tc>
          <w:tcPr>
            <w:tcW w:w="3594" w:type="dxa"/>
          </w:tcPr>
          <w:p w:rsidR="00FC0D3E" w:rsidRPr="006C1A22" w:rsidRDefault="00FC0D3E" w:rsidP="00FC0D3E">
            <w:pPr>
              <w:rPr>
                <w:sz w:val="20"/>
                <w:szCs w:val="20"/>
              </w:rPr>
            </w:pPr>
            <w:r w:rsidRPr="006C1A22">
              <w:rPr>
                <w:sz w:val="20"/>
                <w:szCs w:val="20"/>
              </w:rPr>
              <w:t>C1:( -37,-66.5,-19.2)/L/1260/3.66;</w:t>
            </w:r>
          </w:p>
        </w:tc>
      </w:tr>
      <w:tr w:rsidR="00FC0D3E" w:rsidRPr="007F004E" w:rsidTr="00FC0D3E">
        <w:tc>
          <w:tcPr>
            <w:tcW w:w="963" w:type="dxa"/>
            <w:vMerge/>
          </w:tcPr>
          <w:p w:rsidR="00FC0D3E" w:rsidRPr="006C1A22" w:rsidRDefault="00FC0D3E" w:rsidP="00FC0D3E">
            <w:pPr>
              <w:rPr>
                <w:b/>
                <w:color w:val="000000"/>
                <w:sz w:val="22"/>
                <w:szCs w:val="22"/>
              </w:rPr>
            </w:pPr>
          </w:p>
        </w:tc>
        <w:tc>
          <w:tcPr>
            <w:tcW w:w="3802" w:type="dxa"/>
          </w:tcPr>
          <w:p w:rsidR="00FC0D3E" w:rsidRPr="006C1A22" w:rsidRDefault="00FC0D3E" w:rsidP="00FC0D3E">
            <w:pPr>
              <w:rPr>
                <w:sz w:val="20"/>
                <w:szCs w:val="20"/>
              </w:rPr>
            </w:pPr>
            <w:r w:rsidRPr="006C1A22">
              <w:rPr>
                <w:color w:val="000000"/>
                <w:sz w:val="20"/>
                <w:szCs w:val="20"/>
              </w:rPr>
              <w:t>Occipital Pole</w:t>
            </w:r>
          </w:p>
        </w:tc>
        <w:tc>
          <w:tcPr>
            <w:tcW w:w="3594" w:type="dxa"/>
          </w:tcPr>
          <w:p w:rsidR="00FC0D3E" w:rsidRPr="006C1A22" w:rsidRDefault="00FC0D3E" w:rsidP="00FC0D3E">
            <w:pPr>
              <w:rPr>
                <w:sz w:val="20"/>
                <w:szCs w:val="20"/>
              </w:rPr>
            </w:pPr>
            <w:r w:rsidRPr="006C1A22">
              <w:rPr>
                <w:sz w:val="20"/>
                <w:szCs w:val="20"/>
              </w:rPr>
              <w:t>C1:( 11.6,-90.6,15.1)/R/893/4.03;</w:t>
            </w:r>
          </w:p>
        </w:tc>
      </w:tr>
      <w:tr w:rsidR="00FC0D3E" w:rsidRPr="007F004E" w:rsidTr="00FC0D3E">
        <w:tc>
          <w:tcPr>
            <w:tcW w:w="963" w:type="dxa"/>
            <w:vMerge w:val="restart"/>
            <w:textDirection w:val="btLr"/>
          </w:tcPr>
          <w:p w:rsidR="00FC0D3E" w:rsidRPr="006C1A22" w:rsidRDefault="00FC0D3E" w:rsidP="00FC0D3E">
            <w:pPr>
              <w:ind w:left="113" w:right="113"/>
              <w:jc w:val="center"/>
              <w:rPr>
                <w:b/>
                <w:sz w:val="22"/>
                <w:szCs w:val="22"/>
              </w:rPr>
            </w:pPr>
          </w:p>
          <w:p w:rsidR="00FC0D3E" w:rsidRPr="006C1A22" w:rsidRDefault="00FC0D3E" w:rsidP="00FC0D3E">
            <w:pPr>
              <w:ind w:left="113" w:right="113"/>
              <w:jc w:val="center"/>
              <w:rPr>
                <w:b/>
                <w:color w:val="000000"/>
                <w:sz w:val="22"/>
                <w:szCs w:val="22"/>
              </w:rPr>
            </w:pPr>
            <w:r w:rsidRPr="006C1A22">
              <w:rPr>
                <w:b/>
                <w:sz w:val="22"/>
                <w:szCs w:val="22"/>
              </w:rPr>
              <w:t>Fixation</w:t>
            </w:r>
          </w:p>
        </w:tc>
        <w:tc>
          <w:tcPr>
            <w:tcW w:w="3802" w:type="dxa"/>
          </w:tcPr>
          <w:p w:rsidR="00FC0D3E" w:rsidRPr="006C1A22" w:rsidRDefault="00FC0D3E" w:rsidP="00FC0D3E">
            <w:pPr>
              <w:rPr>
                <w:sz w:val="20"/>
                <w:szCs w:val="20"/>
              </w:rPr>
            </w:pPr>
            <w:r w:rsidRPr="006C1A22">
              <w:rPr>
                <w:sz w:val="20"/>
                <w:szCs w:val="20"/>
              </w:rPr>
              <w:t>Inferior Frontal Gyrus</w:t>
            </w:r>
          </w:p>
        </w:tc>
        <w:tc>
          <w:tcPr>
            <w:tcW w:w="3594" w:type="dxa"/>
          </w:tcPr>
          <w:p w:rsidR="00FC0D3E" w:rsidRPr="006C1A22" w:rsidRDefault="00FC0D3E" w:rsidP="00FC0D3E">
            <w:pPr>
              <w:rPr>
                <w:sz w:val="20"/>
                <w:szCs w:val="20"/>
              </w:rPr>
            </w:pPr>
            <w:r w:rsidRPr="006C1A22">
              <w:rPr>
                <w:sz w:val="20"/>
                <w:szCs w:val="20"/>
              </w:rPr>
              <w:t>C1:(-39.5,25.7,19.9)/L/1614/3.69</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Intracalcarine Cortex</w:t>
            </w:r>
          </w:p>
        </w:tc>
        <w:tc>
          <w:tcPr>
            <w:tcW w:w="3594" w:type="dxa"/>
          </w:tcPr>
          <w:p w:rsidR="00FC0D3E" w:rsidRPr="006C1A22" w:rsidRDefault="00FC0D3E" w:rsidP="00FC0D3E">
            <w:pPr>
              <w:rPr>
                <w:sz w:val="20"/>
                <w:szCs w:val="20"/>
              </w:rPr>
            </w:pPr>
            <w:r w:rsidRPr="006C1A22">
              <w:rPr>
                <w:sz w:val="20"/>
                <w:szCs w:val="20"/>
              </w:rPr>
              <w:t>C1:(4.77,-83.6,8.4)/R/1515/4.19</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Lateral Occipital Cortex Superior</w:t>
            </w:r>
          </w:p>
        </w:tc>
        <w:tc>
          <w:tcPr>
            <w:tcW w:w="3594" w:type="dxa"/>
          </w:tcPr>
          <w:p w:rsidR="00FC0D3E" w:rsidRPr="006C1A22" w:rsidRDefault="00FC0D3E" w:rsidP="00FC0D3E">
            <w:pPr>
              <w:rPr>
                <w:sz w:val="20"/>
                <w:szCs w:val="20"/>
              </w:rPr>
            </w:pPr>
            <w:r w:rsidRPr="006C1A22">
              <w:rPr>
                <w:sz w:val="20"/>
                <w:szCs w:val="20"/>
              </w:rPr>
              <w:t>C1:(-28.6,-65.1,35)/L/1360/4.08</w:t>
            </w:r>
          </w:p>
          <w:p w:rsidR="00FC0D3E" w:rsidRPr="006C1A22" w:rsidRDefault="00FC0D3E" w:rsidP="00FC0D3E">
            <w:pPr>
              <w:rPr>
                <w:sz w:val="20"/>
                <w:szCs w:val="20"/>
              </w:rPr>
            </w:pPr>
            <w:r w:rsidRPr="006C1A22">
              <w:rPr>
                <w:sz w:val="20"/>
                <w:szCs w:val="20"/>
              </w:rPr>
              <w:t>C2:(29,-57.7,53.2)/R/298/3.49;</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Paracingulate Gyrus</w:t>
            </w:r>
          </w:p>
        </w:tc>
        <w:tc>
          <w:tcPr>
            <w:tcW w:w="3594" w:type="dxa"/>
          </w:tcPr>
          <w:p w:rsidR="00FC0D3E" w:rsidRPr="006C1A22" w:rsidRDefault="00FC0D3E" w:rsidP="00FC0D3E">
            <w:pPr>
              <w:rPr>
                <w:sz w:val="20"/>
                <w:szCs w:val="20"/>
              </w:rPr>
            </w:pPr>
            <w:r w:rsidRPr="006C1A22">
              <w:rPr>
                <w:sz w:val="20"/>
                <w:szCs w:val="20"/>
              </w:rPr>
              <w:t>C1:(-6.49,24.9,34.9)/L/1184;</w:t>
            </w:r>
          </w:p>
          <w:p w:rsidR="00FC0D3E" w:rsidRPr="006C1A22" w:rsidRDefault="00FC0D3E" w:rsidP="00FC0D3E">
            <w:pPr>
              <w:tabs>
                <w:tab w:val="center" w:pos="1782"/>
              </w:tabs>
              <w:rPr>
                <w:sz w:val="20"/>
                <w:szCs w:val="20"/>
              </w:rPr>
            </w:pPr>
            <w:r w:rsidRPr="006C1A22">
              <w:rPr>
                <w:sz w:val="20"/>
                <w:szCs w:val="20"/>
              </w:rPr>
              <w:t>C2:(7.92,26.1,34.8)/R/933;</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Insular Cortex</w:t>
            </w:r>
          </w:p>
        </w:tc>
        <w:tc>
          <w:tcPr>
            <w:tcW w:w="3594" w:type="dxa"/>
          </w:tcPr>
          <w:p w:rsidR="00FC0D3E" w:rsidRPr="006C1A22" w:rsidRDefault="00FC0D3E" w:rsidP="00FC0D3E">
            <w:pPr>
              <w:rPr>
                <w:sz w:val="20"/>
                <w:szCs w:val="20"/>
              </w:rPr>
            </w:pPr>
            <w:r w:rsidRPr="006C1A22">
              <w:rPr>
                <w:sz w:val="20"/>
                <w:szCs w:val="20"/>
              </w:rPr>
              <w:t>C1:(</w:t>
            </w:r>
            <w:r w:rsidRPr="006C1A22">
              <w:rPr>
                <w:color w:val="000000"/>
                <w:sz w:val="20"/>
                <w:szCs w:val="20"/>
              </w:rPr>
              <w:t>-34.3,19,0)/L/817/4.67;</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Precentral Gyrus</w:t>
            </w:r>
          </w:p>
        </w:tc>
        <w:tc>
          <w:tcPr>
            <w:tcW w:w="3594" w:type="dxa"/>
          </w:tcPr>
          <w:p w:rsidR="00FC0D3E" w:rsidRPr="006C1A22" w:rsidRDefault="00FC0D3E" w:rsidP="00FC0D3E">
            <w:pPr>
              <w:rPr>
                <w:sz w:val="20"/>
                <w:szCs w:val="20"/>
              </w:rPr>
            </w:pPr>
            <w:r w:rsidRPr="006C1A22">
              <w:rPr>
                <w:sz w:val="20"/>
                <w:szCs w:val="20"/>
              </w:rPr>
              <w:t>C1:(-29.6,-3.51,47.4)/L/54/2.84;</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Lingual Gyrus</w:t>
            </w:r>
          </w:p>
        </w:tc>
        <w:tc>
          <w:tcPr>
            <w:tcW w:w="3594" w:type="dxa"/>
          </w:tcPr>
          <w:p w:rsidR="00FC0D3E" w:rsidRPr="006C1A22" w:rsidRDefault="00FC0D3E" w:rsidP="00FC0D3E">
            <w:pPr>
              <w:rPr>
                <w:sz w:val="20"/>
                <w:szCs w:val="20"/>
              </w:rPr>
            </w:pPr>
            <w:r w:rsidRPr="006C1A22">
              <w:rPr>
                <w:sz w:val="20"/>
                <w:szCs w:val="20"/>
              </w:rPr>
              <w:t>C1:(17.8,-67.9,-3.33)/R/32/2.98;</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Lateral Occipital Cortex  inferior</w:t>
            </w:r>
          </w:p>
        </w:tc>
        <w:tc>
          <w:tcPr>
            <w:tcW w:w="3594" w:type="dxa"/>
          </w:tcPr>
          <w:p w:rsidR="00FC0D3E" w:rsidRPr="006C1A22" w:rsidRDefault="00FC0D3E" w:rsidP="00FC0D3E">
            <w:pPr>
              <w:rPr>
                <w:sz w:val="20"/>
                <w:szCs w:val="20"/>
              </w:rPr>
            </w:pPr>
            <w:r w:rsidRPr="006C1A22">
              <w:rPr>
                <w:sz w:val="20"/>
                <w:szCs w:val="20"/>
              </w:rPr>
              <w:t>C1:(36.3,-77.3,4.46)/R/26/2.92;</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Middle Frontal Gyrus</w:t>
            </w:r>
          </w:p>
        </w:tc>
        <w:tc>
          <w:tcPr>
            <w:tcW w:w="3594" w:type="dxa"/>
          </w:tcPr>
          <w:p w:rsidR="00FC0D3E" w:rsidRPr="006C1A22" w:rsidRDefault="00FC0D3E" w:rsidP="00FC0D3E">
            <w:pPr>
              <w:rPr>
                <w:sz w:val="20"/>
                <w:szCs w:val="20"/>
              </w:rPr>
            </w:pPr>
            <w:r w:rsidRPr="006C1A22">
              <w:rPr>
                <w:sz w:val="20"/>
                <w:szCs w:val="20"/>
              </w:rPr>
              <w:t>C1:(-34.6,0,55.7)/L/18/2.54;</w:t>
            </w:r>
          </w:p>
        </w:tc>
      </w:tr>
      <w:tr w:rsidR="00FC0D3E" w:rsidRPr="007F004E" w:rsidTr="00FC0D3E">
        <w:tc>
          <w:tcPr>
            <w:tcW w:w="963" w:type="dxa"/>
            <w:vMerge/>
          </w:tcPr>
          <w:p w:rsidR="00FC0D3E" w:rsidRPr="006C1A22" w:rsidRDefault="00FC0D3E" w:rsidP="00FC0D3E">
            <w:pPr>
              <w:rPr>
                <w:b/>
                <w:color w:val="000000"/>
                <w:sz w:val="20"/>
                <w:szCs w:val="20"/>
              </w:rPr>
            </w:pPr>
          </w:p>
        </w:tc>
        <w:tc>
          <w:tcPr>
            <w:tcW w:w="3802" w:type="dxa"/>
          </w:tcPr>
          <w:p w:rsidR="00FC0D3E" w:rsidRPr="006C1A22" w:rsidRDefault="00FC0D3E" w:rsidP="00FC0D3E">
            <w:pPr>
              <w:rPr>
                <w:sz w:val="20"/>
                <w:szCs w:val="20"/>
              </w:rPr>
            </w:pPr>
            <w:r w:rsidRPr="006C1A22">
              <w:rPr>
                <w:sz w:val="20"/>
                <w:szCs w:val="20"/>
              </w:rPr>
              <w:t>Superior Frontal Gyrus</w:t>
            </w:r>
          </w:p>
        </w:tc>
        <w:tc>
          <w:tcPr>
            <w:tcW w:w="3594" w:type="dxa"/>
          </w:tcPr>
          <w:p w:rsidR="00FC0D3E" w:rsidRPr="006C1A22" w:rsidRDefault="00FC0D3E" w:rsidP="00FC0D3E">
            <w:pPr>
              <w:rPr>
                <w:sz w:val="20"/>
                <w:szCs w:val="20"/>
              </w:rPr>
            </w:pPr>
            <w:r w:rsidRPr="006C1A22">
              <w:rPr>
                <w:sz w:val="20"/>
                <w:szCs w:val="20"/>
              </w:rPr>
              <w:t>C1:(23.1,22.2,46.9)/R/2.93;</w:t>
            </w:r>
          </w:p>
        </w:tc>
      </w:tr>
      <w:tr w:rsidR="00FC0D3E" w:rsidRPr="007F004E" w:rsidTr="00FC0D3E">
        <w:trPr>
          <w:trHeight w:val="347"/>
        </w:trPr>
        <w:tc>
          <w:tcPr>
            <w:tcW w:w="963" w:type="dxa"/>
            <w:vMerge/>
          </w:tcPr>
          <w:p w:rsidR="00FC0D3E" w:rsidRPr="006C1A22" w:rsidRDefault="00FC0D3E" w:rsidP="00FC0D3E">
            <w:pPr>
              <w:rPr>
                <w:color w:val="000000"/>
                <w:sz w:val="20"/>
                <w:szCs w:val="20"/>
              </w:rPr>
            </w:pPr>
          </w:p>
        </w:tc>
        <w:tc>
          <w:tcPr>
            <w:tcW w:w="3802" w:type="dxa"/>
          </w:tcPr>
          <w:p w:rsidR="00FC0D3E" w:rsidRPr="006C1A22" w:rsidRDefault="00FC0D3E" w:rsidP="00FC0D3E">
            <w:pPr>
              <w:rPr>
                <w:sz w:val="20"/>
                <w:szCs w:val="20"/>
              </w:rPr>
            </w:pPr>
            <w:r w:rsidRPr="006C1A22">
              <w:rPr>
                <w:sz w:val="20"/>
                <w:szCs w:val="20"/>
              </w:rPr>
              <w:t>Superior Parietal Lobule</w:t>
            </w:r>
          </w:p>
        </w:tc>
        <w:tc>
          <w:tcPr>
            <w:tcW w:w="3594" w:type="dxa"/>
          </w:tcPr>
          <w:p w:rsidR="00FC0D3E" w:rsidRPr="006C1A22" w:rsidRDefault="00FC0D3E" w:rsidP="00FC0D3E">
            <w:pPr>
              <w:rPr>
                <w:sz w:val="20"/>
                <w:szCs w:val="20"/>
              </w:rPr>
            </w:pPr>
            <w:r w:rsidRPr="006C1A22">
              <w:rPr>
                <w:sz w:val="20"/>
                <w:szCs w:val="20"/>
              </w:rPr>
              <w:t>C1:(-19,-55.8,57)/L/12/2.21;</w:t>
            </w:r>
          </w:p>
        </w:tc>
      </w:tr>
    </w:tbl>
    <w:p w:rsidR="00D216E9" w:rsidRDefault="00D216E9" w:rsidP="00D216E9">
      <w:pPr>
        <w:spacing w:line="480" w:lineRule="auto"/>
        <w:jc w:val="both"/>
        <w:rPr>
          <w:sz w:val="20"/>
          <w:szCs w:val="20"/>
        </w:rPr>
      </w:pPr>
    </w:p>
    <w:p w:rsidR="00FC0D3E" w:rsidRDefault="00FC0D3E" w:rsidP="006F2BA1">
      <w:pPr>
        <w:spacing w:line="480" w:lineRule="auto"/>
        <w:rPr>
          <w:b/>
          <w:sz w:val="22"/>
          <w:szCs w:val="22"/>
        </w:rPr>
      </w:pPr>
    </w:p>
    <w:p w:rsidR="009927FC" w:rsidRPr="000C29E3" w:rsidRDefault="00D216E9" w:rsidP="006F2BA1">
      <w:pPr>
        <w:spacing w:line="480" w:lineRule="auto"/>
      </w:pPr>
      <w:r w:rsidRPr="000C29E3">
        <w:rPr>
          <w:b/>
        </w:rPr>
        <w:lastRenderedPageBreak/>
        <w:t>ST.2</w:t>
      </w:r>
      <w:r w:rsidR="00476CBA" w:rsidRPr="000C29E3">
        <w:rPr>
          <w:b/>
        </w:rPr>
        <w:t xml:space="preserve">: </w:t>
      </w:r>
      <w:r w:rsidR="00476CBA" w:rsidRPr="000C29E3">
        <w:t>Summary table of the systematic literature review.</w:t>
      </w:r>
    </w:p>
    <w:tbl>
      <w:tblPr>
        <w:tblStyle w:val="TableGrid"/>
        <w:tblW w:w="5000" w:type="pct"/>
        <w:tblLayout w:type="fixed"/>
        <w:tblLook w:val="04A0" w:firstRow="1" w:lastRow="0" w:firstColumn="1" w:lastColumn="0" w:noHBand="0" w:noVBand="1"/>
      </w:tblPr>
      <w:tblGrid>
        <w:gridCol w:w="457"/>
        <w:gridCol w:w="1230"/>
        <w:gridCol w:w="2373"/>
        <w:gridCol w:w="879"/>
        <w:gridCol w:w="1318"/>
        <w:gridCol w:w="1230"/>
        <w:gridCol w:w="1863"/>
      </w:tblGrid>
      <w:tr w:rsidR="009927FC" w:rsidRPr="004F5A11" w:rsidTr="006F2BA1">
        <w:tc>
          <w:tcPr>
            <w:tcW w:w="244" w:type="pct"/>
          </w:tcPr>
          <w:p w:rsidR="009927FC" w:rsidRPr="004F5A11" w:rsidRDefault="009927FC" w:rsidP="006F2BA1">
            <w:pPr>
              <w:jc w:val="center"/>
              <w:rPr>
                <w:b/>
                <w:sz w:val="18"/>
                <w:szCs w:val="18"/>
              </w:rPr>
            </w:pPr>
            <w:r w:rsidRPr="004F5A11">
              <w:rPr>
                <w:b/>
                <w:sz w:val="18"/>
                <w:szCs w:val="18"/>
              </w:rPr>
              <w:t>S.</w:t>
            </w:r>
          </w:p>
          <w:p w:rsidR="009927FC" w:rsidRPr="004F5A11" w:rsidRDefault="009927FC" w:rsidP="006F2BA1">
            <w:pPr>
              <w:jc w:val="center"/>
              <w:rPr>
                <w:b/>
                <w:sz w:val="18"/>
                <w:szCs w:val="18"/>
              </w:rPr>
            </w:pPr>
            <w:r w:rsidRPr="004F5A11">
              <w:rPr>
                <w:b/>
                <w:sz w:val="18"/>
                <w:szCs w:val="18"/>
              </w:rPr>
              <w:t>N.</w:t>
            </w:r>
          </w:p>
        </w:tc>
        <w:tc>
          <w:tcPr>
            <w:tcW w:w="658" w:type="pct"/>
          </w:tcPr>
          <w:p w:rsidR="009927FC" w:rsidRPr="004F5A11" w:rsidRDefault="009927FC" w:rsidP="006F2BA1">
            <w:pPr>
              <w:jc w:val="center"/>
              <w:rPr>
                <w:b/>
                <w:sz w:val="18"/>
                <w:szCs w:val="18"/>
              </w:rPr>
            </w:pPr>
            <w:r w:rsidRPr="004F5A11">
              <w:rPr>
                <w:b/>
                <w:sz w:val="18"/>
                <w:szCs w:val="18"/>
              </w:rPr>
              <w:t>Study</w:t>
            </w:r>
          </w:p>
        </w:tc>
        <w:tc>
          <w:tcPr>
            <w:tcW w:w="1269" w:type="pct"/>
          </w:tcPr>
          <w:p w:rsidR="009927FC" w:rsidRPr="004F5A11" w:rsidRDefault="009927FC" w:rsidP="006F2BA1">
            <w:pPr>
              <w:jc w:val="center"/>
              <w:rPr>
                <w:b/>
                <w:sz w:val="18"/>
                <w:szCs w:val="18"/>
              </w:rPr>
            </w:pPr>
            <w:r w:rsidRPr="004F5A11">
              <w:rPr>
                <w:b/>
                <w:sz w:val="18"/>
                <w:szCs w:val="18"/>
              </w:rPr>
              <w:t>Title</w:t>
            </w:r>
          </w:p>
        </w:tc>
        <w:tc>
          <w:tcPr>
            <w:tcW w:w="470" w:type="pct"/>
          </w:tcPr>
          <w:p w:rsidR="009927FC" w:rsidRPr="004F5A11" w:rsidRDefault="009927FC" w:rsidP="006F2BA1">
            <w:pPr>
              <w:jc w:val="center"/>
              <w:rPr>
                <w:b/>
                <w:sz w:val="18"/>
                <w:szCs w:val="18"/>
              </w:rPr>
            </w:pPr>
            <w:r w:rsidRPr="004F5A11">
              <w:rPr>
                <w:b/>
                <w:sz w:val="18"/>
                <w:szCs w:val="18"/>
              </w:rPr>
              <w:t>Modality used</w:t>
            </w:r>
          </w:p>
        </w:tc>
        <w:tc>
          <w:tcPr>
            <w:tcW w:w="705" w:type="pct"/>
          </w:tcPr>
          <w:p w:rsidR="009927FC" w:rsidRPr="004F5A11" w:rsidRDefault="009927FC" w:rsidP="006F2BA1">
            <w:pPr>
              <w:jc w:val="center"/>
              <w:rPr>
                <w:b/>
                <w:sz w:val="18"/>
                <w:szCs w:val="18"/>
              </w:rPr>
            </w:pPr>
            <w:r w:rsidRPr="004F5A11">
              <w:rPr>
                <w:b/>
                <w:sz w:val="18"/>
                <w:szCs w:val="18"/>
              </w:rPr>
              <w:t>Neural signature/ Method used</w:t>
            </w:r>
          </w:p>
        </w:tc>
        <w:tc>
          <w:tcPr>
            <w:tcW w:w="658" w:type="pct"/>
          </w:tcPr>
          <w:p w:rsidR="009927FC" w:rsidRPr="004F5A11" w:rsidRDefault="009927FC" w:rsidP="006F2BA1">
            <w:pPr>
              <w:jc w:val="center"/>
              <w:rPr>
                <w:b/>
                <w:sz w:val="18"/>
                <w:szCs w:val="18"/>
              </w:rPr>
            </w:pPr>
            <w:r w:rsidRPr="004F5A11">
              <w:rPr>
                <w:b/>
                <w:sz w:val="18"/>
                <w:szCs w:val="18"/>
              </w:rPr>
              <w:t>Task</w:t>
            </w:r>
          </w:p>
        </w:tc>
        <w:tc>
          <w:tcPr>
            <w:tcW w:w="996" w:type="pct"/>
          </w:tcPr>
          <w:p w:rsidR="009927FC" w:rsidRPr="004F5A11" w:rsidRDefault="009927FC" w:rsidP="006F2BA1">
            <w:pPr>
              <w:jc w:val="center"/>
              <w:rPr>
                <w:b/>
                <w:sz w:val="18"/>
                <w:szCs w:val="18"/>
              </w:rPr>
            </w:pPr>
            <w:r w:rsidRPr="004F5A11">
              <w:rPr>
                <w:b/>
                <w:sz w:val="18"/>
                <w:szCs w:val="18"/>
              </w:rPr>
              <w:t>Findings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{"citationItems":[{"id":"ITEM-1","itemData":{"DOI":"10.1109/TNSRE.2006.875550","ISBN":"0001401106","ISSN":"15344320","PMID":"16792287","abstract":"We describe a real-time electroencephalography (EEG)-based brain-computer interface system for triaging imagery presented using rapid serial visual presentation. A target image in a sequence of nontarget distractor images elicits in the EEG a stereotypical spatiotemporal response, which can be detected. A pattern classifier uses this response to reprioritize the image sequence, placing detected targets in the front of an image stack. We use single-trial analysis based on linear discrimination to recover spatial components that reflect differences in EEG activity evoked by target versus nontarget images. We find an optimal set of spatial weights for 59 EEG sensors within a sliding 50-ms time window. Using this simple classifier allows us to process EEG in real time. The detection accuracy across five subjects is on average 92%, i.e., in a sequence of 2500 images, resorting images based on detector output results in 92% of target images being moved from a random position in the sequence to one of the first 250 images (first 10% of the sequence). The approach leverages the highly robust and invariant object recognition capabilities of the human visual system, using single-trial EEG analysis to efficiently detect neural signatures correlated with the recognition event. © 2006 IEEE.","author":[{"dropping-particle":"","family":"Gerson","given":"Adam D.","non-dropping-particle":"","parse-names":false,"suffix":""},{"dropping-particle":"","family":"Parra","given":"Lucas C.","non-dropping-particle":"","parse-names":false,"suffix":""},{"dropping-particle":"","family":"Sajda","given":"Paul","non-dropping-particle":"","parse-names":false,"suffix":""}],"container-title":"IEEE Transactions on Neural Systems and Rehabilitation Engineering","id":"ITEM-1","issue":"2","issued":{"date-parts":[["2006"]]},"page":"174-179","title":"Cortically coupled computer vision for rapid image search","type":"article-journal","volume":"14"},"uris":["http://www.mendeley.com/documents/?uuid=d3054750-f218-4e71-8001-6afb6d1bf3f2"]}],"mendeley":{"formattedCitation":"(Gerson et al., 2006)","plainTextFormattedCitation":"(Gerson et al., 2006)","previouslyFormattedCitation":"(Gerson et al., 2006)"},"properties":{"noteIndex":0},"schema":"https://github.com/citation-style-language/schema/raw/master/csl-citation.json"}</w:instrText>
            </w:r>
            <w:r w:rsidRPr="004F5A11">
              <w:rPr>
                <w:b/>
                <w:sz w:val="18"/>
                <w:szCs w:val="18"/>
              </w:rPr>
              <w:fldChar w:fldCharType="separate"/>
            </w:r>
            <w:r w:rsidRPr="004F5A11">
              <w:rPr>
                <w:b/>
                <w:noProof/>
                <w:sz w:val="18"/>
                <w:szCs w:val="18"/>
              </w:rPr>
              <w:t>(Gerson et al., 2006)</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Cortically coupled computer vision for rapid image search</w:t>
            </w:r>
          </w:p>
        </w:tc>
        <w:tc>
          <w:tcPr>
            <w:tcW w:w="470" w:type="pct"/>
          </w:tcPr>
          <w:p w:rsidR="009927FC" w:rsidRPr="004F5A11" w:rsidRDefault="009927FC" w:rsidP="006F2BA1">
            <w:pPr>
              <w:rPr>
                <w:sz w:val="20"/>
                <w:szCs w:val="20"/>
              </w:rPr>
            </w:pPr>
            <w:r w:rsidRPr="004F5A11">
              <w:rPr>
                <w:sz w:val="20"/>
                <w:szCs w:val="20"/>
              </w:rPr>
              <w:t>EE</w:t>
            </w:r>
            <w:r w:rsidR="001A3210">
              <w:rPr>
                <w:sz w:val="20"/>
                <w:szCs w:val="20"/>
              </w:rPr>
              <w:t>G</w:t>
            </w:r>
          </w:p>
        </w:tc>
        <w:tc>
          <w:tcPr>
            <w:tcW w:w="705" w:type="pct"/>
          </w:tcPr>
          <w:p w:rsidR="009927FC" w:rsidRPr="004F5A11" w:rsidRDefault="009927FC" w:rsidP="006F2BA1">
            <w:pPr>
              <w:rPr>
                <w:sz w:val="20"/>
                <w:szCs w:val="20"/>
              </w:rPr>
            </w:pPr>
            <w:r w:rsidRPr="004F5A11">
              <w:rPr>
                <w:sz w:val="20"/>
                <w:szCs w:val="20"/>
              </w:rPr>
              <w:t>ERP</w:t>
            </w:r>
          </w:p>
        </w:tc>
        <w:tc>
          <w:tcPr>
            <w:tcW w:w="658" w:type="pct"/>
          </w:tcPr>
          <w:p w:rsidR="009927FC" w:rsidRPr="004F5A11" w:rsidRDefault="009927FC" w:rsidP="006F2BA1">
            <w:pPr>
              <w:rPr>
                <w:sz w:val="20"/>
                <w:szCs w:val="20"/>
              </w:rPr>
            </w:pPr>
            <w:r w:rsidRPr="004F5A11">
              <w:rPr>
                <w:sz w:val="20"/>
                <w:szCs w:val="20"/>
              </w:rPr>
              <w:t>Visual Target detection (RSVP)</w:t>
            </w:r>
          </w:p>
        </w:tc>
        <w:tc>
          <w:tcPr>
            <w:tcW w:w="996" w:type="pct"/>
          </w:tcPr>
          <w:p w:rsidR="009927FC" w:rsidRPr="004F5A11" w:rsidRDefault="009927FC" w:rsidP="006F2BA1">
            <w:pPr>
              <w:rPr>
                <w:sz w:val="20"/>
                <w:szCs w:val="20"/>
              </w:rPr>
            </w:pPr>
            <w:r w:rsidRPr="004F5A11">
              <w:rPr>
                <w:sz w:val="20"/>
                <w:szCs w:val="20"/>
              </w:rPr>
              <w:t>Single-trial EEG analysis is an efficient method for identifying the neural signatures.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{"citationItems":[{"id":"ITEM-1","itemData":{"DOI":"10.1109/TNSRE.2008.2003381","ISSN":"15344320","PMID":"18990647","abstract":"We report the design and performance of a brain-computer interface (BCI) system for real-time single-trial binary classification of viewed images based on participant-specific dynamic brain response signatures in high-density (128-channel) electroencephalographic (EEG) data acquired during a rapid serial visual presentation (RSVP) task. Image clips were selected from a broad area image and presented in rapid succession (12/s) in 4.1-s bursts. Participants indicated by subsequent button press whether or not each burst of images included a target airplane feature. Image clip creation and search path selection were designed to maximize user comfort and maintain user awareness of spatial context. Independent component analysis (ICA) was used to extract a set of independent source time-courses and their minimally-redundant low-dimensional informative features in the time and time-frequency amplitude domains from 128-channel EEG data recorded during clip burst presentations in a training session. The naive Bayes fusion of two Fisher discriminant classifiers, computed from the 100 most discriminative time and time-frequency features, respectively, was used to estimate the likelihood that each clip contained a target feature. This estimator was applied online in a subsequent test session. Across eight training/test session pairs from seven participants, median area under the receiver operator characteristic curve, by tenfold cross validation, was 0.97 for within-session and 0.87 for between-session estimates, and was nearly as high (0.83) for targets presented in bursts that participants mistakenly reported to include no target features. © 2006 IEEE.","author":[{"dropping-particle":"","family":"Bigdely-Shamlo","given":"Nima","non-dropping-particle":"","parse-names":false,"suffix":""},{"dropping-particle":"","family":"Vankov","given":"Andrey","non-dropping-particle":"","parse-names":false,"suffix":""},{"dropping-particle":"","family":"Ramirez","given":"Rey R.","non-dropping-particle":"","parse-names":false,"suffix":""},{"dropping-particle":"","family":"Makeig","given":"Scott","non-dropping-particle":"","parse-names":false,"suffix":""}],"container-title":"IEEE Transactions on Neural Systems and Rehabilitation Engineering","id":"ITEM-1","issue":"5","issued":{"date-parts":[["2008"]]},"page":"432-441","title":"Brain activity-based image classification from rapid serial visual presentation","type":"article-journal","volume":"16"},"uris":["http://www.mendeley.com/documents/?uuid=a788c901-446a-432f-bdef-7395aa40bd07"]}],"mendeley":{"formattedCitation":"(Bigdely-Shamlo et al., 2008)","plainTextFormattedCitation":"(Bigdely-Shamlo et al., 2008)","previouslyFormattedCitation":"(Bigdely-Shamlo et al., 2008)"},"properties":{"noteIndex":0},"schema":"https://github.com/citation-style-language/schema/raw/master/csl-citation.json"}</w:instrText>
            </w:r>
            <w:r w:rsidRPr="004F5A11">
              <w:rPr>
                <w:b/>
                <w:sz w:val="18"/>
                <w:szCs w:val="18"/>
              </w:rPr>
              <w:fldChar w:fldCharType="separate"/>
            </w:r>
            <w:r w:rsidRPr="004F5A11">
              <w:rPr>
                <w:b/>
                <w:noProof/>
                <w:sz w:val="18"/>
                <w:szCs w:val="18"/>
              </w:rPr>
              <w:t>(Bigdely-Shamlo et al., 2008)</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Brain activity-based image classification from rapid serial visual presentation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ICA, Fisher LDA</w:t>
            </w:r>
          </w:p>
        </w:tc>
        <w:tc>
          <w:tcPr>
            <w:tcW w:w="658" w:type="pct"/>
          </w:tcPr>
          <w:p w:rsidR="009927FC" w:rsidRPr="004F5A11" w:rsidRDefault="009927FC" w:rsidP="006F2BA1">
            <w:pPr>
              <w:rPr>
                <w:sz w:val="20"/>
                <w:szCs w:val="20"/>
              </w:rPr>
            </w:pPr>
            <w:r w:rsidRPr="004F5A11">
              <w:rPr>
                <w:sz w:val="20"/>
                <w:szCs w:val="20"/>
              </w:rPr>
              <w:t>Visual Target detection</w:t>
            </w:r>
          </w:p>
        </w:tc>
        <w:tc>
          <w:tcPr>
            <w:tcW w:w="996" w:type="pct"/>
          </w:tcPr>
          <w:p w:rsidR="009927FC" w:rsidRPr="004F5A11" w:rsidRDefault="009927FC" w:rsidP="006F2BA1">
            <w:pPr>
              <w:rPr>
                <w:sz w:val="20"/>
                <w:szCs w:val="20"/>
              </w:rPr>
            </w:pPr>
            <w:r w:rsidRPr="004F5A11">
              <w:rPr>
                <w:sz w:val="20"/>
                <w:szCs w:val="20"/>
              </w:rPr>
              <w:t>Efficient for higher RSVP rate and smaller image size.</w:t>
            </w:r>
          </w:p>
        </w:tc>
      </w:tr>
      <w:tr w:rsidR="009927FC" w:rsidRPr="004F5A11" w:rsidTr="006F2BA1">
        <w:tc>
          <w:tcPr>
            <w:tcW w:w="244" w:type="pct"/>
          </w:tcPr>
          <w:p w:rsidR="009927FC" w:rsidRPr="004F5A11" w:rsidRDefault="009927FC" w:rsidP="006F2BA1">
            <w:pPr>
              <w:jc w:val="center"/>
              <w:rPr>
                <w:sz w:val="20"/>
                <w:szCs w:val="20"/>
              </w:rPr>
            </w:pPr>
            <w:bookmarkStart w:id="2" w:name="_Hlk65424899"/>
            <w:r w:rsidRPr="004F5A11">
              <w:rPr>
                <w:sz w:val="20"/>
                <w:szCs w:val="20"/>
              </w:rPr>
              <w:t>3</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{"citationItems":[{"id":"ITEM-1","itemData":{"DOI":"10.1371/journal.pone.0020422","ISSN":"19326203","abstract":"Electroencephalogram (EEG) based brain-computer interfaces (BCI) have been studied since the 1970s. Currently, the main focus of BCI research lies on the clinical use, which aims to provide a new communication channel to patients with motor disabilities to improve their quality of life. However, the BCI technology can also be used to improve human performance for normal healthy users. Although this application has been proposed for a long time, little progress has been made in real-world practices due to technical limits of EEG. To overcome the bottleneck of low single-user BCI performance, this study proposes a collaborative paradigm to improve overall BCI performance by integrating information from multiple users. To test the feasibility of a collaborative BCI, this study quantitatively compares the classification accuracies of collaborative and single-user BCI applied to the EEG data collected from 20 subjects in a movement-planning experiment. This study also explores three different methods for fusing and analyzing EEG data from multiple subjects: (1) Event-related potentials (ERP) averaging, (2) Feature concatenating, and (3) Voting. In a demonstration system using the Voting method, the classification accuracy of predicting movement directions (reaching left vs. reaching right) was enhanced substantially from 66% to 80%, 88%, 93%, and 95% as the numbers of subjects increased from 1 to 5, 10, 15, and 20, respectively. Furthermore, the decision of reaching direction could be made around 100-250 ms earlier than the subject's actual motor response by decoding the ERP activities arising mainly from the posterior parietal cortex (PPC), which are related to the processing of visuomotor transmission. Taken together, these results suggest that a collaborative BCI can effectively fuse brain activities of a group of people to improve the overall performance of natural human behavior. © 2011 Wang, Jung.","author":[{"dropping-particle":"","family":"Wang","given":"Yijun","non-dropping-particle":"","parse-names":false,"suffix":""},{"dropping-particle":"","family":"Jung","given":"Tzyy Ping","non-dropping-particle":"","parse-names":false,"suffix":""}],"container-title":"PLoS ONE","id":"ITEM-1","issue":"5","issued":{"date-parts":[["2011"]]},"title":"A collaborative brain-computer interface for improving human performance","type":"article-journal","volume":"6"},"uris":["http://www.mendeley.com/documents/?uuid=21f7b006-3968-3676-8381-0a084c0bb79c"]}],"mendeley":{"formattedCitation":"(Wang &amp; Jung, 2011)","plainTextFormattedCitation":"(Wang &amp; Jung, 2011)","previouslyFormattedCitation":"(Wang &amp; Jung, 2011)"},"properties":{"noteIndex":0},"schema":"https://github.com/citation-style-language/schema/raw/master/csl-citation.json"}</w:instrText>
            </w:r>
            <w:r w:rsidRPr="004F5A11">
              <w:rPr>
                <w:b/>
                <w:sz w:val="18"/>
                <w:szCs w:val="18"/>
              </w:rPr>
              <w:fldChar w:fldCharType="separate"/>
            </w:r>
            <w:r w:rsidRPr="004F5A11">
              <w:rPr>
                <w:b/>
                <w:noProof/>
                <w:sz w:val="18"/>
                <w:szCs w:val="18"/>
              </w:rPr>
              <w:t>(Wang &amp; Jung, 2011)</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Collaborative Brain-Computer Interface for Improving</w:t>
            </w:r>
          </w:p>
          <w:p w:rsidR="009927FC" w:rsidRPr="004F5A11" w:rsidRDefault="009927FC" w:rsidP="006F2BA1">
            <w:pPr>
              <w:rPr>
                <w:sz w:val="20"/>
                <w:szCs w:val="20"/>
              </w:rPr>
            </w:pPr>
            <w:r w:rsidRPr="004F5A11">
              <w:rPr>
                <w:sz w:val="20"/>
                <w:szCs w:val="20"/>
              </w:rPr>
              <w:t>Human Performance</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 Collaborative BCI</w:t>
            </w:r>
          </w:p>
        </w:tc>
        <w:tc>
          <w:tcPr>
            <w:tcW w:w="658" w:type="pct"/>
          </w:tcPr>
          <w:p w:rsidR="009927FC" w:rsidRPr="004F5A11" w:rsidRDefault="009927FC" w:rsidP="006F2BA1">
            <w:pPr>
              <w:rPr>
                <w:sz w:val="20"/>
                <w:szCs w:val="20"/>
              </w:rPr>
            </w:pPr>
            <w:r w:rsidRPr="004F5A11">
              <w:rPr>
                <w:sz w:val="20"/>
                <w:szCs w:val="20"/>
              </w:rPr>
              <w:t>Delayed saccade task</w:t>
            </w:r>
          </w:p>
        </w:tc>
        <w:tc>
          <w:tcPr>
            <w:tcW w:w="996" w:type="pct"/>
          </w:tcPr>
          <w:p w:rsidR="009927FC" w:rsidRPr="004F5A11" w:rsidRDefault="009927FC" w:rsidP="006F2BA1">
            <w:pPr>
              <w:rPr>
                <w:sz w:val="20"/>
                <w:szCs w:val="20"/>
              </w:rPr>
            </w:pPr>
            <w:r w:rsidRPr="004F5A11">
              <w:rPr>
                <w:sz w:val="20"/>
                <w:szCs w:val="20"/>
              </w:rPr>
              <w:t xml:space="preserve">Improved performance for greater user. </w:t>
            </w:r>
          </w:p>
          <w:p w:rsidR="009927FC" w:rsidRPr="004F5A11" w:rsidRDefault="009927FC" w:rsidP="006F2BA1">
            <w:pPr>
              <w:rPr>
                <w:sz w:val="20"/>
                <w:szCs w:val="20"/>
              </w:rPr>
            </w:pPr>
            <w:r w:rsidRPr="004F5A11">
              <w:rPr>
                <w:sz w:val="20"/>
                <w:szCs w:val="20"/>
              </w:rPr>
              <w:t>Faster estimation over motor response.</w:t>
            </w:r>
          </w:p>
        </w:tc>
      </w:tr>
      <w:bookmarkEnd w:id="2"/>
      <w:tr w:rsidR="009927FC" w:rsidRPr="004F5A11" w:rsidTr="006F2BA1">
        <w:tc>
          <w:tcPr>
            <w:tcW w:w="244" w:type="pct"/>
          </w:tcPr>
          <w:p w:rsidR="009927FC" w:rsidRPr="004F5A11" w:rsidRDefault="009927FC" w:rsidP="006F2BA1">
            <w:pPr>
              <w:jc w:val="center"/>
              <w:rPr>
                <w:sz w:val="20"/>
                <w:szCs w:val="20"/>
              </w:rPr>
            </w:pPr>
            <w:r w:rsidRPr="004F5A11">
              <w:rPr>
                <w:sz w:val="20"/>
                <w:szCs w:val="20"/>
              </w:rPr>
              <w:t>4</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{"citationItems":[{"id":"ITEM-1","itemData":{"DOI":"10.1167/13.3.17","ISSN":"15347362","PMID":"23863335","abstract":"The P300 event-related potential (ERP) can be used to infer whether an observer is looking at a target or not. Common practice in P300 experiments and applications is that observers are asked to fixate their eyes while stimuli are presented. We investigated the possibility to differentiate between single target and nontarget fixations in a target search task involving eye movements by using EEG epochs synchronized to fixation onset (fixation-related potentials: FRPs). Participants systematically scanned search displays consisting of six small Landolt Cs in search of Cs with a particular orientation. After each search display, they indicated whether and where target Cs had been presented. As expected, an FRP component consistent with the P300 reliably distinguished between target and nontarget fixations. It was possible to classify single FRPs into target and nontarget FRPs above chance (on average 62% correct, where 50% would be chance). These results are the first step to practical applications such as covertly monitoring observers' interests and supporting search tasks.","author":[{"dropping-particle":"","family":"Brouwer","given":"Anne Marie","non-dropping-particle":"","parse-names":false,"suffix":""},{"dropping-particle":"","family":"Reuderink","given":"Boris","non-dropping-particle":"","parse-names":false,"suffix":""},{"dropping-particle":"","family":"Vincent","given":"Joris","non-dropping-particle":"","parse-names":false,"suffix":""},{"dropping-particle":"","family":"Gerven","given":"Marcel A.J.","non-dropping-particle":"van","parse-names":false,"suffix":""},{"dropping-particle":"","family":"Erp","given":"Jan B.F.","non-dropping-particle":"van","parse-names":false,"suffix":""}],"container-title":"Journal of vision","id":"ITEM-1","issue":"3","issued":{"date-parts":[["2013"]]},"page":"17","title":"Distinguishing between target and nontarget fixations in a visual search task using fixation-related potentials.","type":"article-journal","volume":"13"},"uris":["http://www.mendeley.com/documents/?uuid=1e212c3e-7e11-4196-8dcf-1a01577b82b6"]}],"mendeley":{"formattedCitation":"(Brouwer et al., 2013)","plainTextFormattedCitation":"(Brouwer et al., 2013)","previouslyFormattedCitation":"(Brouwer et al., 2013)"},"properties":{"noteIndex":0},"schema":"https://github.com/citation-style-language/schema/raw/master/csl-citation.json"}</w:instrText>
            </w:r>
            <w:r w:rsidRPr="004F5A11">
              <w:rPr>
                <w:b/>
                <w:sz w:val="18"/>
                <w:szCs w:val="18"/>
              </w:rPr>
              <w:fldChar w:fldCharType="separate"/>
            </w:r>
            <w:r w:rsidRPr="004F5A11">
              <w:rPr>
                <w:b/>
                <w:noProof/>
                <w:sz w:val="18"/>
                <w:szCs w:val="18"/>
              </w:rPr>
              <w:t>(Brouwer et al., 2013)</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Distinguishing between target and nontarget fixations in a visual search task using fixation-related potentials</w:t>
            </w:r>
          </w:p>
        </w:tc>
        <w:tc>
          <w:tcPr>
            <w:tcW w:w="470" w:type="pct"/>
          </w:tcPr>
          <w:p w:rsidR="009927FC" w:rsidRPr="004F5A11" w:rsidRDefault="009927FC" w:rsidP="006F2BA1">
            <w:pPr>
              <w:rPr>
                <w:sz w:val="20"/>
                <w:szCs w:val="20"/>
              </w:rPr>
            </w:pPr>
            <w:r w:rsidRPr="004F5A11">
              <w:rPr>
                <w:sz w:val="20"/>
                <w:szCs w:val="20"/>
              </w:rPr>
              <w:t>EEG, Eye  tracking</w:t>
            </w:r>
          </w:p>
        </w:tc>
        <w:tc>
          <w:tcPr>
            <w:tcW w:w="705" w:type="pct"/>
          </w:tcPr>
          <w:p w:rsidR="009927FC" w:rsidRPr="004F5A11" w:rsidRDefault="009927FC" w:rsidP="006F2BA1">
            <w:pPr>
              <w:rPr>
                <w:sz w:val="20"/>
                <w:szCs w:val="20"/>
              </w:rPr>
            </w:pPr>
            <w:r w:rsidRPr="004F5A11">
              <w:rPr>
                <w:sz w:val="20"/>
                <w:szCs w:val="20"/>
              </w:rPr>
              <w:t>ERP</w:t>
            </w:r>
          </w:p>
        </w:tc>
        <w:tc>
          <w:tcPr>
            <w:tcW w:w="658" w:type="pct"/>
          </w:tcPr>
          <w:p w:rsidR="009927FC" w:rsidRPr="004F5A11" w:rsidRDefault="009927FC" w:rsidP="006F2BA1">
            <w:pPr>
              <w:rPr>
                <w:sz w:val="20"/>
                <w:szCs w:val="20"/>
              </w:rPr>
            </w:pPr>
            <w:r w:rsidRPr="004F5A11">
              <w:rPr>
                <w:sz w:val="20"/>
                <w:szCs w:val="20"/>
              </w:rPr>
              <w:t>Visual target detection</w:t>
            </w:r>
          </w:p>
        </w:tc>
        <w:tc>
          <w:tcPr>
            <w:tcW w:w="996" w:type="pct"/>
          </w:tcPr>
          <w:p w:rsidR="009927FC" w:rsidRPr="004F5A11" w:rsidRDefault="009927FC" w:rsidP="006F2BA1">
            <w:pPr>
              <w:rPr>
                <w:sz w:val="20"/>
                <w:szCs w:val="20"/>
              </w:rPr>
            </w:pPr>
            <w:r w:rsidRPr="004F5A11">
              <w:rPr>
                <w:sz w:val="20"/>
                <w:szCs w:val="20"/>
              </w:rPr>
              <w:t xml:space="preserve">Target/nontarget FRPs can be distinguished on a single trial level. </w:t>
            </w:r>
          </w:p>
        </w:tc>
      </w:tr>
      <w:tr w:rsidR="009927FC" w:rsidRPr="004F5A11" w:rsidTr="006F2BA1">
        <w:tc>
          <w:tcPr>
            <w:tcW w:w="244" w:type="pct"/>
          </w:tcPr>
          <w:p w:rsidR="009927FC" w:rsidRPr="004F5A11" w:rsidRDefault="009927FC" w:rsidP="006F2BA1">
            <w:pPr>
              <w:jc w:val="center"/>
              <w:rPr>
                <w:sz w:val="20"/>
                <w:szCs w:val="20"/>
                <w:lang w:val="en-GB"/>
              </w:rPr>
            </w:pPr>
            <w:r w:rsidRPr="004F5A11">
              <w:rPr>
                <w:sz w:val="20"/>
                <w:szCs w:val="20"/>
                <w:lang w:val="en-GB"/>
              </w:rPr>
              <w:t>5</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{"citationItems":[{"id":"ITEM-1","itemData":{"DOI":"10.1371/journal.pone.0077755","ISSN":"19326203","PMID":"24302977","abstract":"Brain-computer interfaces (BCIs) are tools for controlling computers and other devices without using muscular activity, employing user-controlled variations in signals recorded from the user's brain. One of the most efficient noninvasive BCIs is based on the P300 wave of the brain's response to stimuli and is therefore referred to as the P300 BCI. Many modifications of this BCI have been proposed to further improve the BCI's characteristics or to better adapt the BCI to various applications. However, in the original P300 BCI and in all of its modifications, the spatial positions of stimuli were fixed relative to each other, which can impose constraints on designing applications controlled by this BCI. We designed and tested a P300 BCI with stimuli presented on objects that were freely moving on a screen at a speed of 5.4°/s. Healthy participants practiced a game-like task with this BCI in either single-trial or triple-trial mode within four sessions. At each step, the participants were required to select one of nine moving objects. The mean online accuracy of BCI-based selection was 81% in the triple-trial mode and 65% in the single-trial mode. A relatively high P300 amplitude was observed in response to targets in most participants. Self-rated interest in the task was high and stable over the four sessions (the medians in the 1st/4th sessions were 79/84% and 76/71% in the groups practicing in the single-trial and triple-trial modes, respectively). We conclude that the movement of stimulus positions relative to each other may not prevent the efficient use of the P300 BCI by people controlling their gaze, e.g., in robotic devices and in video games.","author":[{"dropping-particle":"","family":"Ganin","given":"Ilya P.","non-dropping-particle":"","parse-names":false,"suffix":""},{"dropping-particle":"","family":"Shishkin","given":"Sergei L.","non-dropping-particle":"","parse-names":false,"suffix":""},{"dropping-particle":"","family":"Kaplan","given":"Alexander Y.","non-dropping-particle":"","parse-names":false,"suffix":""}],"container-title":"PLoS ONE","id":"ITEM-1","issue":"10","issued":{"date-parts":[["2013"]]},"page":"1-21","title":"A P300-based brain-computer interface with stimuli on moving objects: Four-session single-trial and triple- trial tests with a game-like task design","type":"article-journal","volume":"8"},"uris":["http://www.mendeley.com/documents/?uuid=273b0fb5-d7bf-40e3-8811-2ee2934d8b11"]}],"mendeley":{"formattedCitation":"(Ganin et al., 2013)","plainTextFormattedCitation":"(Ganin et al., 2013)","previouslyFormattedCitation":"(Ganin et al., 2013)"},"properties":{"noteIndex":0},"schema":"https://github.com/citation-style-language/schema/raw/master/csl-citation.json"}</w:instrText>
            </w:r>
            <w:r w:rsidRPr="004F5A11">
              <w:rPr>
                <w:b/>
                <w:sz w:val="18"/>
                <w:szCs w:val="18"/>
              </w:rPr>
              <w:fldChar w:fldCharType="separate"/>
            </w:r>
            <w:r w:rsidRPr="004F5A11">
              <w:rPr>
                <w:b/>
                <w:noProof/>
                <w:sz w:val="18"/>
                <w:szCs w:val="18"/>
              </w:rPr>
              <w:t>(Ganin et al., 2013)</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P300-based Brain-Computer Interface with Stimuli on Moving Objects: Four-Session Single-Trial and Triple-Trial Tests with a Game-Like Task Design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ERP-P300, Fisher</w:t>
            </w:r>
          </w:p>
          <w:p w:rsidR="009927FC" w:rsidRPr="004F5A11" w:rsidRDefault="009927FC" w:rsidP="006F2BA1">
            <w:pPr>
              <w:rPr>
                <w:sz w:val="20"/>
                <w:szCs w:val="20"/>
              </w:rPr>
            </w:pPr>
            <w:r w:rsidRPr="004F5A11">
              <w:rPr>
                <w:sz w:val="20"/>
                <w:szCs w:val="20"/>
              </w:rPr>
              <w:t>discriminant analysis (LDA)</w:t>
            </w:r>
          </w:p>
        </w:tc>
        <w:tc>
          <w:tcPr>
            <w:tcW w:w="658" w:type="pct"/>
          </w:tcPr>
          <w:p w:rsidR="009927FC" w:rsidRPr="004F5A11" w:rsidRDefault="009927FC" w:rsidP="006F2BA1">
            <w:pPr>
              <w:rPr>
                <w:sz w:val="20"/>
                <w:szCs w:val="20"/>
              </w:rPr>
            </w:pPr>
            <w:r w:rsidRPr="004F5A11">
              <w:rPr>
                <w:sz w:val="20"/>
                <w:szCs w:val="20"/>
              </w:rPr>
              <w:t>Visual oddball paradigm</w:t>
            </w:r>
          </w:p>
        </w:tc>
        <w:tc>
          <w:tcPr>
            <w:tcW w:w="996" w:type="pct"/>
          </w:tcPr>
          <w:p w:rsidR="009927FC" w:rsidRPr="004F5A11" w:rsidRDefault="009927FC" w:rsidP="006F2BA1">
            <w:pPr>
              <w:rPr>
                <w:sz w:val="20"/>
                <w:szCs w:val="20"/>
              </w:rPr>
            </w:pPr>
            <w:r w:rsidRPr="004F5A11">
              <w:rPr>
                <w:sz w:val="20"/>
                <w:szCs w:val="20"/>
              </w:rPr>
              <w:t>The prospective for BCI games/robotics is due to little loss in classification accuracy.</w:t>
            </w:r>
          </w:p>
          <w:p w:rsidR="009927FC" w:rsidRPr="004F5A11" w:rsidRDefault="009927FC" w:rsidP="006F2BA1">
            <w:pPr>
              <w:rPr>
                <w:sz w:val="20"/>
                <w:szCs w:val="20"/>
              </w:rPr>
            </w:pPr>
          </w:p>
        </w:tc>
      </w:tr>
      <w:tr w:rsidR="009927FC" w:rsidRPr="004F5A11" w:rsidTr="006F2BA1">
        <w:trPr>
          <w:trHeight w:val="68"/>
        </w:trPr>
        <w:tc>
          <w:tcPr>
            <w:tcW w:w="244" w:type="pct"/>
          </w:tcPr>
          <w:p w:rsidR="009927FC" w:rsidRPr="004F5A11" w:rsidRDefault="009927FC" w:rsidP="006F2BA1">
            <w:pPr>
              <w:jc w:val="center"/>
              <w:rPr>
                <w:sz w:val="20"/>
                <w:szCs w:val="20"/>
                <w:lang w:val="en-GB"/>
              </w:rPr>
            </w:pPr>
            <w:r w:rsidRPr="004F5A11">
              <w:rPr>
                <w:sz w:val="20"/>
                <w:szCs w:val="20"/>
              </w:rPr>
              <w:t>6</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{"citationItems":[{"id":"ITEM-1","itemData":{"DOI":"10.1140/epjnbp/s40366-015-0027-z","ISSN":"2195-0008","abstract":"A growing population is diagnosed with Attention Deficit Hyperactivity Disorder (ADHD) and are currently being treated with psychostimulants. Brain Computer Interface (BCI) is a method of communicating with an external program or device based on measured electrical signals from the brain. A particular brain signal, the P300 potential, can be measured about 300 ms after a voluntary cognitive involvement to external stimuli. By utilizing the P300 potential, we have designed a BCI- assisted exercising tool targeting attention enhancement within an immersive 3D virtual reality (VR) classroom.","author":[{"dropping-particle":"","family":"Rohani","given":"Darius A.","non-dropping-particle":"","parse-names":false,"suffix":""},{"dropping-particle":"","family":"Puthusserypady","given":"Sadasivan","non-dropping-particle":"","parse-names":false,"suffix":""}],"container-title":"EPJ Nonlinear Biomedical Physics","id":"ITEM-1","issue":"1","issued":{"date-parts":[["2015"]]},"publisher":"EPJ Nonlinear Biomedical Physics","title":"BCI inside a virtual reality classroom: a potential training tool for attention","type":"article-journal","volume":"3"},"uris":["http://www.mendeley.com/documents/?uuid=b7c0e866-cf64-4d8a-ae37-93741a39da71"]}],"mendeley":{"formattedCitation":"(Rohani &amp; Puthusserypady, 2015)","plainTextFormattedCitation":"(Rohani &amp; Puthusserypady, 2015)","previouslyFormattedCitation":"(Rohani &amp; Puthusserypady, 2015)"},"properties":{"noteIndex":0},"schema":"https://github.com/citation-style-language/schema/raw/master/csl-citation.json"}</w:instrText>
            </w:r>
            <w:r w:rsidRPr="004F5A11">
              <w:rPr>
                <w:b/>
                <w:sz w:val="18"/>
                <w:szCs w:val="18"/>
              </w:rPr>
              <w:fldChar w:fldCharType="separate"/>
            </w:r>
            <w:r w:rsidRPr="004F5A11">
              <w:rPr>
                <w:b/>
                <w:noProof/>
                <w:sz w:val="18"/>
                <w:szCs w:val="18"/>
              </w:rPr>
              <w:t>(Rohani &amp; Puthusserypady, 2015)</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BCI inside a virtual reality classroom: a potential training tool for attention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w:t>
            </w:r>
            <w:r w:rsidRPr="004F5A11">
              <w:t xml:space="preserve"> </w:t>
            </w:r>
            <w:r w:rsidRPr="004F5A11">
              <w:rPr>
                <w:sz w:val="20"/>
                <w:szCs w:val="20"/>
              </w:rPr>
              <w:t xml:space="preserve">Nonlinear optimized SVM </w:t>
            </w:r>
          </w:p>
        </w:tc>
        <w:tc>
          <w:tcPr>
            <w:tcW w:w="658" w:type="pct"/>
          </w:tcPr>
          <w:p w:rsidR="009927FC" w:rsidRPr="004F5A11" w:rsidRDefault="009927FC" w:rsidP="006F2BA1">
            <w:pPr>
              <w:rPr>
                <w:sz w:val="20"/>
                <w:szCs w:val="20"/>
              </w:rPr>
            </w:pPr>
            <w:r w:rsidRPr="004F5A11">
              <w:rPr>
                <w:sz w:val="20"/>
                <w:szCs w:val="20"/>
              </w:rPr>
              <w:t>Visual oddball task</w:t>
            </w:r>
          </w:p>
        </w:tc>
        <w:tc>
          <w:tcPr>
            <w:tcW w:w="996" w:type="pct"/>
          </w:tcPr>
          <w:p w:rsidR="009927FC" w:rsidRPr="004F5A11" w:rsidRDefault="009927FC" w:rsidP="006F2BA1">
            <w:pPr>
              <w:rPr>
                <w:sz w:val="20"/>
                <w:szCs w:val="20"/>
              </w:rPr>
            </w:pPr>
            <w:r w:rsidRPr="004F5A11">
              <w:rPr>
                <w:sz w:val="20"/>
                <w:szCs w:val="20"/>
              </w:rPr>
              <w:t>Low error rate.</w:t>
            </w:r>
          </w:p>
        </w:tc>
      </w:tr>
      <w:tr w:rsidR="009927FC" w:rsidRPr="004F5A11" w:rsidTr="006F2BA1">
        <w:trPr>
          <w:trHeight w:val="242"/>
        </w:trPr>
        <w:tc>
          <w:tcPr>
            <w:tcW w:w="244" w:type="pct"/>
          </w:tcPr>
          <w:p w:rsidR="009927FC" w:rsidRPr="004F5A11" w:rsidRDefault="009927FC" w:rsidP="006F2BA1">
            <w:pPr>
              <w:jc w:val="center"/>
              <w:rPr>
                <w:sz w:val="20"/>
                <w:szCs w:val="20"/>
              </w:rPr>
            </w:pPr>
            <w:r w:rsidRPr="004F5A11">
              <w:rPr>
                <w:sz w:val="20"/>
                <w:szCs w:val="20"/>
              </w:rPr>
              <w:t>7</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{"citationItems":[{"id":"ITEM-1","itemData":{"DOI":"10.3390/s16122050","ISSN":"14248220","PMID":"27918413","abstract":"To recognize the user’s motion intention, brain-machine interfaces (BMI) usually decode movements from cortical activity to control exoskeletons and neuroprostheses for daily activities. The aim of this paper is to investigate whether self-induced variations of the electroencephalogram (EEG) can be useful as control signals for an upper-limb exoskeleton developed by us. A BMI based on event-related desynchronization/synchronization (ERD/ERS) is proposed. In the decoder-training phase, we investigate the offline classification performance of left versus right hand and left hand versus both feet by using motor execution (ME) or motor imagery (MI). The results indicate that the accuracies of MEsessions are higher than those of MI sessions, and left hand versus both feet paradigm achieves a better classification performance, which would be used in the online-control phase. In the online-control phase, the trained decoder is tested in two scenarios (wearing or without wearing the exoskeleton). The MI and ME sessions wearing the exoskeleton achieve mean classification accuracy of 84.29% ± 2.11% and 87.37% ± 3.06%, respectively. The present study demonstrates that the proposed BMI is effective to control the upper-limb exoskeleton, and provides a practical method by non-invasive EEG signal associated with human natural behavior for clinical applications.","author":[{"dropping-particle":"","family":"Tang","given":"Zhichuan","non-dropping-particle":"","parse-names":false,"suffix":""},{"dropping-particle":"","family":"Sun","given":"Shouqian","non-dropping-particle":"","parse-names":false,"suffix":""},{"dropping-particle":"","family":"Zhang","given":"Sanyuan","non-dropping-particle":"","parse-names":false,"suffix":""},{"dropping-particle":"","family":"Chen","given":"Yumiao","non-dropping-particle":"","parse-names":false,"suffix":""},{"dropping-particle":"","family":"Li","given":"Chao","non-dropping-particle":"","parse-names":false,"suffix":""},{"dropping-particle":"","family":"Chen","given":"Shi","non-dropping-particle":"","parse-names":false,"suffix":""}],"container-title":"Sensors (Switzerland)","id":"ITEM-1","issue":"12","issued":{"date-parts":[["2016"]]},"page":"1-14","title":"A brain-machine interface based on ERD/ERS for an upper-limb exoskeleton control","type":"article-journal","volume":"16"},"uris":["http://www.mendeley.com/documents/?uuid=8ebad18e-398c-4bc2-894c-c59d9617b28d"]}],"mendeley":{"formattedCitation":"(Tang et al., 2016)","plainTextFormattedCitation":"(Tang et al., 2016)","previouslyFormattedCitation":"(Tang et al., 2016)"},"properties":{"noteIndex":0},"schema":"https://github.com/citation-style-language/schema/raw/master/csl-citation.json"}</w:instrText>
            </w:r>
            <w:r w:rsidRPr="004F5A11">
              <w:rPr>
                <w:b/>
                <w:sz w:val="18"/>
                <w:szCs w:val="18"/>
              </w:rPr>
              <w:fldChar w:fldCharType="separate"/>
            </w:r>
            <w:r w:rsidRPr="004F5A11">
              <w:rPr>
                <w:b/>
                <w:noProof/>
                <w:sz w:val="18"/>
                <w:szCs w:val="18"/>
              </w:rPr>
              <w:t>(Tang et al., 2016)</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Brain-Machine Interface Based on ERD/ERS for an Upper-Limb Exoskeleton control</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T-f analysis, LDA, SVM</w:t>
            </w:r>
          </w:p>
        </w:tc>
        <w:tc>
          <w:tcPr>
            <w:tcW w:w="658" w:type="pct"/>
          </w:tcPr>
          <w:p w:rsidR="009927FC" w:rsidRPr="004F5A11" w:rsidRDefault="009927FC" w:rsidP="006F2BA1">
            <w:pPr>
              <w:rPr>
                <w:sz w:val="20"/>
                <w:szCs w:val="20"/>
              </w:rPr>
            </w:pPr>
            <w:r w:rsidRPr="004F5A11">
              <w:rPr>
                <w:sz w:val="20"/>
                <w:szCs w:val="20"/>
              </w:rPr>
              <w:t>Motor imagery</w:t>
            </w:r>
          </w:p>
        </w:tc>
        <w:tc>
          <w:tcPr>
            <w:tcW w:w="996" w:type="pct"/>
          </w:tcPr>
          <w:p w:rsidR="009927FC" w:rsidRPr="004F5A11" w:rsidRDefault="009927FC" w:rsidP="006F2BA1">
            <w:pPr>
              <w:autoSpaceDE w:val="0"/>
              <w:autoSpaceDN w:val="0"/>
              <w:adjustRightInd w:val="0"/>
              <w:rPr>
                <w:sz w:val="20"/>
                <w:szCs w:val="20"/>
              </w:rPr>
            </w:pPr>
            <w:r w:rsidRPr="004F5A11">
              <w:rPr>
                <w:sz w:val="20"/>
                <w:szCs w:val="20"/>
              </w:rPr>
              <w:t>Greater classification accuracy for exoskeleton during online control phase.</w:t>
            </w:r>
          </w:p>
        </w:tc>
      </w:tr>
      <w:tr w:rsidR="009927FC" w:rsidRPr="004F5A11" w:rsidTr="006F2BA1">
        <w:trPr>
          <w:trHeight w:val="242"/>
        </w:trPr>
        <w:tc>
          <w:tcPr>
            <w:tcW w:w="244" w:type="pct"/>
          </w:tcPr>
          <w:p w:rsidR="009927FC" w:rsidRPr="004F5A11" w:rsidRDefault="009927FC" w:rsidP="006F2BA1">
            <w:pPr>
              <w:jc w:val="center"/>
              <w:rPr>
                <w:sz w:val="20"/>
                <w:szCs w:val="20"/>
              </w:rPr>
            </w:pPr>
            <w:r w:rsidRPr="004F5A11">
              <w:rPr>
                <w:sz w:val="20"/>
                <w:szCs w:val="20"/>
              </w:rPr>
              <w:t>8</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{"citationItems":[{"id":"ITEM-1","itemData":{"DOI":"10.3389/fnins.2017.00302","ISSN":"1662453X","abstract":"Novel neural network training methods (commonly referred to as deep learning) have emerged in recent years. Using a combination of unsupervised pre-training and subsequent fine-tuning, deep neural networks have become one of the most reliable classification methods. Since deep neural networks are especially powerful for high-dimensional and non-linear feature vectors, electroencephalography (EEG) and event-related potentials (ERPs) are one of the promising applications. Furthermore, to the authors' best knowledge, there are very few papers that study deep neural networks for EEG/ERP data. The aim of the experiments subsequently presented was to verify if deep learning-based models can also perform well for single trial P300 classification with possible application to P300-based brain-computer interfaces. The P300 data used were recorded in the EEG/ERP laboratory at the Department of Computer Science and Engineering, University of West Bohemia, and are publicly available. Stacked autoencoders (SAEs) were implemented and compared with some of the currently most reliable state-of-the-art methods, such as LDA and multi-layer perceptron (MLP). The parameters of stacked autoencoders were optimized empirically. The layers were inserted one by one and at the end, the last layer was replaced by a supervised softmax classifier. Subsequently, fine-tuning using backpropagation was performed. The architecture of the neural network was 209-130-100-50-20-2. The classifiers were trained on a dataset merged from four subjects and subsequently tested on different 11 subjects without further training. The trained SAE achieved 69.2% accuracy that was higher (p &lt; 0.01) than the accuracy of MLP (64.9%) and LDA (65.9%). The recall of 58.8% was slightly higher when compared with MLP (56.2%) and LDA (58.4%). Therefore, SAEs could be preferable to other state-of-the-art classifiers for high-dimensional event-related potential feature vectors. 2017 Vareka and Mautner. et al.","author":[{"dropping-particle":"","family":"Vareka","given":"Lukáš","non-dropping-particle":"","parse-names":false,"suffix":""},{"dropping-particle":"","family":"Mautner","given":"Pavel","non-dropping-particle":"","parse-names":false,"suffix":""}],"container-title":"Frontiers in Neuroscience","id":"ITEM-1","issue":"MAY","issued":{"date-parts":[["2017","5","30"]]},"publisher":"Frontiers Media S.A.","title":"Stacked autoencoders for the P300 component detection","type":"article-journal","volume":"11"},"uris":["http://www.mendeley.com/documents/?uuid=2367db50-30d9-3ec3-ac8d-bc90f637f992"]}],"mendeley":{"formattedCitation":"(Vareka &amp; Mautner, 2017)","plainTextFormattedCitation":"(Vareka &amp; Mautner, 2017)","previouslyFormattedCitation":"(Vareka &amp; Mautner, 2017)"},"properties":{"noteIndex":0},"schema":"https://github.com/citation-style-language/schema/raw/master/csl-citation.json"}</w:instrText>
            </w:r>
            <w:r w:rsidRPr="004F5A11">
              <w:rPr>
                <w:b/>
                <w:sz w:val="18"/>
                <w:szCs w:val="18"/>
              </w:rPr>
              <w:fldChar w:fldCharType="separate"/>
            </w:r>
            <w:r w:rsidRPr="004F5A11">
              <w:rPr>
                <w:b/>
                <w:noProof/>
                <w:sz w:val="18"/>
                <w:szCs w:val="18"/>
              </w:rPr>
              <w:t>(Vareka &amp; Mautner, 2017)</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Stacked Autoencoders for the P300 Component Detection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 Stacked autoencoder</w:t>
            </w:r>
          </w:p>
        </w:tc>
        <w:tc>
          <w:tcPr>
            <w:tcW w:w="658" w:type="pct"/>
          </w:tcPr>
          <w:p w:rsidR="009927FC" w:rsidRPr="004F5A11" w:rsidRDefault="009927FC" w:rsidP="006F2BA1">
            <w:pPr>
              <w:rPr>
                <w:sz w:val="20"/>
                <w:szCs w:val="20"/>
              </w:rPr>
            </w:pPr>
            <w:r w:rsidRPr="004F5A11">
              <w:rPr>
                <w:sz w:val="20"/>
                <w:szCs w:val="20"/>
              </w:rPr>
              <w:t>Visual target detection</w:t>
            </w:r>
          </w:p>
        </w:tc>
        <w:tc>
          <w:tcPr>
            <w:tcW w:w="996" w:type="pct"/>
          </w:tcPr>
          <w:p w:rsidR="009927FC" w:rsidRPr="004F5A11" w:rsidRDefault="009927FC" w:rsidP="006F2BA1">
            <w:pPr>
              <w:rPr>
                <w:sz w:val="20"/>
                <w:szCs w:val="20"/>
              </w:rPr>
            </w:pPr>
            <w:r w:rsidRPr="004F5A11">
              <w:rPr>
                <w:sz w:val="20"/>
                <w:szCs w:val="20"/>
              </w:rPr>
              <w:t>Better accuracy of SAE classifier to LDA and MLP in P300 detection.</w:t>
            </w:r>
          </w:p>
        </w:tc>
      </w:tr>
      <w:tr w:rsidR="009927FC" w:rsidRPr="004F5A11" w:rsidTr="006F2BA1">
        <w:trPr>
          <w:trHeight w:val="233"/>
        </w:trPr>
        <w:tc>
          <w:tcPr>
            <w:tcW w:w="244" w:type="pct"/>
          </w:tcPr>
          <w:p w:rsidR="009927FC" w:rsidRPr="004F5A11" w:rsidRDefault="009927FC" w:rsidP="006F2BA1">
            <w:pPr>
              <w:jc w:val="center"/>
              <w:rPr>
                <w:sz w:val="20"/>
                <w:szCs w:val="20"/>
              </w:rPr>
            </w:pPr>
            <w:r w:rsidRPr="004F5A11">
              <w:rPr>
                <w:sz w:val="20"/>
                <w:szCs w:val="20"/>
              </w:rPr>
              <w:t>9</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{"citationItems":[{"id":"ITEM-1","itemData":{"DOI":"10.1016/j.neuroimage.2017.01.030","ISSN":"10959572","PMID":"28131888","abstract":"Using low-frequency time-domain electroencephalographic (EEG) signals we show, for the same type of upper limb movement, that goal-directed movements have different neural correlates than movements without a particular goal. In a reach-and-touch task, we explored the differences in the movement-related cortical potentials (MRCPs) between goal-directed and non-goal-directed movements. We evaluated if the detection of movement intention was influenced by the goal-directedness of the movement. In a single-trial classification procedure we found that classification accuracies are enhanced if there is a goal-directed movement in mind. Furthermore, by using the classifier patterns and estimating the corresponding brain sources, we show the importance of motor areas and the additional involvement of the posterior parietal lobule in the discrimination between goal-directed movements and non-goal-directed movements. We discuss next the potential contribution of our results on goal-directed movements to a more reliable brain-computer interface (BCI) control that facilitates recovery in spinal-cord injured or stroke end-users.","author":[{"dropping-particle":"","family":"Pereira","given":"Joana","non-dropping-particle":"","parse-names":false,"suffix":""},{"dropping-particle":"","family":"Ofner","given":"Patrick","non-dropping-particle":"","parse-names":false,"suffix":""},{"dropping-particle":"","family":"Schwarz","given":"Andreas","non-dropping-particle":"","parse-names":false,"suffix":""},{"dropping-particle":"","family":"Sburlea","given":"Andreea Ioana","non-dropping-particle":"","parse-names":false,"suffix":""},{"dropping-particle":"","family":"Müller-Putz","given":"Gernot R.","non-dropping-particle":"","parse-names":false,"suffix":""}],"container-title":"NeuroImage","id":"ITEM-1","issue":"January","issued":{"date-parts":[["2017"]]},"page":"129-140","publisher":"Elsevier","title":"EEG neural correlates of goal-directed movement intention","type":"article-journal","volume":"149"},"uris":["http://www.mendeley.com/documents/?uuid=bc59f1b8-9a85-4534-a697-d00f82392294"]}],"mendeley":{"formattedCitation":"(Pereira et al., 2017)","plainTextFormattedCitation":"(Pereira et al., 2017)","previouslyFormattedCitation":"(Pereira et al., 2017)"},"properties":{"noteIndex":0},"schema":"https://github.com/citation-style-language/schema/raw/master/csl-citation.json"}</w:instrText>
            </w:r>
            <w:r w:rsidRPr="004F5A11">
              <w:rPr>
                <w:b/>
                <w:sz w:val="18"/>
                <w:szCs w:val="18"/>
              </w:rPr>
              <w:fldChar w:fldCharType="separate"/>
            </w:r>
            <w:r w:rsidRPr="004F5A11">
              <w:rPr>
                <w:b/>
                <w:noProof/>
                <w:sz w:val="18"/>
                <w:szCs w:val="18"/>
              </w:rPr>
              <w:t>(Pereira et al., 2017)</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EEG neural correlates of goal-directed movement intention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MRCP, sLDA</w:t>
            </w:r>
          </w:p>
        </w:tc>
        <w:tc>
          <w:tcPr>
            <w:tcW w:w="658" w:type="pct"/>
          </w:tcPr>
          <w:p w:rsidR="009927FC" w:rsidRPr="004F5A11" w:rsidRDefault="009927FC" w:rsidP="006F2BA1">
            <w:pPr>
              <w:rPr>
                <w:sz w:val="20"/>
                <w:szCs w:val="20"/>
              </w:rPr>
            </w:pPr>
            <w:r w:rsidRPr="004F5A11">
              <w:rPr>
                <w:sz w:val="20"/>
                <w:szCs w:val="20"/>
              </w:rPr>
              <w:t>Reach-and-touch</w:t>
            </w:r>
          </w:p>
          <w:p w:rsidR="009927FC" w:rsidRPr="004F5A11" w:rsidRDefault="009927FC" w:rsidP="006F2BA1">
            <w:pPr>
              <w:rPr>
                <w:sz w:val="20"/>
                <w:szCs w:val="20"/>
              </w:rPr>
            </w:pPr>
            <w:r w:rsidRPr="004F5A11">
              <w:rPr>
                <w:sz w:val="20"/>
                <w:szCs w:val="20"/>
              </w:rPr>
              <w:t>task</w:t>
            </w:r>
          </w:p>
        </w:tc>
        <w:tc>
          <w:tcPr>
            <w:tcW w:w="996" w:type="pct"/>
          </w:tcPr>
          <w:p w:rsidR="009927FC" w:rsidRPr="004F5A11" w:rsidRDefault="009927FC" w:rsidP="006F2BA1">
            <w:pPr>
              <w:rPr>
                <w:sz w:val="20"/>
                <w:szCs w:val="20"/>
              </w:rPr>
            </w:pPr>
            <w:r w:rsidRPr="004F5A11">
              <w:rPr>
                <w:sz w:val="20"/>
                <w:szCs w:val="20"/>
              </w:rPr>
              <w:t xml:space="preserve">Higher MRCP for goal at contralateral, central electrodes. </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10</w:t>
            </w:r>
          </w:p>
        </w:tc>
        <w:tc>
          <w:tcPr>
            <w:tcW w:w="658" w:type="pct"/>
          </w:tcPr>
          <w:p w:rsidR="009927FC" w:rsidRPr="004F5A11" w:rsidRDefault="009927FC" w:rsidP="006F2BA1">
            <w:pPr>
              <w:rPr>
                <w:b/>
                <w:sz w:val="18"/>
                <w:szCs w:val="18"/>
              </w:rPr>
            </w:pPr>
            <w:r w:rsidRPr="004F5A11">
              <w:rPr>
                <w:b/>
                <w:sz w:val="18"/>
                <w:szCs w:val="18"/>
              </w:rPr>
              <w:fldChar w:fldCharType="begin" w:fldLock="1"/>
            </w:r>
            <w:r w:rsidR="00AF7881">
              <w:rPr>
                <w:b/>
                <w:sz w:val="18"/>
                <w:szCs w:val="18"/>
              </w:rPr>
              <w:instrText>ADDIN CSL_CITATION {"citationItems":[{"id":"ITEM-1","itemData":{"DOI":"10.1109/NER.2017.8008412","ISBN":"9781538619162","ISSN":"19483554","abstract":"Target image detection based on rapid serial visual presentation (RSVP) paradigm is a typical brain-computer interface with various applications, such as image retrieval. In an RSVP paradigm, the P300 component is detected to determine the target image, which requires high-precision single-trial P300 detection methods. However, compared to multi-trial P300 detection methods, the performance of single-trial methods are always relatively lower. In this paper, we propose a novel paradigm, triple-RSVP for EEG-based target image detection. In the triple-RSVP, three images appear at the same time, and target image will appear three times, so that multi-trial P300 classification methods can be used to improve the detection accuracy. Experimental results show that the accuracy of the triple-RSVP is superior to standard RSVP (single RSVP) and dual-RSVP (Wilcoxon signed rank test, p&lt;0.05).","author":[{"dropping-particle":"","family":"Lin","given":"Zhimin","non-dropping-particle":"","parse-names":false,"suffix":""},{"dropping-particle":"","family":"Zeng","given":"Ying","non-dropping-particle":"","parse-names":false,"suffix":""},{"dropping-particle":"","family":"Wang","given":"Xiaojuan","non-dropping-particle":"","parse-names":false,"suffix":""},{"dropping-particle":"","family":"Wu","given":"Qunjian","non-dropping-particle":"","parse-names":false,"suffix":""},{"dropping-particle":"","family":"Yan","given":"Bin","non-dropping-particle":"","parse-names":false,"suffix":""}],"container-title":"International IEEE/EMBS Conference on Neural Engineering, NER","id":"ITEM-1","issued":{"date-parts":[["2017"]]},"page":"556-559","title":"Multirapid Serial Visual Presentation Framework for EEG-Based Target Detection","type":"article-journal","volume":"2017"},"uris":["http://www.mendeley.com/documents/?uuid=a92ab236-0ac6-4def-ad8b-0478e7d69c62"]}],"mendeley":{"formattedCitation":"(Lin et al., 2017)","plainTextFormattedCitation":"(Lin et al., 2017)","previouslyFormattedCitation":"(Lin et al., 2017)"},"properties":{"noteIndex":0},"schema":"https://github.com/citation-style-language/schema/raw/master/csl-citation.json"}</w:instrText>
            </w:r>
            <w:r w:rsidRPr="004F5A11">
              <w:rPr>
                <w:b/>
                <w:sz w:val="18"/>
                <w:szCs w:val="18"/>
              </w:rPr>
              <w:fldChar w:fldCharType="separate"/>
            </w:r>
            <w:r w:rsidR="00AF7881" w:rsidRPr="00AF7881">
              <w:rPr>
                <w:noProof/>
                <w:sz w:val="18"/>
                <w:szCs w:val="18"/>
              </w:rPr>
              <w:t>(Lin et al., 2017)</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Multi rapid Serial Visual Presentation Framework for EEG-Based Target Detection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w:t>
            </w:r>
          </w:p>
        </w:tc>
        <w:tc>
          <w:tcPr>
            <w:tcW w:w="658" w:type="pct"/>
          </w:tcPr>
          <w:p w:rsidR="009927FC" w:rsidRPr="004F5A11" w:rsidRDefault="009927FC" w:rsidP="006F2BA1">
            <w:pPr>
              <w:rPr>
                <w:sz w:val="20"/>
                <w:szCs w:val="20"/>
              </w:rPr>
            </w:pPr>
            <w:r w:rsidRPr="004F5A11">
              <w:rPr>
                <w:sz w:val="20"/>
                <w:szCs w:val="20"/>
              </w:rPr>
              <w:t>Visual target detection</w:t>
            </w:r>
          </w:p>
        </w:tc>
        <w:tc>
          <w:tcPr>
            <w:tcW w:w="996" w:type="pct"/>
          </w:tcPr>
          <w:p w:rsidR="009927FC" w:rsidRPr="004F5A11" w:rsidRDefault="009927FC" w:rsidP="006F2BA1">
            <w:pPr>
              <w:rPr>
                <w:sz w:val="20"/>
                <w:szCs w:val="20"/>
              </w:rPr>
            </w:pPr>
            <w:r w:rsidRPr="004F5A11">
              <w:rPr>
                <w:sz w:val="20"/>
                <w:szCs w:val="20"/>
              </w:rPr>
              <w:t>Higher recognition accuracy for multi-RSVP. Improved accuracy for multiple target image.</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lastRenderedPageBreak/>
              <w:t>11</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{"citationItems":[{"id":"ITEM-1","itemData":{"DOI":"10.3389/fnhum.2017.00264","ISSN":"16625161","abstract":"EEG and eye tracking variables are potential sources of information about the underlying processes of target detection and storage during visual search. Fixation duration, pupil size and event related potentials (ERPs) locked to the onset of fixation or saccade (saccade-related potentials, SRPs) have been reported to differ dependent on whether a target or a non-target is currently fixated. Here we focus on the question of whether these variables also differ between targets that are subsequently reported (hits) and targets that are not (misses). Observers were asked to scan 15 locations that were consecutively highlighted for 1 s in pseudo-random order. Highlighted locations displayed either a target or a non-target stimulus with two, three or four targets per trial. After scanning, participants indicated which locations had displayed a target. To induce memory encoding failures, participants concurrently performed an aurally presented math task (high load condition). In a low load condition, participants ignored the math task. As expected, more targets were missed in the high compared with the low load condition. For both conditions, eye tracking features distinguished better between hits and misses than between targets and non-targets (with larger pupil size and shorter fixations for missed compared with correctly encoded targets). In contrast, SRP features distinguished better between targets and non-targets than between hits and misses (with average SRPs showing larger P300 waveforms for targets than for non-targets). Single trial classification results were consistent with these averages. This work suggests complementary contributions of eye and EEG measures in potential applications to support search and detect tasks. SRPs may be useful to monitor what objects are relevant to an observer, and eye variables may indicate whether the observer should be reminded of them later.","author":[{"dropping-particle":"","family":"Brouwer","given":"Anne Marie","non-dropping-particle":"","parse-names":false,"suffix":""},{"dropping-particle":"","family":"Hogervorst","given":"Maarten A.","non-dropping-particle":"","parse-names":false,"suffix":""},{"dropping-particle":"","family":"Oudejans","given":"Bob","non-dropping-particle":"","parse-names":false,"suffix":""},{"dropping-particle":"","family":"Ries","given":"Anthony J.","non-dropping-particle":"","parse-names":false,"suffix":""},{"dropping-particle":"","family":"Touryan","given":"Jonathan","non-dropping-particle":"","parse-names":false,"suffix":""}],"container-title":"Frontiers in Human Neuroscience","id":"ITEM-1","issue":"May","issued":{"date-parts":[["2017"]]},"page":"1-11","title":"EEG and eye tracking signatures of target encoding during structured visual search","type":"article-journal","volume":"11"},"uris":["http://www.mendeley.com/documents/?uuid=6d75ddc0-cbcb-4a36-b089-63028bd965bc"]}],"mendeley":{"formattedCitation":"(Brouwer et al., 2017)","plainTextFormattedCitation":"(Brouwer et al., 2017)","previouslyFormattedCitation":"(Brouwer et al., 2017)"},"properties":{"noteIndex":0},"schema":"https://github.com/citation-style-language/schema/raw/master/csl-citation.json"}</w:instrText>
            </w:r>
            <w:r w:rsidRPr="004F5A11">
              <w:rPr>
                <w:b/>
                <w:sz w:val="18"/>
                <w:szCs w:val="18"/>
              </w:rPr>
              <w:fldChar w:fldCharType="separate"/>
            </w:r>
            <w:r w:rsidRPr="004F5A11">
              <w:rPr>
                <w:b/>
                <w:noProof/>
                <w:sz w:val="18"/>
                <w:szCs w:val="18"/>
              </w:rPr>
              <w:t>(Brouwer et al., 2017)</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EEG and Eye Tracking Signatures of Target Encoding during Structured Visual Search</w:t>
            </w:r>
          </w:p>
        </w:tc>
        <w:tc>
          <w:tcPr>
            <w:tcW w:w="470" w:type="pct"/>
          </w:tcPr>
          <w:p w:rsidR="009927FC" w:rsidRPr="004F5A11" w:rsidRDefault="009927FC" w:rsidP="006F2BA1">
            <w:pPr>
              <w:rPr>
                <w:sz w:val="20"/>
                <w:szCs w:val="20"/>
              </w:rPr>
            </w:pPr>
            <w:r w:rsidRPr="004F5A11">
              <w:rPr>
                <w:sz w:val="20"/>
                <w:szCs w:val="20"/>
              </w:rPr>
              <w:t>EEG, Eye tracking</w:t>
            </w:r>
          </w:p>
        </w:tc>
        <w:tc>
          <w:tcPr>
            <w:tcW w:w="705" w:type="pct"/>
          </w:tcPr>
          <w:p w:rsidR="009927FC" w:rsidRPr="004F5A11" w:rsidRDefault="009927FC" w:rsidP="006F2BA1">
            <w:pPr>
              <w:rPr>
                <w:sz w:val="20"/>
                <w:szCs w:val="20"/>
              </w:rPr>
            </w:pPr>
            <w:r w:rsidRPr="004F5A11">
              <w:rPr>
                <w:sz w:val="20"/>
                <w:szCs w:val="20"/>
              </w:rPr>
              <w:t>ERP-P300, Linear SVM</w:t>
            </w:r>
          </w:p>
        </w:tc>
        <w:tc>
          <w:tcPr>
            <w:tcW w:w="658" w:type="pct"/>
          </w:tcPr>
          <w:p w:rsidR="009927FC" w:rsidRPr="004F5A11" w:rsidRDefault="009927FC" w:rsidP="006F2BA1">
            <w:pPr>
              <w:rPr>
                <w:sz w:val="20"/>
                <w:szCs w:val="20"/>
              </w:rPr>
            </w:pPr>
            <w:r w:rsidRPr="004F5A11">
              <w:rPr>
                <w:sz w:val="20"/>
                <w:szCs w:val="20"/>
              </w:rPr>
              <w:t>Visual target detection, Math task</w:t>
            </w:r>
          </w:p>
        </w:tc>
        <w:tc>
          <w:tcPr>
            <w:tcW w:w="996" w:type="pct"/>
          </w:tcPr>
          <w:p w:rsidR="009927FC" w:rsidRPr="004F5A11" w:rsidRDefault="009927FC" w:rsidP="006F2BA1">
            <w:pPr>
              <w:rPr>
                <w:sz w:val="20"/>
                <w:szCs w:val="20"/>
              </w:rPr>
            </w:pPr>
            <w:r w:rsidRPr="004F5A11">
              <w:rPr>
                <w:sz w:val="20"/>
                <w:szCs w:val="20"/>
              </w:rPr>
              <w:t>Better EEG features using eye tracking to distinguish targets from non-targets.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12</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{"citationItems":[{"id":"ITEM-1","itemData":{"DOI":"10.3389/fnins.2017.00246","ISSN":"1662453X","abstract":"A Brain-Computer Interface (BCI) is a setup permitting the control of external devices by decoding brain activity. Electroencephalography (EEG) has been extensively used for decoding brain activity since it is non-invasive, cheap, portable, and has high temporal resolution to allow real-time operation. Due to its poor spatial specificity, BCIs based on EEG can require extensive training and multiple trials to decode brain activity (consequently slowing down the operation of the BCI). On the other hand, BCIs based on functional magnetic resonance imaging (fMRI) are more accurate owing to its superior spatial resolution and sensitivity to underlying neuronal processes which are functionally localized. However, due to its relatively low temporal resolution, high cost, and lack of portability, fMRI is unlikely to be used for routine BCI. We propose a new approach for transferring the capabilities of fMRI to EEG, which includes simultaneous EEG/fMRI sessions for finding a mapping from EEG to fMRI, followed by a BCI run from only EEG data, but driven by fMRI-like features obtained from the mapping identified previously. Our novel data-driven method is likely to discover latent linkages between electrical and hemodynamic signatures of neural activity hitherto unexplored using model-driven methods, and is likely to serve as a template for a novel multi-modal strategy wherein cross-modal EEG-fMRI interactions are exploited for the operation of a unimodal EEG system, leading to a new generation of EEG-based BCIs.","author":[{"dropping-particle":"","family":"Deshpande","given":"Gopikrishna","non-dropping-particle":"","parse-names":false,"suffix":""},{"dropping-particle":"","family":"Rangaprakash","given":"D.","non-dropping-particle":"","parse-names":false,"suffix":""},{"dropping-particle":"","family":"Oeding","given":"Luke","non-dropping-particle":"","parse-names":false,"suffix":""},{"dropping-particle":"","family":"Cichocki","given":"Andrzej","non-dropping-particle":"","parse-names":false,"suffix":""},{"dropping-particle":"","family":"Hu","given":"Xiaoping P.","non-dropping-particle":"","parse-names":false,"suffix":""}],"container-title":"Frontiers in Neuroscience","id":"ITEM-1","issue":"JUN","issued":{"date-parts":[["2017"]]},"page":"1-13","title":"A new generation of brain-computer interfaces driven by discovery of latent EEG-fMRI linkages using tensor decomposition","type":"article-journal","volume":"11"},"uris":["http://www.mendeley.com/documents/?uuid=95a2f4f0-e2b9-4bb5-a6c6-56ad09e9083d"]}],"mendeley":{"formattedCitation":"(Deshpande et al., 2017)","plainTextFormattedCitation":"(Deshpande et al., 2017)","previouslyFormattedCitation":"(Deshpande et al., 2017)"},"properties":{"noteIndex":0},"schema":"https://github.com/citation-style-language/schema/raw/master/csl-citation.json"}</w:instrText>
            </w:r>
            <w:r w:rsidRPr="004F5A11">
              <w:rPr>
                <w:b/>
                <w:sz w:val="18"/>
                <w:szCs w:val="18"/>
              </w:rPr>
              <w:fldChar w:fldCharType="separate"/>
            </w:r>
            <w:r w:rsidRPr="004F5A11">
              <w:rPr>
                <w:b/>
                <w:noProof/>
                <w:sz w:val="18"/>
                <w:szCs w:val="18"/>
              </w:rPr>
              <w:t>(Deshpande et al., 2017)</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New Generation of Brain-Computer Interfaces Driven by Discovery of Latent EEG-fMRI Linkages Using Tensor Decomposition</w:t>
            </w:r>
          </w:p>
        </w:tc>
        <w:tc>
          <w:tcPr>
            <w:tcW w:w="470" w:type="pct"/>
          </w:tcPr>
          <w:p w:rsidR="009927FC" w:rsidRPr="004F5A11" w:rsidRDefault="009927FC" w:rsidP="006F2BA1">
            <w:pPr>
              <w:rPr>
                <w:sz w:val="20"/>
                <w:szCs w:val="20"/>
              </w:rPr>
            </w:pPr>
            <w:r w:rsidRPr="004F5A11">
              <w:rPr>
                <w:sz w:val="20"/>
                <w:szCs w:val="20"/>
              </w:rPr>
              <w:t>EEG, fMRI</w:t>
            </w:r>
          </w:p>
        </w:tc>
        <w:tc>
          <w:tcPr>
            <w:tcW w:w="705" w:type="pct"/>
          </w:tcPr>
          <w:p w:rsidR="009927FC" w:rsidRPr="004F5A11" w:rsidRDefault="009927FC" w:rsidP="006F2BA1">
            <w:pPr>
              <w:rPr>
                <w:sz w:val="20"/>
                <w:szCs w:val="20"/>
              </w:rPr>
            </w:pPr>
            <w:r w:rsidRPr="004F5A11">
              <w:rPr>
                <w:sz w:val="20"/>
                <w:szCs w:val="20"/>
              </w:rPr>
              <w:t>ERP-P300, SVM</w:t>
            </w:r>
          </w:p>
        </w:tc>
        <w:tc>
          <w:tcPr>
            <w:tcW w:w="658" w:type="pct"/>
          </w:tcPr>
          <w:p w:rsidR="009927FC" w:rsidRPr="004F5A11" w:rsidRDefault="009927FC" w:rsidP="006F2BA1">
            <w:pPr>
              <w:rPr>
                <w:sz w:val="20"/>
                <w:szCs w:val="20"/>
              </w:rPr>
            </w:pPr>
            <w:r w:rsidRPr="004F5A11">
              <w:rPr>
                <w:sz w:val="20"/>
                <w:szCs w:val="20"/>
              </w:rPr>
              <w:t>Speller task</w:t>
            </w:r>
          </w:p>
        </w:tc>
        <w:tc>
          <w:tcPr>
            <w:tcW w:w="996" w:type="pct"/>
          </w:tcPr>
          <w:p w:rsidR="009927FC" w:rsidRPr="004F5A11" w:rsidRDefault="009927FC" w:rsidP="006F2BA1">
            <w:pPr>
              <w:rPr>
                <w:sz w:val="20"/>
                <w:szCs w:val="20"/>
              </w:rPr>
            </w:pPr>
            <w:r w:rsidRPr="004F5A11">
              <w:rPr>
                <w:sz w:val="20"/>
                <w:szCs w:val="20"/>
              </w:rPr>
              <w:t>Latent linkages between electrical and hemodynamic signatures of neural activity, serve as a template.</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13</w:t>
            </w:r>
          </w:p>
        </w:tc>
        <w:tc>
          <w:tcPr>
            <w:tcW w:w="658" w:type="pct"/>
          </w:tcPr>
          <w:p w:rsidR="009927FC" w:rsidRPr="004F5A11" w:rsidRDefault="009927FC" w:rsidP="006F2BA1">
            <w:pPr>
              <w:rPr>
                <w:b/>
                <w:sz w:val="18"/>
                <w:szCs w:val="18"/>
              </w:rPr>
            </w:pPr>
            <w:r w:rsidRPr="004F5A11">
              <w:rPr>
                <w:b/>
                <w:sz w:val="18"/>
                <w:szCs w:val="18"/>
              </w:rPr>
              <w:t>(Shojaedini et al., 2018)</w:t>
            </w:r>
          </w:p>
        </w:tc>
        <w:tc>
          <w:tcPr>
            <w:tcW w:w="1269" w:type="pct"/>
          </w:tcPr>
          <w:p w:rsidR="009927FC" w:rsidRPr="004F5A11" w:rsidRDefault="009927FC" w:rsidP="006F2BA1">
            <w:pPr>
              <w:rPr>
                <w:sz w:val="20"/>
                <w:szCs w:val="20"/>
              </w:rPr>
            </w:pPr>
            <w:r w:rsidRPr="004F5A11">
              <w:rPr>
                <w:sz w:val="20"/>
                <w:szCs w:val="20"/>
              </w:rPr>
              <w:t>A new method for detecting P300 signals by using deep learning: Hyperparameter tuning in high-dimensional space by minimizing nonconvex error function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ERP-P300,  CNN</w:t>
            </w:r>
          </w:p>
        </w:tc>
        <w:tc>
          <w:tcPr>
            <w:tcW w:w="658" w:type="pct"/>
          </w:tcPr>
          <w:p w:rsidR="009927FC" w:rsidRPr="004F5A11" w:rsidRDefault="009927FC" w:rsidP="006F2BA1">
            <w:pPr>
              <w:rPr>
                <w:sz w:val="20"/>
                <w:szCs w:val="20"/>
              </w:rPr>
            </w:pPr>
            <w:r w:rsidRPr="004F5A11">
              <w:rPr>
                <w:sz w:val="20"/>
                <w:szCs w:val="20"/>
              </w:rPr>
              <w:t>Visual target detection</w:t>
            </w:r>
          </w:p>
        </w:tc>
        <w:tc>
          <w:tcPr>
            <w:tcW w:w="996" w:type="pct"/>
          </w:tcPr>
          <w:p w:rsidR="009927FC" w:rsidRPr="004F5A11" w:rsidRDefault="009927FC" w:rsidP="006F2BA1">
            <w:pPr>
              <w:rPr>
                <w:sz w:val="20"/>
                <w:szCs w:val="20"/>
              </w:rPr>
            </w:pPr>
            <w:r w:rsidRPr="004F5A11">
              <w:rPr>
                <w:sz w:val="20"/>
                <w:szCs w:val="20"/>
              </w:rPr>
              <w:t>Minimizes nonconvex error function in high-dimensional space.</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14</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10.1007/s13246-018-0656-5","ISBN":"0123456789","ISSN":"1879-5447","author":[{"dropping-particle":"","family":"Zafar","given":"Raheel","non-dropping-particle":"","parse-names":false,"suffix":""},{"dropping-particle":"","family":"Kamel","given":"Nidal","non-dropping-particle":"","parse-names":false,"suffix":""},{"dropping-particle":"","family":"Naufal","given":"Mohamad","non-dropping-particle":"","parse-names":false,"suffix":""},{"dropping-particle":"","family":"Saeed","given":"Aamir","non-dropping-particle":"","parse-names":false,"suffix":""},{"dropping-particle":"","family":"Sarat","given":"Malik","non-dropping-particle":"","parse-names":false,"suffix":""},{"dropping-particle":"","family":"Rana","given":"C Dass","non-dropping-particle":"","parse-names":false,"suffix":""},{"dropping-particle":"","family":"Ahmad","given":"Fayyaz","non-dropping-particle":"","parse-names":false,"suffix":""}],"container-title":"Australasian Physical &amp; Engineering Sciences in Medicine","id":"ITEM-1","issue":"0","issued":{"date-parts":[["2018"]]},"page":"0","publisher":"Springer Netherlands","title":"A study of decoding human brain activities from simultaneous data of EEG and fMRI using MVPA","type":"article-journal","volume":"0"},"uris":["http://www.mendeley.com/documents/?uuid=910e9574-20e7-4f24-be49-8db64252f087"]}],"mendeley":{"formattedCitation":"(Zafar et al., 2018)","plainTextFormattedCitation":"(Zafar et al., 2018)","previouslyFormattedCitation":"(Zafar et al., 2018)"},"properties":{"noteIndex":0},"schema":"https://github.com/citation-style-language/schema/raw/master/csl-citation.json"}</w:instrText>
            </w:r>
            <w:r w:rsidRPr="004F5A11">
              <w:rPr>
                <w:b/>
                <w:sz w:val="18"/>
                <w:szCs w:val="18"/>
              </w:rPr>
              <w:fldChar w:fldCharType="separate"/>
            </w:r>
            <w:r w:rsidRPr="004F5A11">
              <w:rPr>
                <w:b/>
                <w:noProof/>
                <w:sz w:val="18"/>
                <w:szCs w:val="18"/>
              </w:rPr>
              <w:t>(Zafar et al., 2018)</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study of decoding human brain activities from simultaneous data of EEG and fMRI using MVPA</w:t>
            </w:r>
          </w:p>
        </w:tc>
        <w:tc>
          <w:tcPr>
            <w:tcW w:w="470" w:type="pct"/>
          </w:tcPr>
          <w:p w:rsidR="009927FC" w:rsidRPr="004F5A11" w:rsidRDefault="009927FC" w:rsidP="006F2BA1">
            <w:pPr>
              <w:rPr>
                <w:sz w:val="20"/>
                <w:szCs w:val="20"/>
              </w:rPr>
            </w:pPr>
            <w:r w:rsidRPr="004F5A11">
              <w:rPr>
                <w:sz w:val="20"/>
                <w:szCs w:val="20"/>
              </w:rPr>
              <w:t>EEG, fMRI</w:t>
            </w:r>
          </w:p>
        </w:tc>
        <w:tc>
          <w:tcPr>
            <w:tcW w:w="705" w:type="pct"/>
          </w:tcPr>
          <w:p w:rsidR="009927FC" w:rsidRPr="004F5A11" w:rsidRDefault="009927FC" w:rsidP="006F2BA1">
            <w:pPr>
              <w:rPr>
                <w:sz w:val="20"/>
                <w:szCs w:val="20"/>
              </w:rPr>
            </w:pPr>
            <w:r w:rsidRPr="004F5A11">
              <w:rPr>
                <w:sz w:val="20"/>
                <w:szCs w:val="20"/>
              </w:rPr>
              <w:t>Time-frequency analysis, MVPA,  SVM,</w:t>
            </w:r>
          </w:p>
        </w:tc>
        <w:tc>
          <w:tcPr>
            <w:tcW w:w="658" w:type="pct"/>
          </w:tcPr>
          <w:p w:rsidR="009927FC" w:rsidRPr="004F5A11" w:rsidRDefault="009927FC" w:rsidP="006F2BA1">
            <w:pPr>
              <w:rPr>
                <w:sz w:val="20"/>
                <w:szCs w:val="20"/>
              </w:rPr>
            </w:pPr>
            <w:r w:rsidRPr="004F5A11">
              <w:rPr>
                <w:sz w:val="20"/>
                <w:szCs w:val="20"/>
              </w:rPr>
              <w:t>Image classification task</w:t>
            </w:r>
          </w:p>
        </w:tc>
        <w:tc>
          <w:tcPr>
            <w:tcW w:w="996" w:type="pct"/>
          </w:tcPr>
          <w:p w:rsidR="009927FC" w:rsidRPr="004F5A11" w:rsidRDefault="009927FC" w:rsidP="006F2BA1">
            <w:pPr>
              <w:rPr>
                <w:sz w:val="20"/>
                <w:szCs w:val="20"/>
              </w:rPr>
            </w:pPr>
            <w:r w:rsidRPr="004F5A11">
              <w:rPr>
                <w:sz w:val="20"/>
                <w:szCs w:val="20"/>
              </w:rPr>
              <w:t>EEG showed almost similar accuracy (65.7%) comparable to fMRI (64.16%) using MVPA, t-test and SVM.</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15</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{"citationItems":[{"id":"ITEM-1","itemData":{"DOI":"10.3389/fnhum.2018.00524","ISSN":"16625161","PMID":"30662400","abstract":"A Brain-computer Interface (BCI) can be used as a neurofeedback training tool to improve cognitive performance. BCIs aim to improve the effectiveness and efficiency of the conventional neurofeedback methods by focusing on the self-regulation of individualized neuromarkers rather than generic ones in a graphically appealing training environment. In this work, for the first time, we have modified a widely used P300-based speller BCI and used it as an engaging neurofeedack training game to enhance P300. According to the user's performance the game becomes more difficult in an adaptive manner, requiring the generation of a larger and stronger P300 (i.e., in terms of total energy) in response to target stimuli. Since the P300 is generated naturally without conscious effort in response to a target trial, unlike many rhythm-based neurofeedback tools, the ability to control the proposed P300-based neurofeedback training is obtained after a short calibration without undergoing tedious trial and error sessions. The performance of the proposed neurofeedback training was evaluated over a short time scale (approximately 30 min training) using 28 young adult participants who were randomly assigned to either the experimental group or the control group. In summary, our results show that the proposed P300-based BCI neurofeedback training yielded a significant enhancement in the ERP components of the target trials (i.e., 150–550 ms after the onset of stimuli which includes P300) as well as attenuation in the corresponding ERP components of the non-target trials. In addition, more centro-parietal alpha suppression was observed in the experimental group during the neurofeedback training as well as a post-training spatial attention task. Interestingly, a significant improvement in the response time of a spatial attention task performed immediately after the neurofeedback training was observed in the experimental group. This paper, as a proof-of-concept study, suggests that the proposed neurofeedback training tool is a promising tool for improving attention particularly for those who are at risk of attention deficiency.","author":[{"dropping-particle":"","family":"Arvaneh","given":"Mahnaz","non-dropping-particle":"","parse-names":false,"suffix":""},{"dropping-particle":"","family":"Robertson","given":"Ian H.","non-dropping-particle":"","parse-names":false,"suffix":""},{"dropping-particle":"","family":"Ward","given":"Tomas E.","non-dropping-particle":"","parse-names":false,"suffix":""}],"container-title":"Frontiers in Human Neuroscience","id":"ITEM-1","issued":{"date-parts":[["2019"]]},"title":"A P300-Based Brain-Computer Interface for Improving Attention","type":"article-journal","volume":"12"},"uris":["http://www.mendeley.com/documents/?uuid=d46e0c23-545f-4e51-80f8-eded8f404cd9"]}],"mendeley":{"formattedCitation":"(Arvaneh et al., 2019)","plainTextFormattedCitation":"(Arvaneh et al., 2019)","previouslyFormattedCitation":"(Arvaneh et al., 2019)"},"properties":{"noteIndex":0},"schema":"https://github.com/citation-style-language/schema/raw/master/csl-citation.json"}</w:instrText>
            </w:r>
            <w:r w:rsidRPr="004F5A11">
              <w:rPr>
                <w:b/>
                <w:sz w:val="18"/>
                <w:szCs w:val="18"/>
              </w:rPr>
              <w:fldChar w:fldCharType="separate"/>
            </w:r>
            <w:r w:rsidRPr="004F5A11">
              <w:rPr>
                <w:b/>
                <w:noProof/>
                <w:sz w:val="18"/>
                <w:szCs w:val="18"/>
              </w:rPr>
              <w:t>(Arvaneh et al., 2019)</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P300-Based Brain-Computer Interface for Improving Attention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ERP-P300, T-f analysis, LDA</w:t>
            </w:r>
          </w:p>
        </w:tc>
        <w:tc>
          <w:tcPr>
            <w:tcW w:w="658" w:type="pct"/>
          </w:tcPr>
          <w:p w:rsidR="009927FC" w:rsidRPr="004F5A11" w:rsidRDefault="009927FC" w:rsidP="006F2BA1">
            <w:pPr>
              <w:rPr>
                <w:sz w:val="20"/>
                <w:szCs w:val="20"/>
              </w:rPr>
            </w:pPr>
            <w:r w:rsidRPr="004F5A11">
              <w:rPr>
                <w:sz w:val="20"/>
                <w:szCs w:val="20"/>
              </w:rPr>
              <w:t xml:space="preserve">Random-dot motion, Speller task, </w:t>
            </w:r>
          </w:p>
        </w:tc>
        <w:tc>
          <w:tcPr>
            <w:tcW w:w="996" w:type="pct"/>
          </w:tcPr>
          <w:p w:rsidR="009927FC" w:rsidRPr="004F5A11" w:rsidRDefault="009927FC" w:rsidP="006F2BA1">
            <w:pPr>
              <w:rPr>
                <w:sz w:val="20"/>
                <w:szCs w:val="20"/>
              </w:rPr>
            </w:pPr>
            <w:r w:rsidRPr="004F5A11">
              <w:rPr>
                <w:sz w:val="20"/>
                <w:szCs w:val="20"/>
              </w:rPr>
              <w:t>Enhanced ERP components, improvement in RT in the post-training.</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16</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{"citationItems":[{"id":"ITEM-1","itemData":{"DOI":"10.3389/fnhum.2019.00261","ISSN":"16625161","abstract":"Brain-computer interface (BCI) systems were developed so that people can control computers or machines through their brain activity without moving their limbs. The P300 speller is one of the BCI applications used most commonly, as is very simple and reliable and can achieve satisfactory performance. However, like other BCIs, the P300 speller still has room for improvements in terms of its practical use, for example, selecting the best compromise between spelling accuracy and information transfer rate (ITR; speed) so that the P300 speller can maintain high accuracy while increasing spelling speed. Therefore, seeking correlates of, and predicting, the P300 speller’s performance is necessary to understand and improve the technique. In this work, we investigated the correlations between rapid serial visual presentation (RSVP) task features and the P300 speller’s performance. Fifty-five subjects participated in the RSVP and conventional matrix P300 speller tasks and RSVP behavioral and electroencephalography (EEG) features were compared in the P300’s speller performance. We found that several of the RSVP’s event-related potential (ERP) and behavioral features were correlated with the P300 speller’s offline binary classification accuracy. Using these features, we propose a simple multi-feature performance predictor (r = 0.53, p = 0.0001) that outperforms any single feature performance predictor, including that of the conventional RSVP T1% predictor (r = 0.28, p = 0.06). This result demonstrates that selective multi-features can predict BCI performance better than a single feature alone.","author":[{"dropping-particle":"","family":"Won","given":"Kyungho","non-dropping-particle":"","parse-names":false,"suffix":""},{"dropping-particle":"","family":"Kwon","given":"Moonyoung","non-dropping-particle":"","parse-names":false,"suffix":""},{"dropping-particle":"","family":"Jang","given":"Sehyeon","non-dropping-particle":"","parse-names":false,"suffix":""},{"dropping-particle":"","family":"Ahn","given":"Minkyu","non-dropping-particle":"","parse-names":false,"suffix":""},{"dropping-particle":"","family":"Jun","given":"Sung Chan","non-dropping-particle":"","parse-names":false,"suffix":""}],"container-title":"Frontiers in Human Neuroscience","id":"ITEM-1","issued":{"date-parts":[["2019"]]},"title":"P300 Speller Performance Predictor Based on RSVP Multi-feature","type":"article-journal","volume":"13"},"uris":["http://www.mendeley.com/documents/?uuid=3f90b769-3c8e-4b66-9de3-f2f453b094c3"]}],"mendeley":{"formattedCitation":"(Won et al., 2019)","plainTextFormattedCitation":"(Won et al., 2019)","previouslyFormattedCitation":"(Won et al., 2019)"},"properties":{"noteIndex":0},"schema":"https://github.com/citation-style-language/schema/raw/master/csl-citation.json"}</w:instrText>
            </w:r>
            <w:r w:rsidRPr="004F5A11">
              <w:rPr>
                <w:b/>
                <w:sz w:val="18"/>
                <w:szCs w:val="18"/>
              </w:rPr>
              <w:fldChar w:fldCharType="separate"/>
            </w:r>
            <w:r w:rsidRPr="004F5A11">
              <w:rPr>
                <w:b/>
                <w:noProof/>
                <w:sz w:val="18"/>
                <w:szCs w:val="18"/>
              </w:rPr>
              <w:t>(Won et al., 2019)</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P300 Speller performance Predictor Based on RSVP Multi-feature</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ERP-P300,  multi-feature predictor</w:t>
            </w:r>
          </w:p>
        </w:tc>
        <w:tc>
          <w:tcPr>
            <w:tcW w:w="658" w:type="pct"/>
          </w:tcPr>
          <w:p w:rsidR="009927FC" w:rsidRPr="004F5A11" w:rsidRDefault="009927FC" w:rsidP="006F2BA1">
            <w:pPr>
              <w:rPr>
                <w:sz w:val="20"/>
                <w:szCs w:val="20"/>
              </w:rPr>
            </w:pPr>
            <w:r w:rsidRPr="004F5A11">
              <w:rPr>
                <w:sz w:val="20"/>
                <w:szCs w:val="20"/>
              </w:rPr>
              <w:t>Speller task (RSVP)</w:t>
            </w:r>
          </w:p>
        </w:tc>
        <w:tc>
          <w:tcPr>
            <w:tcW w:w="996" w:type="pct"/>
          </w:tcPr>
          <w:p w:rsidR="009927FC" w:rsidRPr="004F5A11" w:rsidRDefault="009927FC" w:rsidP="006F2BA1">
            <w:pPr>
              <w:rPr>
                <w:sz w:val="20"/>
                <w:szCs w:val="20"/>
              </w:rPr>
            </w:pPr>
            <w:r w:rsidRPr="004F5A11">
              <w:rPr>
                <w:sz w:val="20"/>
                <w:szCs w:val="20"/>
              </w:rPr>
              <w:t>higher predictability than any single feature predictor.</w:t>
            </w:r>
          </w:p>
        </w:tc>
      </w:tr>
      <w:tr w:rsidR="009927FC" w:rsidRPr="004F5A11" w:rsidTr="006F2BA1">
        <w:trPr>
          <w:trHeight w:val="70"/>
        </w:trPr>
        <w:tc>
          <w:tcPr>
            <w:tcW w:w="244" w:type="pct"/>
          </w:tcPr>
          <w:p w:rsidR="009927FC" w:rsidRPr="004F5A11" w:rsidRDefault="009927FC" w:rsidP="006F2BA1">
            <w:pPr>
              <w:jc w:val="center"/>
              <w:rPr>
                <w:sz w:val="20"/>
                <w:szCs w:val="20"/>
              </w:rPr>
            </w:pPr>
            <w:r w:rsidRPr="004F5A11">
              <w:rPr>
                <w:sz w:val="20"/>
                <w:szCs w:val="20"/>
              </w:rPr>
              <w:t>17</w:t>
            </w:r>
          </w:p>
        </w:tc>
        <w:tc>
          <w:tcPr>
            <w:tcW w:w="658" w:type="pct"/>
          </w:tcPr>
          <w:p w:rsidR="009927FC" w:rsidRPr="004F5A11" w:rsidRDefault="009927FC" w:rsidP="006F2BA1">
            <w:pPr>
              <w:rPr>
                <w:b/>
                <w:sz w:val="18"/>
                <w:szCs w:val="18"/>
              </w:rPr>
            </w:pPr>
            <w:r w:rsidRPr="004F5A11">
              <w:rPr>
                <w:b/>
                <w:sz w:val="18"/>
                <w:szCs w:val="18"/>
              </w:rPr>
              <w:fldChar w:fldCharType="begin" w:fldLock="1"/>
            </w:r>
            <w:r w:rsidR="00AF7881">
              <w:rPr>
                <w:b/>
                <w:sz w:val="18"/>
                <w:szCs w:val="18"/>
              </w:rPr>
              <w:instrText>ADDIN CSL_CITATION {"citationItems":[{"id":"ITEM-1","itemData":{"DOI":"10.3390/app10041546","ISSN":"20763417","abstract":"Aiming at enhancing the classification accuracy of P300 Electroencephalogram signals in a non-invasive brain-computer interface system, a novel P300 electroencephalogram signals classification algorithm is proposed which is based on improved convolutional neural network. In the data preprocessing part, the proposed P300 classification algorithm used the Principal Component Analysis algorithm to not only remove the noise and artifacts in the data, but also increase the data processing speed. Furthermore, the proposed P300 classification algorithm employed the parallel convolution method to improve the traditional convolutional neural network framework, which can increase the network depth and improve the network's ability to classify P300 electroencephalogram signals. The proposed algorithm was evaluated by two datasets (the dataset from the competition and the dataset from the laboratory). The results show that, in the dataset I, the proposed P300 classification algorithm could obtain accuracy rates higher than 95%, and achieve one of the best performances in four classification algorithms, while, in the dataset II, the proposed P300 classification algorithm can get accuracy rates higher than 90%, and is superior to the other three algorithms in all ten subjects. These demonstrated the effectiveness of the proposed algorithm. The proposed classification algorithm can be applied in the actual brain-computer interface systems to help people with disability in the daily lives.","author":[{"dropping-particle":"","family":"Li","given":"Feng","non-dropping-particle":"","parse-names":false,"suffix":""},{"dropping-particle":"","family":"Li","given":"Xiaoyu","non-dropping-particle":"","parse-names":false,"suffix":""},{"dropping-particle":"","family":"Wang","given":"Fei","non-dropping-particle":"","parse-names":false,"suffix":""},{"dropping-particle":"","family":"Zhang","given":"Dengyong","non-dropping-particle":"","parse-names":false,"suffix":""},{"dropping-particle":"","family":"Xia","given":"Yi","non-dropping-particle":"","parse-names":false,"suffix":""},{"dropping-particle":"","family":"He","given":"Fan","non-dropping-particle":"","parse-names":false,"suffix":""}],"container-title":"Applied Sciences (Switzerland)","id":"ITEM-1","issue":"4","issued":{"date-parts":[["2020"]]},"page":"1-15","title":"A novel P300 classification algorithm based on a principal component analysis-convolutional neural network","type":"article-journal","volume":"10"},"uris":["http://www.mendeley.com/documents/?uuid=774f2388-20ab-4b60-8eda-8d69c792a284"]}],"mendeley":{"formattedCitation":"(F. Li et al., 2020)","plainTextFormattedCitation":"(F. Li et al., 2020)","previouslyFormattedCitation":"(F. Li et al., 2020)"},"properties":{"noteIndex":0},"schema":"https://github.com/citation-style-language/schema/raw/master/csl-citation.json"}</w:instrText>
            </w:r>
            <w:r w:rsidRPr="004F5A11">
              <w:rPr>
                <w:b/>
                <w:sz w:val="18"/>
                <w:szCs w:val="18"/>
              </w:rPr>
              <w:fldChar w:fldCharType="separate"/>
            </w:r>
            <w:r w:rsidRPr="004F5A11">
              <w:rPr>
                <w:b/>
                <w:noProof/>
                <w:sz w:val="18"/>
                <w:szCs w:val="18"/>
              </w:rPr>
              <w:t>(F. Li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Novel P300 Classification Algorithm Based on a Principal Component Analysis-Convolutional Neural Network</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 PCA, CNN</w:t>
            </w:r>
          </w:p>
        </w:tc>
        <w:tc>
          <w:tcPr>
            <w:tcW w:w="658" w:type="pct"/>
          </w:tcPr>
          <w:p w:rsidR="009927FC" w:rsidRPr="004F5A11" w:rsidRDefault="009927FC" w:rsidP="006F2BA1">
            <w:pPr>
              <w:rPr>
                <w:sz w:val="20"/>
                <w:szCs w:val="20"/>
              </w:rPr>
            </w:pPr>
            <w:r w:rsidRPr="004F5A11">
              <w:rPr>
                <w:sz w:val="20"/>
                <w:szCs w:val="20"/>
              </w:rPr>
              <w:t>Speller task</w:t>
            </w:r>
          </w:p>
        </w:tc>
        <w:tc>
          <w:tcPr>
            <w:tcW w:w="996" w:type="pct"/>
          </w:tcPr>
          <w:p w:rsidR="009927FC" w:rsidRPr="004F5A11" w:rsidRDefault="009927FC" w:rsidP="006F2BA1">
            <w:pPr>
              <w:rPr>
                <w:sz w:val="20"/>
                <w:szCs w:val="20"/>
              </w:rPr>
            </w:pPr>
            <w:r w:rsidRPr="004F5A11">
              <w:rPr>
                <w:sz w:val="20"/>
                <w:szCs w:val="20"/>
              </w:rPr>
              <w:t>PCA-CNN with greater than 90% accuracy rate.</w:t>
            </w:r>
          </w:p>
        </w:tc>
      </w:tr>
      <w:tr w:rsidR="009927FC" w:rsidRPr="004F5A11" w:rsidTr="006F2BA1">
        <w:trPr>
          <w:trHeight w:val="269"/>
        </w:trPr>
        <w:tc>
          <w:tcPr>
            <w:tcW w:w="244" w:type="pct"/>
          </w:tcPr>
          <w:p w:rsidR="009927FC" w:rsidRPr="004F5A11" w:rsidRDefault="009927FC" w:rsidP="006F2BA1">
            <w:pPr>
              <w:jc w:val="center"/>
              <w:rPr>
                <w:sz w:val="20"/>
                <w:szCs w:val="20"/>
              </w:rPr>
            </w:pPr>
            <w:r w:rsidRPr="004F5A11">
              <w:rPr>
                <w:sz w:val="20"/>
                <w:szCs w:val="20"/>
              </w:rPr>
              <w:t>18</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{"citationItems":[{"id":"ITEM-1","itemData":{"DOI":"10.1007/s00500-019-04515-0","ISBN":"0123456789","ISSN":"14337479","abstract":"Neural network (NN) finds role in variety of applications due to combined effect of feature extraction and classification availability in deep learning algorithms. In this paper, we have chosen SVM, logistic regression machine learning algorithms and NN for EEG signal classification. Two-layer LSTM and four-layer improved NN deep learning algorithms are proposed to improve the performance in EEG classification. Novelty lies in one-dimensional gradient descent activation functions with radial basis operations used in the initial layers of improved NN which help in achieving better performance. Statistical features namely mean, standard deviation, kurtosis and skewness are extracted for input EEG collected from Bonn database and then applied for various classification techniques. Accuracy, precision, recall and F1 score are the performance metrics used for analyzing the algorithms. Improved NN and LSTM give better performance compared to all other architectures. The simulations are carried out with variety of activation functions, optimizers and loss models to analyze the performance using Python in keras.","author":[{"dropping-particle":"","family":"Nagabushanam","given":"P.","non-dropping-particle":"","parse-names":false,"suffix":""},{"dropping-particle":"","family":"Thomas George","given":"S.","non-dropping-particle":"","parse-names":false,"suffix":""},{"dropping-particle":"","family":"Radha","given":"S.","non-dropping-particle":"","parse-names":false,"suffix":""}],"container-title":"Soft Computing","id":"ITEM-1","issue":"13","issued":{"date-parts":[["2020"]]},"page":"9981-10003","publisher":"Springer Berlin Heidelberg","title":"EEG signal classification using LSTM and improved neural network algorithms","type":"article-journal","volume":"24"},"uris":["http://www.mendeley.com/documents/?uuid=d8dde588-9dfc-42b2-a869-39c8918894fd"]}],"mendeley":{"formattedCitation":"(Nagabushanam et al., 2020)","plainTextFormattedCitation":"(Nagabushanam et al., 2020)","previouslyFormattedCitation":"(Nagabushanam et al., 2020)"},"properties":{"noteIndex":0},"schema":"https://github.com/citation-style-language/schema/raw/master/csl-citation.json"}</w:instrText>
            </w:r>
            <w:r w:rsidRPr="004F5A11">
              <w:rPr>
                <w:b/>
                <w:sz w:val="18"/>
                <w:szCs w:val="18"/>
              </w:rPr>
              <w:fldChar w:fldCharType="separate"/>
            </w:r>
            <w:r w:rsidRPr="004F5A11">
              <w:rPr>
                <w:b/>
                <w:noProof/>
                <w:sz w:val="18"/>
                <w:szCs w:val="18"/>
              </w:rPr>
              <w:t>(Nagabushanam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EEG signal classification using LSTM and improved neural network</w:t>
            </w:r>
          </w:p>
          <w:p w:rsidR="009927FC" w:rsidRPr="004F5A11" w:rsidRDefault="009927FC" w:rsidP="006F2BA1">
            <w:pPr>
              <w:rPr>
                <w:sz w:val="20"/>
                <w:szCs w:val="20"/>
              </w:rPr>
            </w:pPr>
            <w:r w:rsidRPr="004F5A11">
              <w:rPr>
                <w:sz w:val="20"/>
                <w:szCs w:val="20"/>
              </w:rPr>
              <w:t>algorithms</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LSTM</w:t>
            </w:r>
          </w:p>
        </w:tc>
        <w:tc>
          <w:tcPr>
            <w:tcW w:w="658" w:type="pct"/>
          </w:tcPr>
          <w:p w:rsidR="009927FC" w:rsidRPr="004F5A11" w:rsidRDefault="009927FC" w:rsidP="006F2BA1">
            <w:pPr>
              <w:rPr>
                <w:sz w:val="20"/>
                <w:szCs w:val="20"/>
              </w:rPr>
            </w:pPr>
            <w:r w:rsidRPr="004F5A11">
              <w:rPr>
                <w:sz w:val="20"/>
                <w:szCs w:val="20"/>
              </w:rPr>
              <w:t>Bonn database</w:t>
            </w:r>
          </w:p>
        </w:tc>
        <w:tc>
          <w:tcPr>
            <w:tcW w:w="996" w:type="pct"/>
          </w:tcPr>
          <w:p w:rsidR="009927FC" w:rsidRPr="004F5A11" w:rsidRDefault="009927FC" w:rsidP="006F2BA1">
            <w:pPr>
              <w:rPr>
                <w:sz w:val="20"/>
                <w:szCs w:val="20"/>
              </w:rPr>
            </w:pPr>
            <w:r w:rsidRPr="004F5A11">
              <w:rPr>
                <w:sz w:val="20"/>
                <w:szCs w:val="20"/>
              </w:rPr>
              <w:t>Better performance accuracy with single stage LSTM.</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19</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{"citationItems":[{"id":"ITEM-1","itemData":{"DOI":"10.1007/978-3-030-04021-5_1","ISBN":"9783030040208","ISSN":"16113349","abstract":"The odd ball paradigm is a commonly used approach to develop Brain Computer Interfaces (BCIs). EEG signals have shown to elicit a positive deflection known as the P300 event related potential during odd ball experiments. BCIs based on these experiments rely on detection of the P300 potential. EEG signals are noisy, and therefore P300 detection is performed on an average of multiple trials, thus making them inappropriate for BCI applications. We propose a neural network model based on Convolutional Long Short Term Memory (ConvLSTM) for single trial P300 classification. EEG data encodes both spatial and temporal information using multiple EEG sensors. Convolutional neural networks (CNNs) have been known to capture spatial information whereas LSTMs are known to capture temporal information. Our experiments show that the proposed method outperforms previous CNN based approaches on raw EEG signals. The approaches were evaluated on publicly available dataset II of BCI competition III. Another dataset was recorded locally using audio beeps as stimuli to validate these approaches. The ensemble models based on CNNs and ConvLSTM are also proposed. These models perform better than individual architectures.","author":[{"dropping-particle":"","family":"Joshi","given":"Raviraj","non-dropping-particle":"","parse-names":false,"suffix":""},{"dropping-particle":"","family":"Goel","given":"Purvi","non-dropping-particle":"","parse-names":false,"suffix":""},{"dropping-particle":"","family":"Sur","given":"Mriganka","non-dropping-particle":"","parse-names":false,"suffix":""},{"dropping-particle":"","family":"Murthy","given":"Hema A.","non-dropping-particle":"","parse-names":false,"suffix":""}],"container-title":"Lecture Notes in Computer Science (including subseries Lecture Notes in Artificial Intelligence and Lecture Notes in Bioinformatics)","id":"ITEM-1","issued":{"date-parts":[["2018"]]},"number-of-pages":"3-15","publisher":"Springer International Publishing","title":"Single trial P300 classification using convolutional LSTM and deep learning ensembles method","type":"book","volume":"11278 LNCS"},"uris":["http://www.mendeley.com/documents/?uuid=075fd9ca-f0a4-4067-b05a-23d048a41296"]}],"mendeley":{"formattedCitation":"(Joshi et al., 2018)","plainTextFormattedCitation":"(Joshi et al., 2018)","previouslyFormattedCitation":"(Joshi et al., 2018)"},"properties":{"noteIndex":0},"schema":"https://github.com/citation-style-language/schema/raw/master/csl-citation.json"}</w:instrText>
            </w:r>
            <w:r w:rsidRPr="004F5A11">
              <w:rPr>
                <w:b/>
                <w:sz w:val="18"/>
                <w:szCs w:val="18"/>
              </w:rPr>
              <w:fldChar w:fldCharType="separate"/>
            </w:r>
            <w:r w:rsidRPr="004F5A11">
              <w:rPr>
                <w:b/>
                <w:noProof/>
                <w:sz w:val="18"/>
                <w:szCs w:val="18"/>
              </w:rPr>
              <w:t>(Joshi et al., 2018)</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Single trial P300 classification using learning ensembles method convolutional LSTM and deep</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ConvLSTM</w:t>
            </w:r>
          </w:p>
        </w:tc>
        <w:tc>
          <w:tcPr>
            <w:tcW w:w="658" w:type="pct"/>
          </w:tcPr>
          <w:p w:rsidR="009927FC" w:rsidRPr="004F5A11" w:rsidRDefault="009927FC" w:rsidP="006F2BA1">
            <w:pPr>
              <w:rPr>
                <w:sz w:val="20"/>
                <w:szCs w:val="20"/>
              </w:rPr>
            </w:pPr>
            <w:r w:rsidRPr="004F5A11">
              <w:rPr>
                <w:sz w:val="20"/>
                <w:szCs w:val="20"/>
              </w:rPr>
              <w:t>Oddball  task</w:t>
            </w:r>
          </w:p>
        </w:tc>
        <w:tc>
          <w:tcPr>
            <w:tcW w:w="996" w:type="pct"/>
          </w:tcPr>
          <w:p w:rsidR="009927FC" w:rsidRPr="004F5A11" w:rsidRDefault="009927FC" w:rsidP="006F2BA1">
            <w:pPr>
              <w:rPr>
                <w:sz w:val="20"/>
                <w:szCs w:val="20"/>
              </w:rPr>
            </w:pPr>
            <w:r w:rsidRPr="004F5A11">
              <w:rPr>
                <w:sz w:val="20"/>
                <w:szCs w:val="20"/>
              </w:rPr>
              <w:t>ConvLSTM models the spatio-temporal information well. Better performance with less parameters.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20</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{"citationItems":[{"id":"ITEM-1","itemData":{"DOI":"10.1016/j.jneumeth.2020.108670","ISSN":"1872678X","PMID":"32142909","abstract":"Background: An asynchronous brain-computer interface (BCI) allows subject to freely switch between the working state and the idle state, improving the subject's comfort. However, using only the event-related potential (ERP) to detect these two states is difficult because of the small amplitude of the ERP. Method: Our previous study finds that an odd-ball paradigm could evoke transient visual evoked potentials (TSVEPs) simultaneously with ERPs. This study adopts the TSVEP and the ERP to detect the idle state in the design of an asynchronous TSVEP-ERP-based BCI (T-E BCI). The T-E BCI extracts time and frequency features from brain signals and uses a novel probability-based fisher linear discriminant analysis (P-FLDA) to combine the classification results of the ERP and the TSVEP. Result: Ten subjects perform visual speller and video watching experiments, and their brain signals are measured under the working and idle states. The main results show that the T-E BCI achieves a higher accuracy than the ERP-based BCI when judging the subject's intentions and the two states. The P-FLDA performs better than the FLDA in combining the classification results. Conclusions: The study demonstrates that adding the TSVEP can substantially reduce the number of wrongly detected trials. The T-E BCI provides a new way of designing an asynchronous BCI without adding any additional visual stimuli, which makes the BCI more practical.","author":[{"dropping-particle":"","family":"Gong","given":"Minghong","non-dropping-particle":"","parse-names":false,"suffix":""},{"dropping-particle":"","family":"Xu","given":"Guizhi","non-dropping-particle":"","parse-names":false,"suffix":""},{"dropping-particle":"","family":"Li","given":"Mengfan","non-dropping-particle":"","parse-names":false,"suffix":""},{"dropping-particle":"","family":"Lin","given":"Fang","non-dropping-particle":"","parse-names":false,"suffix":""}],"container-title":"Journal of Neuroscience Methods","id":"ITEM-1","issue":"March","issued":{"date-parts":[["2020"]]},"page":"108670","publisher":"Elsevier","title":"An idle state-detecting method based on transient visual evoked potentials for an asynchronous ERP-based BCI","type":"article-journal","volume":"337"},"uris":["http://www.mendeley.com/documents/?uuid=afa95b0a-1c8c-4cf2-aa9c-4a965669b2cc"]}],"mendeley":{"formattedCitation":"(Gong et al., 2020)","plainTextFormattedCitation":"(Gong et al., 2020)","previouslyFormattedCitation":"(Gong et al., 2020)"},"properties":{"noteIndex":0},"schema":"https://github.com/citation-style-language/schema/raw/master/csl-citation.json"}</w:instrText>
            </w:r>
            <w:r w:rsidRPr="004F5A11">
              <w:rPr>
                <w:b/>
                <w:sz w:val="18"/>
                <w:szCs w:val="18"/>
              </w:rPr>
              <w:fldChar w:fldCharType="separate"/>
            </w:r>
            <w:r w:rsidRPr="004F5A11">
              <w:rPr>
                <w:b/>
                <w:noProof/>
                <w:sz w:val="18"/>
                <w:szCs w:val="18"/>
              </w:rPr>
              <w:t>(Gong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An idle state-detecting method based on transient visual evoked potentials for an asynchronous ERP-based BCI</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ERP-P300, VEP, Probability-based fisher LDA</w:t>
            </w:r>
          </w:p>
        </w:tc>
        <w:tc>
          <w:tcPr>
            <w:tcW w:w="658" w:type="pct"/>
          </w:tcPr>
          <w:p w:rsidR="009927FC" w:rsidRPr="004F5A11" w:rsidRDefault="009927FC" w:rsidP="006F2BA1">
            <w:pPr>
              <w:rPr>
                <w:sz w:val="20"/>
                <w:szCs w:val="20"/>
              </w:rPr>
            </w:pPr>
            <w:r w:rsidRPr="004F5A11">
              <w:rPr>
                <w:sz w:val="20"/>
                <w:szCs w:val="20"/>
              </w:rPr>
              <w:t>Visual oddball paradigm</w:t>
            </w:r>
          </w:p>
        </w:tc>
        <w:tc>
          <w:tcPr>
            <w:tcW w:w="996" w:type="pct"/>
          </w:tcPr>
          <w:p w:rsidR="009927FC" w:rsidRPr="004F5A11" w:rsidRDefault="009927FC" w:rsidP="006F2BA1">
            <w:pPr>
              <w:rPr>
                <w:sz w:val="20"/>
                <w:szCs w:val="20"/>
              </w:rPr>
            </w:pPr>
            <w:r w:rsidRPr="004F5A11">
              <w:rPr>
                <w:sz w:val="20"/>
                <w:szCs w:val="20"/>
              </w:rPr>
              <w:t xml:space="preserve">Improvement of P-FLDA over the FLDA due to ERP-VEP integration. </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21</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{"citationItems":[{"id":"ITEM-1","itemData":{"DOI":"10.1038/s41598-020-59222-w","ISSN":"20452322","PMID":"32034277","abstract":"Brain–computer interfaces (BCIs) allow control of various applications or external devices solely by brain activity, e.g., measured by electroencephalography during motor imagery. Many users are unable to modulate their brain activity sufficiently in order to control a BCI. Most of the studies have been focusing on improving the accuracy of BCI control through advances in signal processing and BCI protocol modification. However, some research suggests that motor skills and physiological factors may affect BCI performance as well. Previous studies have indicated that there is differential lateralization of hand movements’ neural representation in right- and left-handed individuals. However, the effects of handedness on sensorimotor rhythm (SMR) distribution and BCI control have not been investigated in detail yet. Our study aims to fill this gap, by comparing the SMR patterns during motor imagery and real-feedback BCI control in right- (N = 20) and left-handers (N = 20). The results of our study show that the lateralization of SMR during a motor imagery task differs according to handedness. Left-handers present lower accuracy during BCI performance (single session) and weaker SMR suppression in the alpha band (8–13 Hz) during mental simulation of left-hand movements. Consequently, to improve BCI control, the user’s training should take into account individual differences in hand dominance.","author":[{"dropping-particle":"","family":"Zapała","given":"Dariusz","non-dropping-particle":"","parse-names":false,"suffix":""},{"dropping-particle":"","family":"Zabielska-Mendyk","given":"Emilia","non-dropping-particle":"","parse-names":false,"suffix":""},{"dropping-particle":"","family":"Augustynowicz","given":"Paweł","non-dropping-particle":"","parse-names":false,"suffix":""},{"dropping-particle":"","family":"Cudo","given":"Andrzej","non-dropping-particle":"","parse-names":false,"suffix":""},{"dropping-particle":"","family":"Jaśkiewicz","given":"Marta","non-dropping-particle":"","parse-names":false,"suffix":""},{"dropping-particle":"","family":"Szewczyk","given":"Marta","non-dropping-particle":"","parse-names":false,"suffix":""},{"dropping-particle":"","family":"Kopiś","given":"Natalia","non-dropping-particle":"","parse-names":false,"suffix":""},{"dropping-particle":"","family":"Francuz","given":"Piotr","non-dropping-particle":"","parse-names":false,"suffix":""}],"container-title":"Scientific Reports","id":"ITEM-1","issue":"1","issued":{"date-parts":[["2020"]]},"page":"1-11","title":"The effects of handedness on sensorimotor rhythm desynchronization and motor-imagery BCI control","type":"article-journal","volume":"10"},"uris":["http://www.mendeley.com/documents/?uuid=90050c16-ddfc-4002-a556-a864f058b57d"]}],"mendeley":{"formattedCitation":"(Zapała et al., 2020)","plainTextFormattedCitation":"(Zapała et al., 2020)","previouslyFormattedCitation":"(Zapała et al., 2020)"},"properties":{"noteIndex":0},"schema":"https://github.com/citation-style-language/schema/raw/master/csl-citation.json"}</w:instrText>
            </w:r>
            <w:r w:rsidRPr="004F5A11">
              <w:rPr>
                <w:b/>
                <w:sz w:val="18"/>
                <w:szCs w:val="18"/>
              </w:rPr>
              <w:fldChar w:fldCharType="separate"/>
            </w:r>
            <w:r w:rsidRPr="004F5A11">
              <w:rPr>
                <w:b/>
                <w:noProof/>
                <w:sz w:val="18"/>
                <w:szCs w:val="18"/>
              </w:rPr>
              <w:t>(Zapała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The effects of handedness</w:t>
            </w:r>
          </w:p>
          <w:p w:rsidR="009927FC" w:rsidRPr="004F5A11" w:rsidRDefault="009927FC" w:rsidP="006F2BA1">
            <w:pPr>
              <w:rPr>
                <w:sz w:val="20"/>
                <w:szCs w:val="20"/>
              </w:rPr>
            </w:pPr>
            <w:r w:rsidRPr="004F5A11">
              <w:rPr>
                <w:sz w:val="20"/>
                <w:szCs w:val="20"/>
              </w:rPr>
              <w:t>on sensorimotor rhythm</w:t>
            </w:r>
          </w:p>
          <w:p w:rsidR="009927FC" w:rsidRPr="004F5A11" w:rsidRDefault="009927FC" w:rsidP="006F2BA1">
            <w:pPr>
              <w:rPr>
                <w:sz w:val="20"/>
                <w:szCs w:val="20"/>
              </w:rPr>
            </w:pPr>
            <w:r w:rsidRPr="004F5A11">
              <w:rPr>
                <w:sz w:val="20"/>
                <w:szCs w:val="20"/>
              </w:rPr>
              <w:t>desynchronization and</w:t>
            </w:r>
          </w:p>
          <w:p w:rsidR="009927FC" w:rsidRPr="004F5A11" w:rsidRDefault="009927FC" w:rsidP="006F2BA1">
            <w:pPr>
              <w:rPr>
                <w:sz w:val="20"/>
                <w:szCs w:val="20"/>
              </w:rPr>
            </w:pPr>
            <w:r w:rsidRPr="004F5A11">
              <w:rPr>
                <w:sz w:val="20"/>
                <w:szCs w:val="20"/>
              </w:rPr>
              <w:lastRenderedPageBreak/>
              <w:t>motor-imagery BCI control</w:t>
            </w:r>
          </w:p>
        </w:tc>
        <w:tc>
          <w:tcPr>
            <w:tcW w:w="470" w:type="pct"/>
          </w:tcPr>
          <w:p w:rsidR="009927FC" w:rsidRPr="004F5A11" w:rsidRDefault="009927FC" w:rsidP="006F2BA1">
            <w:pPr>
              <w:rPr>
                <w:sz w:val="20"/>
                <w:szCs w:val="20"/>
              </w:rPr>
            </w:pPr>
            <w:r w:rsidRPr="004F5A11">
              <w:rPr>
                <w:sz w:val="20"/>
                <w:szCs w:val="20"/>
              </w:rPr>
              <w:lastRenderedPageBreak/>
              <w:t>EEG</w:t>
            </w:r>
          </w:p>
        </w:tc>
        <w:tc>
          <w:tcPr>
            <w:tcW w:w="705" w:type="pct"/>
          </w:tcPr>
          <w:p w:rsidR="009927FC" w:rsidRPr="004F5A11" w:rsidRDefault="009927FC" w:rsidP="006F2BA1">
            <w:pPr>
              <w:rPr>
                <w:sz w:val="20"/>
                <w:szCs w:val="20"/>
              </w:rPr>
            </w:pPr>
            <w:r w:rsidRPr="004F5A11">
              <w:rPr>
                <w:sz w:val="20"/>
                <w:szCs w:val="20"/>
              </w:rPr>
              <w:t>T-f analysis, LDA</w:t>
            </w:r>
          </w:p>
        </w:tc>
        <w:tc>
          <w:tcPr>
            <w:tcW w:w="658" w:type="pct"/>
          </w:tcPr>
          <w:p w:rsidR="009927FC" w:rsidRPr="004F5A11" w:rsidRDefault="009927FC" w:rsidP="006F2BA1">
            <w:pPr>
              <w:rPr>
                <w:sz w:val="20"/>
                <w:szCs w:val="20"/>
              </w:rPr>
            </w:pPr>
            <w:r w:rsidRPr="004F5A11">
              <w:rPr>
                <w:sz w:val="20"/>
                <w:szCs w:val="20"/>
              </w:rPr>
              <w:t>Motor imagery</w:t>
            </w:r>
          </w:p>
        </w:tc>
        <w:tc>
          <w:tcPr>
            <w:tcW w:w="996" w:type="pct"/>
          </w:tcPr>
          <w:p w:rsidR="009927FC" w:rsidRPr="004F5A11" w:rsidRDefault="009927FC" w:rsidP="006F2BA1">
            <w:pPr>
              <w:rPr>
                <w:sz w:val="20"/>
                <w:szCs w:val="20"/>
              </w:rPr>
            </w:pPr>
            <w:r w:rsidRPr="004F5A11">
              <w:rPr>
                <w:sz w:val="20"/>
                <w:szCs w:val="20"/>
              </w:rPr>
              <w:t xml:space="preserve">Discrimination using  </w:t>
            </w:r>
          </w:p>
          <w:p w:rsidR="009927FC" w:rsidRPr="004F5A11" w:rsidRDefault="009927FC" w:rsidP="006F2BA1">
            <w:pPr>
              <w:rPr>
                <w:sz w:val="20"/>
                <w:szCs w:val="20"/>
              </w:rPr>
            </w:pPr>
            <w:r w:rsidRPr="004F5A11">
              <w:rPr>
                <w:sz w:val="20"/>
                <w:szCs w:val="20"/>
              </w:rPr>
              <w:lastRenderedPageBreak/>
              <w:t xml:space="preserve">alpha/mu rhythms in SMR based BCI.  </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lastRenderedPageBreak/>
              <w:t>22</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{"citationItems":[{"id":"ITEM-1","itemData":{"DOI":"10.1371/journal.pone.0226048","ISBN":"1111111111","ISSN":"19326203","PMID":"31935220","abstract":"Recently, brain-computer interface (BCI) systems developed based on steady-state visual evoked potential (SSVEP) have attracted much attention due to their high information transfer rate (ITR) and increasing number of targets. However, SSVEP-based methods can be improved in terms of their accuracy and target detection time. We propose a new method based on canonical correlation analysis (CCA) to integrate subject-specific models and subject-independent information and enhance BCI performance. We propose to use training data of other subjects to optimize hyperparameters for CCA-based model of a specific subject. An ensemble version of the proposed method is also developed for a fair comparison with ensemble task-related component analysis (TRCA). The proposed method is compared with TRCA and extended CCA methods. A publicly available, 35-subject SSVEP benchmark dataset is used for comparison studies and performance is quantified by classification accuracy and ITR. The ITR of the proposed method is higher than those of TRCA and extended CCA. The proposed method outperforms extended CCA in all conditions and TRCA for time windows greater than 0.3 s. The proposed method also outperforms TRCA when there are limited training blocks and electrodes. This study illustrates that adding subject-independent information to subject-specific models can improve performance of SSVEP-based BCIs.","author":[{"dropping-particle":"","family":"Mehdizavareh","given":"Mohammad Hadi","non-dropping-particle":"","parse-names":false,"suffix":""},{"dropping-particle":"","family":"Hemati","given":"Sobhan","non-dropping-particle":"","parse-names":false,"suffix":""},{"dropping-particle":"","family":"Soltanian-Zadeh","given":"Hamid","non-dropping-particle":"","parse-names":false,"suffix":""}],"container-title":"PLoS ONE","id":"ITEM-1","issue":"1","issued":{"date-parts":[["2020"]]},"page":"1-20","title":"Enhancing performance of subject-specific models via subject-independent information for SSVEP-based BCIs","type":"article-journal","volume":"15"},"uris":["http://www.mendeley.com/documents/?uuid=34d97171-ac46-41a5-83ad-292ce4e7f458"]}],"mendeley":{"formattedCitation":"(Mehdizavareh et al., 2020)","plainTextFormattedCitation":"(Mehdizavareh et al., 2020)","previouslyFormattedCitation":"(Mehdizavareh et al., 2020)"},"properties":{"noteIndex":0},"schema":"https://github.com/citation-style-language/schema/raw/master/csl-citation.json"}</w:instrText>
            </w:r>
            <w:r w:rsidRPr="004F5A11">
              <w:rPr>
                <w:b/>
                <w:sz w:val="18"/>
                <w:szCs w:val="18"/>
              </w:rPr>
              <w:fldChar w:fldCharType="separate"/>
            </w:r>
            <w:r w:rsidRPr="004F5A11">
              <w:rPr>
                <w:b/>
                <w:noProof/>
                <w:sz w:val="18"/>
                <w:szCs w:val="18"/>
              </w:rPr>
              <w:t>(Mehdizavareh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Enhancing performance of subject-specific</w:t>
            </w:r>
          </w:p>
          <w:p w:rsidR="009927FC" w:rsidRPr="004F5A11" w:rsidRDefault="009927FC" w:rsidP="006F2BA1">
            <w:pPr>
              <w:rPr>
                <w:sz w:val="20"/>
                <w:szCs w:val="20"/>
              </w:rPr>
            </w:pPr>
            <w:r w:rsidRPr="004F5A11">
              <w:rPr>
                <w:sz w:val="20"/>
                <w:szCs w:val="20"/>
              </w:rPr>
              <w:t>models via subject-independent information</w:t>
            </w:r>
          </w:p>
          <w:p w:rsidR="009927FC" w:rsidRPr="004F5A11" w:rsidRDefault="009927FC" w:rsidP="006F2BA1">
            <w:pPr>
              <w:rPr>
                <w:sz w:val="20"/>
                <w:szCs w:val="20"/>
              </w:rPr>
            </w:pPr>
            <w:r w:rsidRPr="004F5A11">
              <w:rPr>
                <w:sz w:val="20"/>
                <w:szCs w:val="20"/>
              </w:rPr>
              <w:t>for SSVEP-based BCIs</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CCA-based correlation coefficients</w:t>
            </w:r>
          </w:p>
        </w:tc>
        <w:tc>
          <w:tcPr>
            <w:tcW w:w="658" w:type="pct"/>
          </w:tcPr>
          <w:p w:rsidR="009927FC" w:rsidRPr="004F5A11" w:rsidRDefault="009927FC" w:rsidP="006F2BA1">
            <w:pPr>
              <w:rPr>
                <w:sz w:val="20"/>
                <w:szCs w:val="20"/>
              </w:rPr>
            </w:pPr>
            <w:r w:rsidRPr="004F5A11">
              <w:rPr>
                <w:sz w:val="20"/>
                <w:szCs w:val="20"/>
              </w:rPr>
              <w:t>Cue-guided target selecting task.</w:t>
            </w:r>
          </w:p>
        </w:tc>
        <w:tc>
          <w:tcPr>
            <w:tcW w:w="996" w:type="pct"/>
          </w:tcPr>
          <w:p w:rsidR="009927FC" w:rsidRPr="004F5A11" w:rsidRDefault="009927FC" w:rsidP="006F2BA1">
            <w:pPr>
              <w:rPr>
                <w:sz w:val="20"/>
                <w:szCs w:val="20"/>
              </w:rPr>
            </w:pPr>
            <w:r w:rsidRPr="004F5A11">
              <w:rPr>
                <w:sz w:val="20"/>
                <w:szCs w:val="20"/>
              </w:rPr>
              <w:t>Integration of subject-specific models with subject-independent information and enhances the BCI performance.</w:t>
            </w:r>
          </w:p>
        </w:tc>
      </w:tr>
      <w:tr w:rsidR="009927FC" w:rsidRPr="004F5A11" w:rsidTr="006F2BA1">
        <w:trPr>
          <w:trHeight w:val="197"/>
        </w:trPr>
        <w:tc>
          <w:tcPr>
            <w:tcW w:w="244" w:type="pct"/>
          </w:tcPr>
          <w:p w:rsidR="009927FC" w:rsidRPr="004F5A11" w:rsidRDefault="009927FC" w:rsidP="006F2BA1">
            <w:pPr>
              <w:jc w:val="center"/>
              <w:rPr>
                <w:sz w:val="20"/>
                <w:szCs w:val="20"/>
              </w:rPr>
            </w:pPr>
            <w:r w:rsidRPr="004F5A11">
              <w:rPr>
                <w:sz w:val="20"/>
                <w:szCs w:val="20"/>
              </w:rPr>
              <w:t>23</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{"citationItems":[{"id":"ITEM-1","itemData":{"DOI":"10.1038/s42003-020-0846-z","ISSN":"23993642","PMID":"32152375","abstract":"Efficient action control is indispensable for goal-directed behaviour. Different theories have stressed the importance of either attention or response selection sub-processes for action control. Yet, it is unclear to what extent these processes can be identified in the dynamics of neurophysiological (EEG) processes at the single-trial level and be used to predict the presence of conflicts in a given moment. Applying deep learning, which was blind to cognitive theory, on single-trial EEG data allowed to predict the presence of conflict in ~95% of subjects ~33% above chance level. Neurophysiological features related to attentional and motor response selection processes in the occipital cortex and the superior frontal gyrus contributed most to prediction accuracy. Importantly, deep learning was able to identify predictive neurophysiological processes in single-trial neural dynamics. Hence, mathematical (artificial intelligence) approaches may be used to foster the validation and development of links between cognitive theory and neurophysiology of human behavior.","author":[{"dropping-particle":"","family":"Vahid","given":"Amirali","non-dropping-particle":"","parse-names":false,"suffix":""},{"dropping-particle":"","family":"Mückschel","given":"Moritz","non-dropping-particle":"","parse-names":false,"suffix":""},{"dropping-particle":"","family":"Stober","given":"Sebastian","non-dropping-particle":"","parse-names":false,"suffix":""},{"dropping-particle":"","family":"Stock","given":"Ann Kathrin","non-dropping-particle":"","parse-names":false,"suffix":""},{"dropping-particle":"","family":"Beste","given":"Christian","non-dropping-particle":"","parse-names":false,"suffix":""}],"container-title":"Communications Biology","id":"ITEM-1","issue":"1","issued":{"date-parts":[["2020"]]},"publisher":"Springer US","title":"Applying deep learning to single-trial EEG data provides evidence for complementary theories on action control","type":"article-journal","volume":"3"},"uris":["http://www.mendeley.com/documents/?uuid=3ff33880-20a9-4274-a1f7-c68e75a45286"]}],"mendeley":{"formattedCitation":"(Vahid et al., 2020)","plainTextFormattedCitation":"(Vahid et al., 2020)","previouslyFormattedCitation":"(Vahid et al., 2020)"},"properties":{"noteIndex":0},"schema":"https://github.com/citation-style-language/schema/raw/master/csl-citation.json"}</w:instrText>
            </w:r>
            <w:r w:rsidRPr="004F5A11">
              <w:rPr>
                <w:b/>
                <w:sz w:val="18"/>
                <w:szCs w:val="18"/>
              </w:rPr>
              <w:fldChar w:fldCharType="separate"/>
            </w:r>
            <w:r w:rsidRPr="004F5A11">
              <w:rPr>
                <w:b/>
                <w:noProof/>
                <w:sz w:val="18"/>
                <w:szCs w:val="18"/>
              </w:rPr>
              <w:t>(Vahid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Applying deep learning to single-trial EEG data provides evidence for complementary theories on action control</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sLORETAEEGNet (LOOS approach)</w:t>
            </w:r>
          </w:p>
        </w:tc>
        <w:tc>
          <w:tcPr>
            <w:tcW w:w="658" w:type="pct"/>
          </w:tcPr>
          <w:p w:rsidR="009927FC" w:rsidRPr="004F5A11" w:rsidRDefault="009927FC" w:rsidP="006F2BA1">
            <w:pPr>
              <w:rPr>
                <w:sz w:val="20"/>
                <w:szCs w:val="20"/>
              </w:rPr>
            </w:pPr>
            <w:r w:rsidRPr="004F5A11">
              <w:rPr>
                <w:sz w:val="20"/>
                <w:szCs w:val="20"/>
              </w:rPr>
              <w:t>Simon task for action control</w:t>
            </w:r>
          </w:p>
        </w:tc>
        <w:tc>
          <w:tcPr>
            <w:tcW w:w="996" w:type="pct"/>
          </w:tcPr>
          <w:p w:rsidR="009927FC" w:rsidRPr="004F5A11" w:rsidRDefault="009927FC" w:rsidP="006F2BA1">
            <w:pPr>
              <w:rPr>
                <w:sz w:val="20"/>
                <w:szCs w:val="20"/>
              </w:rPr>
            </w:pPr>
            <w:r w:rsidRPr="004F5A11">
              <w:rPr>
                <w:sz w:val="20"/>
                <w:szCs w:val="20"/>
              </w:rPr>
              <w:t xml:space="preserve">Correct classification using markers from occipital/frontal areas </w:t>
            </w:r>
          </w:p>
        </w:tc>
      </w:tr>
      <w:tr w:rsidR="009927FC" w:rsidRPr="004F5A11" w:rsidTr="006F2BA1">
        <w:trPr>
          <w:trHeight w:val="197"/>
        </w:trPr>
        <w:tc>
          <w:tcPr>
            <w:tcW w:w="244" w:type="pct"/>
          </w:tcPr>
          <w:p w:rsidR="009927FC" w:rsidRPr="004F5A11" w:rsidRDefault="009927FC" w:rsidP="006F2BA1">
            <w:pPr>
              <w:jc w:val="center"/>
              <w:rPr>
                <w:sz w:val="20"/>
                <w:szCs w:val="20"/>
              </w:rPr>
            </w:pPr>
            <w:r w:rsidRPr="004F5A11">
              <w:rPr>
                <w:sz w:val="20"/>
                <w:szCs w:val="20"/>
              </w:rPr>
              <w:t>24</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{"citationItems":[{"id":"ITEM-1","itemData":{"DOI":"10.1109/BCI48061.2020.9061613","ISBN":"9781728147079","abstract":"Motor-Imagery Brain-Computer Interface (MI-BCI) is a useful method for identifying a user's motor intention when they imagine a certain movement. However, the accuracy of this approach is low, and varies depending on the performance of users. In order to overcome the limitation, we focused upon the detection of error due to the low MI-BCI performance. We used microstate analysis to produce a sparse feature set of large-scale brain network activity. Using this analysis, we developed a new feature from the error component. We conducted experiments with the 10 subjects (6 male, 4 female, aged 26.6±2.91 years) by presenting visual stimulus in real time. In the experiment, 30% of all trials were configured to randomly generate error responses. The top five microstates to show the best correct/false responses were calculated. Microstates MS1 to MS4 produced the same results for both correct and incorrect responses, but microstate MS5 showed a difference between correct and false responses. Microstate MS5 is a representation of EEG response occurred within 400 ms after visual stimulus. We would say that 'correct' and 'false' responses can be distinguished using the microstate MS5.","author":[{"dropping-particle":"","family":"Kim","given":"Seul Kee","non-dropping-particle":"","parse-names":false,"suffix":""},{"dropping-particle":"","family":"Kim","given":"Laehyun","non-dropping-particle":"","parse-names":false,"suffix":""}],"container-title":"8th International Winter Conference on Brain-Computer Interface, BCI 2020","id":"ITEM-1","issued":{"date-parts":[["2020"]]},"page":"1-3","publisher":"IEEE","title":"Identifying error features in a MI-BCI system using microstates","type":"article-journal"},"uris":["http://www.mendeley.com/documents/?uuid=10f9f407-b832-466f-9564-b21ac036f518"]}],"mendeley":{"formattedCitation":"(Kim &amp; Kim, 2020)","plainTextFormattedCitation":"(Kim &amp; Kim, 2020)","previouslyFormattedCitation":"(Kim &amp; Kim, 2020)"},"properties":{"noteIndex":0},"schema":"https://github.com/citation-style-language/schema/raw/master/csl-citation.json"}</w:instrText>
            </w:r>
            <w:r w:rsidRPr="004F5A11">
              <w:rPr>
                <w:b/>
                <w:sz w:val="18"/>
                <w:szCs w:val="18"/>
              </w:rPr>
              <w:fldChar w:fldCharType="separate"/>
            </w:r>
            <w:r w:rsidRPr="004F5A11">
              <w:rPr>
                <w:b/>
                <w:noProof/>
                <w:sz w:val="18"/>
                <w:szCs w:val="18"/>
              </w:rPr>
              <w:t>(Kim &amp; Kim,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Identifying error features in a MI-BCI system using</w:t>
            </w:r>
          </w:p>
          <w:p w:rsidR="009927FC" w:rsidRPr="004F5A11" w:rsidRDefault="009927FC" w:rsidP="006F2BA1">
            <w:pPr>
              <w:rPr>
                <w:sz w:val="20"/>
                <w:szCs w:val="20"/>
              </w:rPr>
            </w:pPr>
            <w:r w:rsidRPr="004F5A11">
              <w:rPr>
                <w:sz w:val="20"/>
                <w:szCs w:val="20"/>
              </w:rPr>
              <w:t>microstates</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EEG-Microstates</w:t>
            </w:r>
          </w:p>
        </w:tc>
        <w:tc>
          <w:tcPr>
            <w:tcW w:w="658" w:type="pct"/>
          </w:tcPr>
          <w:p w:rsidR="009927FC" w:rsidRPr="004F5A11" w:rsidRDefault="009927FC" w:rsidP="006F2BA1">
            <w:pPr>
              <w:rPr>
                <w:sz w:val="20"/>
                <w:szCs w:val="20"/>
              </w:rPr>
            </w:pPr>
            <w:r w:rsidRPr="004F5A11">
              <w:rPr>
                <w:sz w:val="20"/>
                <w:szCs w:val="20"/>
              </w:rPr>
              <w:t>Motor imagery</w:t>
            </w:r>
          </w:p>
        </w:tc>
        <w:tc>
          <w:tcPr>
            <w:tcW w:w="996" w:type="pct"/>
          </w:tcPr>
          <w:p w:rsidR="009927FC" w:rsidRPr="004F5A11" w:rsidRDefault="009927FC" w:rsidP="006F2BA1">
            <w:pPr>
              <w:rPr>
                <w:sz w:val="20"/>
                <w:szCs w:val="20"/>
              </w:rPr>
            </w:pPr>
            <w:r w:rsidRPr="004F5A11">
              <w:rPr>
                <w:sz w:val="20"/>
                <w:szCs w:val="20"/>
              </w:rPr>
              <w:t>Microstate MS5 showed a difference between correct and false responses.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25</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{"citationItems":[{"id":"ITEM-1","itemData":{"DOI":"10.1002/brb3.1902","ISSN":"21623279","PMID":"33078586","abstract":"Introduction: Prior Go/NoGo studies have localized specific regions and EEG spectra for which traditional approaches have distinguished between Go and NoGo conditions. A more detailed characterization of the spatial distribution and timing of the synchronization of frequency bands would contribute substantially to the clarification of neural mechanisms that underlie performance of the Go/NoGo task. Methods: The present study used a machine learning approach to learn the features that distinguish between ERSPs involved in selection and inhibition in a Go/NoGo task. A single-layer neural network classifier was used to predict task conditions for each subject to characterize ERSPs associated with Go versus NoGo trials. Results: The final classifier accurately identified individual task conditions at an overall rate of 92%, estimated by fivefold cross-validation. The detailed accounting of EEG time–frequency patterns localized to brain regions (i.e., thalamus, pre-SMA, orbitofrontal cortex, and superior parietal cortex) corroborates and also elaborates upon previous findings from fMRI and EEG studies, and expands the information about EEG power changes in multiple frequency bands (i.e., primarily theta power increase, alpha decreases, and beta increases and decreases) within these regions underlying the selection and inhibition processes engaged in the Go and NoGo trials. Conclusion: This time–frequency-based classifier extends previous spatiotemporal findings and provides information about neural mechanisms underlying selection and inhibition processes engaged in Go and NoGo trials, respectively. This neural network classifier can be used to assess time–frequency patterns from an individual subject and thus may offer insight into therapeutic uses of neuromodulation in neural dysfunction.","author":[{"dropping-particle":"","family":"DeLaRosa","given":"Bambi L.","non-dropping-particle":"","parse-names":false,"suffix":""},{"dropping-particle":"","family":"Spence","given":"Jeffrey S.","non-dropping-particle":"","parse-names":false,"suffix":""},{"dropping-particle":"","family":"Motes","given":"Michael A.","non-dropping-particle":"","parse-names":false,"suffix":""},{"dropping-particle":"","family":"To","given":"Wing","non-dropping-particle":"","parse-names":false,"suffix":""},{"dropping-particle":"","family":"Vanneste","given":"Sven","non-dropping-particle":"","parse-names":false,"suffix":""},{"dropping-particle":"","family":"Kraut","given":"Michael A.","non-dropping-particle":"","parse-names":false,"suffix":""},{"dropping-particle":"","family":"Hart","given":"John","non-dropping-particle":"","parse-names":false,"suffix":""}],"container-title":"Brain and Behavior","id":"ITEM-1","issue":"12","issued":{"date-parts":[["2020"]]},"page":"1-15","title":"Identification of selection and inhibition components in a Go/NoGo task from EEG spectra using a machine learning classifier","type":"article-journal","volume":"10"},"uris":["http://www.mendeley.com/documents/?uuid=c6d62756-a3d5-454b-8ac9-1bb581cc0ddb"]}],"mendeley":{"formattedCitation":"(DeLaRosa et al., 2020)","plainTextFormattedCitation":"(DeLaRosa et al., 2020)","previouslyFormattedCitation":"(DeLaRosa et al., 2020)"},"properties":{"noteIndex":0},"schema":"https://github.com/citation-style-language/schema/raw/master/csl-citation.json"}</w:instrText>
            </w:r>
            <w:r w:rsidRPr="004F5A11">
              <w:rPr>
                <w:b/>
                <w:sz w:val="18"/>
                <w:szCs w:val="18"/>
              </w:rPr>
              <w:fldChar w:fldCharType="separate"/>
            </w:r>
            <w:r w:rsidRPr="004F5A11">
              <w:rPr>
                <w:b/>
                <w:noProof/>
                <w:sz w:val="18"/>
                <w:szCs w:val="18"/>
              </w:rPr>
              <w:t>(DeLaRosa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Identification of selection and inhibition components in a Go/No-Go task from EEG spectra using a machine learning classifier</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T-f analysis,</w:t>
            </w:r>
            <w:r w:rsidRPr="004F5A11">
              <w:t xml:space="preserve"> </w:t>
            </w:r>
            <w:r w:rsidRPr="004F5A11">
              <w:rPr>
                <w:sz w:val="20"/>
                <w:szCs w:val="20"/>
              </w:rPr>
              <w:t>single-layer neural network classifier</w:t>
            </w:r>
          </w:p>
        </w:tc>
        <w:tc>
          <w:tcPr>
            <w:tcW w:w="658" w:type="pct"/>
          </w:tcPr>
          <w:p w:rsidR="009927FC" w:rsidRPr="004F5A11" w:rsidRDefault="009927FC" w:rsidP="006F2BA1">
            <w:pPr>
              <w:rPr>
                <w:sz w:val="20"/>
                <w:szCs w:val="20"/>
              </w:rPr>
            </w:pPr>
            <w:r w:rsidRPr="004F5A11">
              <w:rPr>
                <w:sz w:val="20"/>
                <w:szCs w:val="20"/>
              </w:rPr>
              <w:t>Go/No-Go task</w:t>
            </w:r>
          </w:p>
        </w:tc>
        <w:tc>
          <w:tcPr>
            <w:tcW w:w="996" w:type="pct"/>
          </w:tcPr>
          <w:p w:rsidR="009927FC" w:rsidRPr="004F5A11" w:rsidRDefault="009927FC" w:rsidP="006F2BA1">
            <w:pPr>
              <w:rPr>
                <w:sz w:val="20"/>
                <w:szCs w:val="20"/>
              </w:rPr>
            </w:pPr>
            <w:r w:rsidRPr="004F5A11">
              <w:rPr>
                <w:sz w:val="20"/>
                <w:szCs w:val="20"/>
              </w:rPr>
              <w:t>Better assessment of time–frequency patterns using</w:t>
            </w:r>
          </w:p>
          <w:p w:rsidR="009927FC" w:rsidRPr="004F5A11" w:rsidRDefault="009927FC" w:rsidP="006F2BA1">
            <w:pPr>
              <w:rPr>
                <w:sz w:val="20"/>
                <w:szCs w:val="20"/>
              </w:rPr>
            </w:pPr>
            <w:r w:rsidRPr="004F5A11">
              <w:rPr>
                <w:sz w:val="20"/>
                <w:szCs w:val="20"/>
              </w:rPr>
              <w:t xml:space="preserve">neural network classifier (92%).                  </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26</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{"citationItems":[{"id":"ITEM-1","itemData":{"DOI":"10.3389/fnins.2020.00808","ISSN":"1662453X","abstract":"The classification of electroencephalogram (EEG) signals is of significant importance in brain–computer interface (BCI) systems. Aiming to achieve intelligent classification of EEG types with high accuracy, a classification methodology using sparse representation (SR) and fast compression residual convolutional neural networks (FCRes-CNNs) is proposed. In the proposed methodology, EEG waveforms of classes 1 and 2 are segmented into subsignals, and 140 experimental samples were achieved for each type of EEG signal. The common spatial patterns algorithm is used to obtain the features of the EEG signal. Subsequently, the redundant dictionary with sparse representation is constructed based on these features. Finally, the samples of the EEG types were imported into the FCRes-CNN model having fast down-sampling module and residual block structural units to be identified and classified. The datasets from BCI Competition 2005 (dataset IVa) and BCI Competition 2003 (dataset III) were used to test the performance of the proposed deep learning classifier. The classification experiments show that the recognition averaged accuracy of the proposed method is 98.82%. The experimental results show that the classification method provides better classification performance compared with sparse representation classification (SRC) method. The method can be applied successfully to BCI systems where the amount of data is large due to daily recording.","author":[{"dropping-particle":"","family":"Huang","given":"Jing Shan","non-dropping-particle":"","parse-names":false,"suffix":""},{"dropping-particle":"","family":"Li","given":"Yang","non-dropping-particle":"","parse-names":false,"suffix":""},{"dropping-particle":"","family":"Chen","given":"Bin Qiang","non-dropping-particle":"","parse-names":false,"suffix":""},{"dropping-particle":"","family":"Lin","given":"Chuang","non-dropping-particle":"","parse-names":false,"suffix":""},{"dropping-particle":"","family":"Yao","given":"Bin","non-dropping-particle":"","parse-names":false,"suffix":""}],"container-title":"Frontiers in Neuroscience","id":"ITEM-1","issue":"September","issued":{"date-parts":[["2020"]]},"page":"1-8","title":"An Intelligent EEG Classification Methodology Based on Sparse Representation Enhanced Deep Learning Networks","type":"article-journal","volume":"14"},"uris":["http://www.mendeley.com/documents/?uuid=bf05a807-4540-4247-ba56-31cf302f02b6"]}],"mendeley":{"formattedCitation":"(Huang et al., 2020)","plainTextFormattedCitation":"(Huang et al., 2020)","previouslyFormattedCitation":"(Huang et al., 2020)"},"properties":{"noteIndex":0},"schema":"https://github.com/citation-style-language/schema/raw/master/csl-citation.json"}</w:instrText>
            </w:r>
            <w:r w:rsidRPr="004F5A11">
              <w:rPr>
                <w:b/>
                <w:sz w:val="18"/>
                <w:szCs w:val="18"/>
              </w:rPr>
              <w:fldChar w:fldCharType="separate"/>
            </w:r>
            <w:r w:rsidRPr="004F5A11">
              <w:rPr>
                <w:b/>
                <w:noProof/>
                <w:sz w:val="18"/>
                <w:szCs w:val="18"/>
              </w:rPr>
              <w:t>(Huang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An Intelligent EEG Classification Methodology Based on Sparse Representation Enhanced Deep Learning Networks</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Common spatial patterns (CSPs), CNN (FCR)</w:t>
            </w:r>
          </w:p>
        </w:tc>
        <w:tc>
          <w:tcPr>
            <w:tcW w:w="658" w:type="pct"/>
          </w:tcPr>
          <w:p w:rsidR="009927FC" w:rsidRPr="004F5A11" w:rsidRDefault="009927FC" w:rsidP="006F2BA1">
            <w:pPr>
              <w:rPr>
                <w:sz w:val="20"/>
                <w:szCs w:val="20"/>
              </w:rPr>
            </w:pPr>
            <w:r w:rsidRPr="004F5A11">
              <w:rPr>
                <w:sz w:val="20"/>
                <w:szCs w:val="20"/>
              </w:rPr>
              <w:t>Motor Imagery</w:t>
            </w:r>
          </w:p>
        </w:tc>
        <w:tc>
          <w:tcPr>
            <w:tcW w:w="996" w:type="pct"/>
          </w:tcPr>
          <w:p w:rsidR="009927FC" w:rsidRPr="004F5A11" w:rsidRDefault="009927FC" w:rsidP="006F2BA1">
            <w:pPr>
              <w:rPr>
                <w:sz w:val="20"/>
                <w:szCs w:val="20"/>
              </w:rPr>
            </w:pPr>
            <w:r w:rsidRPr="004F5A11">
              <w:rPr>
                <w:sz w:val="20"/>
                <w:szCs w:val="20"/>
              </w:rPr>
              <w:t>Better classification performance compared with sparse representation classification.</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27</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{"citationItems":[{"id":"ITEM-1","itemData":{"DOI":"10.1371/journal.pone.0234178","ISBN":"1111111111","ISSN":"19326203","PMID":"32525885","abstract":"Electroencephalography (EEG) datasets are often small and high dimensional, owing to cumbersome recording processes. In these conditions, powerful machine learning techniques are essential to deal with the large amount of information and overcome the curse of dimensionality. Artificial Neural Networks (ANNs) have achieved promising performance in EEG-based Brain-Computer Interface (BCI) applications, but they involve computationally intensive training algorithms and hyperparameter optimization methods. Thus, an awareness of the quality-cost trade-off, although usually overlooked, is highly beneficial. In this paper, we apply a hyperparameter optimization procedure based on Genetic Algorithms to Convolutional Neural Networks (CNNs), Feed-Forward Neural Networks (FFNNs), and Recurrent Neural Networks (RNNs), all of them purposely shallow. We compare their relative quality and energy-time cost, but we also analyze the variability in the structural complexity of networks of the same type with similar accuracies. The experimental results show that the optimization procedure improves accuracy in all models, and that CNN models with only one hidden convolutional layer can equal or slightly outperform a 6-layer Deep Belief Network. FFNN and RNN were not able to reach the same quality, although the cost was significantly lower. The results also highlight the fact that size within the same type of network is not necessarily correlated with accuracy, as smaller models can and do match, or even surpass, bigger ones in performance. In this regard, overfitting is likely a contributing factor since deep learning approaches struggle with limited training examples.","author":[{"dropping-particle":"","family":"León","given":"Javier","non-dropping-particle":"","parse-names":false,"suffix":""},{"dropping-particle":"","family":"Escobar","given":"Juan José","non-dropping-particle":"","parse-names":false,"suffix":""},{"dropping-particle":"","family":"Ortiz","given":"Andrés","non-dropping-particle":"","parse-names":false,"suffix":""},{"dropping-particle":"","family":"Ortega","given":"Julio","non-dropping-particle":"","parse-names":false,"suffix":""},{"dropping-particle":"","family":"González","given":"Jesús","non-dropping-particle":"","parse-names":false,"suffix":""},{"dropping-particle":"","family":"Martín-Smith","given":"Pedro","non-dropping-particle":"","parse-names":false,"suffix":""},{"dropping-particle":"","family":"Gan","given":"John Q.","non-dropping-particle":"","parse-names":false,"suffix":""},{"dropping-particle":"","family":"Damas","given":"Miguel","non-dropping-particle":"","parse-names":false,"suffix":""}],"container-title":"PLoS ONE","id":"ITEM-1","issue":"6","issued":{"date-parts":[["2020"]]},"page":"1-30","title":"Deep learning for EEG-based motor imagery classification: Accuracy-cost trade-off","type":"article-journal","volume":"15"},"uris":["http://www.mendeley.com/documents/?uuid=4ffb265a-6716-44dd-b8dc-cf83194a4704"]}],"mendeley":{"formattedCitation":"(León et al., 2020)","plainTextFormattedCitation":"(León et al., 2020)","previouslyFormattedCitation":"(León et al., 2020)"},"properties":{"noteIndex":0},"schema":"https://github.com/citation-style-language/schema/raw/master/csl-citation.json"}</w:instrText>
            </w:r>
            <w:r w:rsidRPr="004F5A11">
              <w:rPr>
                <w:b/>
                <w:sz w:val="18"/>
                <w:szCs w:val="18"/>
              </w:rPr>
              <w:fldChar w:fldCharType="separate"/>
            </w:r>
            <w:r w:rsidRPr="004F5A11">
              <w:rPr>
                <w:b/>
                <w:noProof/>
                <w:sz w:val="18"/>
                <w:szCs w:val="18"/>
              </w:rPr>
              <w:t>(León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Deep learning for EEG-based Motor Imagery classification: Accuracy-cost trade-off</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FFNN,CNN, RNN</w:t>
            </w:r>
          </w:p>
        </w:tc>
        <w:tc>
          <w:tcPr>
            <w:tcW w:w="658" w:type="pct"/>
          </w:tcPr>
          <w:p w:rsidR="009927FC" w:rsidRPr="004F5A11" w:rsidRDefault="009927FC" w:rsidP="006F2BA1">
            <w:pPr>
              <w:rPr>
                <w:sz w:val="20"/>
                <w:szCs w:val="20"/>
              </w:rPr>
            </w:pPr>
            <w:r w:rsidRPr="004F5A11">
              <w:rPr>
                <w:sz w:val="20"/>
                <w:szCs w:val="20"/>
              </w:rPr>
              <w:t>Motor Imagery</w:t>
            </w:r>
          </w:p>
        </w:tc>
        <w:tc>
          <w:tcPr>
            <w:tcW w:w="996" w:type="pct"/>
          </w:tcPr>
          <w:p w:rsidR="009927FC" w:rsidRPr="004F5A11" w:rsidRDefault="009927FC" w:rsidP="006F2BA1">
            <w:pPr>
              <w:rPr>
                <w:sz w:val="20"/>
                <w:szCs w:val="20"/>
              </w:rPr>
            </w:pPr>
            <w:r w:rsidRPr="004F5A11">
              <w:rPr>
                <w:sz w:val="20"/>
                <w:szCs w:val="20"/>
              </w:rPr>
              <w:t>Improved accuracy with hyperparameter optimization. Best results for CNN</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28</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{"citationItems":[{"id":"ITEM-1","itemData":{"DOI":"10.3389/fneur.2020.00375","ISSN":"16642295","abstract":"Electroencephalogram (EEG) signals contain vital information on the electrical activities of the brain and are widely used to aid epilepsy analysis. A challenging element of epilepsy diagnosis, accurate classification of different epileptic states, is of particular interest and has been extensively investigated. A new deep learning-based classification methodology, namely epileptic EEG signal classification (EESC), is proposed in this paper. This methodology first transforms epileptic EEG signals to power spectrum density energy diagrams (PSDEDs), then applies deep convolutional neural networks (DCNNs) and transfer learning to automatically extract features from the PSDED, and finally classifies four categories of epileptic states (interictal, preictal duration to 30 min, preictal duration to 10 min, and seizure). It outperforms the existing epilepsy classification methods in terms of accuracy and efficiency. For instance, it achieves an average classification accuracy of over 90% in a case study with CHB-MIT epileptic EEG data.","author":[{"dropping-particle":"","family":"Gao","given":"Yunyuan","non-dropping-particle":"","parse-names":false,"suffix":""},{"dropping-particle":"","family":"Gao","given":"Bo","non-dropping-particle":"","parse-names":false,"suffix":""},{"dropping-particle":"","family":"Chen","given":"Qiang","non-dropping-particle":"","parse-names":false,"suffix":""},{"dropping-particle":"","family":"Liu","given":"Jia","non-dropping-particle":"","parse-names":false,"suffix":""},{"dropping-particle":"","family":"Zhang","given":"Yingchun","non-dropping-particle":"","parse-names":false,"suffix":""}],"container-title":"Frontiers in Neurology","id":"ITEM-1","issue":"May","issued":{"date-parts":[["2020"]]},"page":"1-11","title":"Deep convolutional neural network-based epileptic electroencephalogram (EEG) signal classification","type":"article-journal","volume":"11"},"uris":["http://www.mendeley.com/documents/?uuid=fd32ffb2-072b-45c7-8f55-746ecf51b924"]}],"mendeley":{"formattedCitation":"(Gao et al., 2020)","plainTextFormattedCitation":"(Gao et al., 2020)","previouslyFormattedCitation":"(Gao et al., 2020)"},"properties":{"noteIndex":0},"schema":"https://github.com/citation-style-language/schema/raw/master/csl-citation.json"}</w:instrText>
            </w:r>
            <w:r w:rsidRPr="004F5A11">
              <w:rPr>
                <w:b/>
                <w:sz w:val="18"/>
                <w:szCs w:val="18"/>
              </w:rPr>
              <w:fldChar w:fldCharType="separate"/>
            </w:r>
            <w:r w:rsidRPr="004F5A11">
              <w:rPr>
                <w:b/>
                <w:noProof/>
                <w:sz w:val="18"/>
                <w:szCs w:val="18"/>
              </w:rPr>
              <w:t>(Gao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Deep Convolutional Neural Network-Based Epileptic Electroencephalogram (EEG) Signal Classification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PSD energy diagrams (PSDEDs), Deep CNN</w:t>
            </w:r>
          </w:p>
        </w:tc>
        <w:tc>
          <w:tcPr>
            <w:tcW w:w="658" w:type="pct"/>
          </w:tcPr>
          <w:p w:rsidR="009927FC" w:rsidRPr="004F5A11" w:rsidRDefault="009927FC" w:rsidP="006F2BA1">
            <w:pPr>
              <w:rPr>
                <w:sz w:val="20"/>
                <w:szCs w:val="20"/>
              </w:rPr>
            </w:pPr>
            <w:r w:rsidRPr="004F5A11">
              <w:rPr>
                <w:sz w:val="20"/>
                <w:szCs w:val="20"/>
              </w:rPr>
              <w:t>Epileptic EEG</w:t>
            </w:r>
          </w:p>
        </w:tc>
        <w:tc>
          <w:tcPr>
            <w:tcW w:w="996" w:type="pct"/>
          </w:tcPr>
          <w:p w:rsidR="009927FC" w:rsidRPr="004F5A11" w:rsidRDefault="009927FC" w:rsidP="006F2BA1">
            <w:pPr>
              <w:rPr>
                <w:sz w:val="20"/>
                <w:szCs w:val="20"/>
              </w:rPr>
            </w:pPr>
            <w:r w:rsidRPr="004F5A11">
              <w:rPr>
                <w:sz w:val="20"/>
                <w:szCs w:val="20"/>
              </w:rPr>
              <w:t>Automatic feature extraction from PSDED, better classification with multichannel EEG signals.</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29</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{"citationItems":[{"id":"ITEM-1","itemData":{"DOI":"10.1002/hbm.24949","ISSN":"10970193","PMID":"32090423","abstract":"Electroencephalogram (EEG) microstates that represent quasi-stable, global neuronal activity are considered as the building blocks of brain dynamics. Therefore, the analysis of microstate sequences is a promising approach to understand fast brain dynamics that underlie various mental processes. Recent studies suggest that EEG microstate sequences are non-Markovian and nonstationary, highlighting the importance of the sequential flow of information between different brain states. These findings inspired us to model these sequences using Recurrent Neural Networks (RNNs) consisting of long-short-term-memory (LSTM) units to capture the complex temporal dependencies. Using an LSTM-based auto encoder framework and different encoding schemes, we modeled the microstate sequences at multiple time scales (200–2,000 ms) aiming to capture stably recurring microstate patterns within and across subjects. We show that RNNs can learn underlying microstate patterns with high accuracy and that the microstate trajectories are subject invariant at shorter time scales (≤400 ms) and reproducible across sessions. Significant drop in the reconstruction accuracy was observed for longer sequence lengths of 2,000 ms. These findings indirectly corroborate earlier studies which indicated that EEG microstate sequences exhibit long-range dependencies with finite memory content. Furthermore, we find that the latent representations learned by the RNNs are sensitive to external stimulation such as stress while the conventional univariate microstate measures (e.g., occurrence, mean duration, etc.) fail to capture such changes in brain dynamics. While RNNs cannot be configured to identify the specific discriminating patterns, they have the potential for learning the underlying temporal dynamics and are sensitive to sequence aberrations characterized by changes in metal processes. Empowered with the macroscopic understanding of the temporal dynamics that extends beyond short-term interactions, RNNs offer a reliable alternative for exploring system level brain dynamics using EEG microstate sequences.","author":[{"dropping-particle":"","family":"Sikka","given":"Apoorva","non-dropping-particle":"","parse-names":false,"suffix":""},{"dropping-particle":"","family":"Jamalabadi","given":"Hamidreza","non-dropping-particle":"","parse-names":false,"suffix":""},{"dropping-particle":"","family":"Krylova","given":"Marina","non-dropping-particle":"","parse-names":false,"suffix":""},{"dropping-particle":"","family":"Alizadeh","given":"Sarah","non-dropping-particle":"","parse-names":false,"suffix":""},{"dropping-particle":"","family":"Meer","given":"Johan N.","non-dropping-particle":"van der","parse-names":false,"suffix":""},{"dropping-particle":"","family":"Danyeli","given":"Lena","non-dropping-particle":"","parse-names":false,"suffix":""},{"dropping-particle":"","family":"Deliano","given":"Matthias","non-dropping-particle":"","parse-names":false,"suffix":""},{"dropping-particle":"","family":"Vicheva","given":"Petya","non-dropping-particle":"","parse-names":false,"suffix":""},{"dropping-particle":"","family":"Hahn","given":"Tim","non-dropping-particle":"","parse-names":false,"suffix":""},{"dropping-particle":"","family":"Koenig","given":"Thomas","non-dropping-particle":"","parse-names":false,"suffix":""},{"dropping-particle":"","family":"Bathula","given":"Deepti R.","non-dropping-particle":"","parse-names":false,"suffix":""},{"dropping-particle":"","family":"Walter","given":"Martin","non-dropping-particle":"","parse-names":false,"suffix":""}],"container-title":"Human Brain Mapping","id":"ITEM-1","issue":"9","issued":{"date-parts":[["2020"]]},"page":"2334-2346","title":"Investigating the temporal dynamics of electroencephalogram (EEG) microstates using recurrent neural networks","type":"article-journal","volume":"41"},"uris":["http://www.mendeley.com/documents/?uuid=68e8ffdc-d399-4cf1-8ef4-0ba50b4a076c"]}],"mendeley":{"formattedCitation":"(Sikka et al., 2020)","plainTextFormattedCitation":"(Sikka et al., 2020)","previouslyFormattedCitation":"(Sikka et al., 2020)"},"properties":{"noteIndex":0},"schema":"https://github.com/citation-style-language/schema/raw/master/csl-citation.json"}</w:instrText>
            </w:r>
            <w:r w:rsidRPr="004F5A11">
              <w:rPr>
                <w:b/>
                <w:sz w:val="18"/>
                <w:szCs w:val="18"/>
              </w:rPr>
              <w:fldChar w:fldCharType="separate"/>
            </w:r>
            <w:r w:rsidRPr="004F5A11">
              <w:rPr>
                <w:b/>
                <w:noProof/>
                <w:sz w:val="18"/>
                <w:szCs w:val="18"/>
              </w:rPr>
              <w:t>(Sikka et al., 2020)</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Investigating the temporal dynamics of electroencephalogram (EEG) microstates using recurrent neural networks</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LSTM-based auto encoder (RNN)</w:t>
            </w:r>
          </w:p>
        </w:tc>
        <w:tc>
          <w:tcPr>
            <w:tcW w:w="658" w:type="pct"/>
          </w:tcPr>
          <w:p w:rsidR="009927FC" w:rsidRPr="004F5A11" w:rsidRDefault="009927FC" w:rsidP="006F2BA1">
            <w:pPr>
              <w:rPr>
                <w:sz w:val="20"/>
                <w:szCs w:val="20"/>
              </w:rPr>
            </w:pPr>
            <w:r w:rsidRPr="004F5A11">
              <w:rPr>
                <w:sz w:val="20"/>
                <w:szCs w:val="20"/>
              </w:rPr>
              <w:t>Resting state</w:t>
            </w:r>
          </w:p>
        </w:tc>
        <w:tc>
          <w:tcPr>
            <w:tcW w:w="996" w:type="pct"/>
          </w:tcPr>
          <w:p w:rsidR="009927FC" w:rsidRPr="004F5A11" w:rsidRDefault="009927FC" w:rsidP="006F2BA1">
            <w:pPr>
              <w:rPr>
                <w:sz w:val="20"/>
                <w:szCs w:val="20"/>
              </w:rPr>
            </w:pPr>
            <w:r w:rsidRPr="004F5A11">
              <w:rPr>
                <w:sz w:val="20"/>
                <w:szCs w:val="20"/>
              </w:rPr>
              <w:t xml:space="preserve">Microstates reconstruction by RNNs.  </w:t>
            </w:r>
          </w:p>
        </w:tc>
      </w:tr>
      <w:tr w:rsidR="009927FC" w:rsidRPr="004F5A11" w:rsidTr="006F2BA1">
        <w:tc>
          <w:tcPr>
            <w:tcW w:w="244" w:type="pct"/>
          </w:tcPr>
          <w:p w:rsidR="009927FC" w:rsidRPr="004F5A11" w:rsidRDefault="009927FC" w:rsidP="006F2BA1">
            <w:pPr>
              <w:jc w:val="center"/>
              <w:rPr>
                <w:sz w:val="20"/>
                <w:szCs w:val="20"/>
              </w:rPr>
            </w:pPr>
            <w:r w:rsidRPr="004F5A11">
              <w:rPr>
                <w:sz w:val="20"/>
                <w:szCs w:val="20"/>
              </w:rPr>
              <w:t>30</w:t>
            </w:r>
          </w:p>
        </w:tc>
        <w:tc>
          <w:tcPr>
            <w:tcW w:w="658" w:type="pct"/>
          </w:tcPr>
          <w:p w:rsidR="009927FC" w:rsidRPr="004F5A11" w:rsidRDefault="009927FC" w:rsidP="006F2BA1">
            <w:pPr>
              <w:rPr>
                <w:b/>
                <w:sz w:val="18"/>
                <w:szCs w:val="18"/>
              </w:rPr>
            </w:pPr>
            <w:r w:rsidRPr="004F5A11">
              <w:rPr>
                <w:b/>
                <w:sz w:val="18"/>
                <w:szCs w:val="18"/>
              </w:rPr>
              <w:fldChar w:fldCharType="begin" w:fldLock="1"/>
            </w:r>
            <w:r w:rsidRPr="004F5A11">
              <w:rPr>
                <w:b/>
                <w:sz w:val="18"/>
                <w:szCs w:val="18"/>
              </w:rPr>
              <w:instrText>ADDIN CSL_CITATION {"citationItems":[{"id":"ITEM-1","itemData":{"DOI":"10.1038/s41598-021-83350-6","ISBN":"0123456789","ISSN":"20452322","PMID":"33633134","abstract":"Schizophrenia is a serious mental illness that causes great harm to patients, so timely and accurate detection is essential. This study aimed to identify a better feature to represent electroencephalography (EEG) signals and improve the classification accuracy of patients with schizophrenia and healthy controls by using EEG signals. Our research method involves two steps. First, the EEG time series is preprocessed, and the extracted time-domain and frequency-domain features are transformed into a sequence of red–green–blue (RGB) images that carry spatial information. Second, we construct hybrid deep neural networks (DNNs) that combine convolution neural networks and long short-term memory to address RGB images to classify schizophrenic patients and healthy controls. The results show that the fuzzy entropy (FuzzyEn) feature is more significant than the fast Fourier transform (FFT) feature in brain topography. The deep learning (DL) method that we propose achieves an average accuracy of 99.22% with FuzzyEn and an average accuracy of 96.34% with FFT. These results show that the best effect is to extract fuzzy features as input features from EEG time series and then use a hybrid DNN for classification. Compared with the most advanced methods in this field, significant improvements have been achieved.","author":[{"dropping-particle":"","family":"Sun","given":"Jie","non-dropping-particle":"","parse-names":false,"suffix":""},{"dropping-particle":"","family":"Cao","given":"Rui","non-dropping-particle":"","parse-names":false,"suffix":""},{"dropping-particle":"","family":"Zhou","given":"Mengni","non-dropping-particle":"","parse-names":false,"suffix":""},{"dropping-particle":"","family":"Hussain","given":"Waqar","non-dropping-particle":"","parse-names":false,"suffix":""},{"dropping-particle":"","family":"Wang","given":"Bin","non-dropping-particle":"","parse-names":false,"suffix":""},{"dropping-particle":"","family":"Xue","given":"Jiayue","non-dropping-particle":"","parse-names":false,"suffix":""},{"dropping-particle":"","family":"Xiang","given":"Jie","non-dropping-particle":"","parse-names":false,"suffix":""}],"container-title":"Scientific Reports","id":"ITEM-1","issue":"1","issued":{"date-parts":[["2021"]]},"page":"1-16","publisher":"Nature Publishing Group UK","title":"A hybrid deep neural network for classification of schizophrenia using EEG Data","type":"article-journal","volume":"11"},"uris":["http://www.mendeley.com/documents/?uuid=36470fe4-4316-415a-9921-0fe81b87b9a3"]}],"mendeley":{"formattedCitation":"(Sun et al., 2021)","plainTextFormattedCitation":"(Sun et al., 2021)","previouslyFormattedCitation":"(Sun et al., 2021)"},"properties":{"noteIndex":0},"schema":"https://github.com/citation-style-language/schema/raw/master/csl-citation.json"}</w:instrText>
            </w:r>
            <w:r w:rsidRPr="004F5A11">
              <w:rPr>
                <w:b/>
                <w:sz w:val="18"/>
                <w:szCs w:val="18"/>
              </w:rPr>
              <w:fldChar w:fldCharType="separate"/>
            </w:r>
            <w:r w:rsidRPr="004F5A11">
              <w:rPr>
                <w:b/>
                <w:noProof/>
                <w:sz w:val="18"/>
                <w:szCs w:val="18"/>
              </w:rPr>
              <w:t>(Sun et al., 2021)</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hybrid deep neural network for classification of schizophrenia using EEG Data</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T-f analysis, Hybrid DNN (CNN+LSTM)</w:t>
            </w:r>
          </w:p>
        </w:tc>
        <w:tc>
          <w:tcPr>
            <w:tcW w:w="658" w:type="pct"/>
          </w:tcPr>
          <w:p w:rsidR="009927FC" w:rsidRPr="004F5A11" w:rsidRDefault="009927FC" w:rsidP="006F2BA1">
            <w:pPr>
              <w:rPr>
                <w:sz w:val="20"/>
                <w:szCs w:val="20"/>
              </w:rPr>
            </w:pPr>
            <w:r w:rsidRPr="004F5A11">
              <w:rPr>
                <w:sz w:val="20"/>
                <w:szCs w:val="20"/>
              </w:rPr>
              <w:t>Resting; Eyes open</w:t>
            </w:r>
          </w:p>
        </w:tc>
        <w:tc>
          <w:tcPr>
            <w:tcW w:w="996" w:type="pct"/>
          </w:tcPr>
          <w:p w:rsidR="009927FC" w:rsidRPr="004F5A11" w:rsidRDefault="009927FC" w:rsidP="006F2BA1">
            <w:pPr>
              <w:rPr>
                <w:sz w:val="20"/>
                <w:szCs w:val="20"/>
              </w:rPr>
            </w:pPr>
            <w:r w:rsidRPr="004F5A11">
              <w:rPr>
                <w:sz w:val="20"/>
                <w:szCs w:val="20"/>
              </w:rPr>
              <w:t>DNN’s classification accuracy rate reached 99.22%.</w:t>
            </w:r>
          </w:p>
        </w:tc>
      </w:tr>
      <w:tr w:rsidR="009927FC" w:rsidTr="006F2BA1">
        <w:tc>
          <w:tcPr>
            <w:tcW w:w="244" w:type="pct"/>
          </w:tcPr>
          <w:p w:rsidR="009927FC" w:rsidRPr="004F5A11" w:rsidRDefault="009927FC" w:rsidP="006F2BA1">
            <w:pPr>
              <w:jc w:val="center"/>
              <w:rPr>
                <w:sz w:val="20"/>
                <w:szCs w:val="20"/>
              </w:rPr>
            </w:pPr>
            <w:r w:rsidRPr="004F5A11">
              <w:rPr>
                <w:sz w:val="20"/>
                <w:szCs w:val="20"/>
              </w:rPr>
              <w:t>31</w:t>
            </w:r>
          </w:p>
        </w:tc>
        <w:tc>
          <w:tcPr>
            <w:tcW w:w="658" w:type="pct"/>
          </w:tcPr>
          <w:p w:rsidR="009927FC" w:rsidRPr="004F5A11" w:rsidRDefault="009927FC" w:rsidP="006F2BA1">
            <w:pPr>
              <w:rPr>
                <w:b/>
                <w:sz w:val="18"/>
                <w:szCs w:val="18"/>
              </w:rPr>
            </w:pPr>
            <w:r w:rsidRPr="004F5A11">
              <w:rPr>
                <w:b/>
                <w:sz w:val="18"/>
                <w:szCs w:val="18"/>
              </w:rPr>
              <w:fldChar w:fldCharType="begin" w:fldLock="1"/>
            </w:r>
            <w:r w:rsidR="00AF7881">
              <w:rPr>
                <w:b/>
                <w:sz w:val="18"/>
                <w:szCs w:val="18"/>
              </w:rPr>
              <w:instrText>ADDIN CSL_CITATION {"citationItems":[{"id":"ITEM-1","itemData":{"DOI":"10.1016/j.neucom.2021.02.048","ISSN":"18728286","abstract":"The existed methods for electroencephalograph (EEG) emotion recognition always train the models based on all the EEG samples indistinguishably. However, some of the source (training) samples may lead to a negative influence because they are significant dissimilar with the target (test) samples. So it is necessary to give more attention to the EEG samples with strong transferability rather than forcefully training a classification model by all the samples. Furthermore, for an EEG sample, from the aspect of neuroscience, not all the brain regions of an EEG sample contain emotional information that can transferred to the test data effectively. Even some brain region data will make strong negative effect for learning the emotional classification model. Considering these two issues, in this paper, we propose a transferable attention neural network (TANN) for EEG emotion recognition, which learns the emotional discriminative information by highlighting the transferable EEG brain regions data and samples adaptively through local and global attention mechanism. This can be implemented by measuring the outputs of multiple brain-region-level discriminators and one single sample-level discriminator. Extensive experiments on EEG emotion recognition demonstrate that the proposed TANN is superior to those state-of-the-art methods.","author":[{"dropping-particle":"","family":"Li","given":"Yang","non-dropping-particle":"","parse-names":false,"suffix":""},{"dropping-particle":"","family":"Fu","given":"Boxun","non-dropping-particle":"","parse-names":false,"suffix":""},{"dropping-particle":"","family":"Li","given":"Fu","non-dropping-particle":"","parse-names":false,"suffix":""},{"dropping-particle":"","family":"Shi","given":"Guangming","non-dropping-particle":"","parse-names":false,"suffix":""},{"dropping-particle":"","family":"Zheng","given":"Wenming","non-dropping-particle":"","parse-names":false,"suffix":""}],"container-title":"Neurocomputing","id":"ITEM-1","issued":{"date-parts":[["2021"]]},"page":"92-101","title":"A novel transferability attention neural network model for EEG emotion recognition","type":"article-journal","volume":"447"},"uris":["http://www.mendeley.com/documents/?uuid=42aebf3b-3f3c-4b08-b59d-0fdb14e3a25d"]}],"mendeley":{"formattedCitation":"(Y. Li et al., 2021)","plainTextFormattedCitation":"(Y. Li et al., 2021)","previouslyFormattedCitation":"(Y. Li et al., 2021)"},"properties":{"noteIndex":0},"schema":"https://github.com/citation-style-language/schema/raw/master/csl-citation.json"}</w:instrText>
            </w:r>
            <w:r w:rsidRPr="004F5A11">
              <w:rPr>
                <w:b/>
                <w:sz w:val="18"/>
                <w:szCs w:val="18"/>
              </w:rPr>
              <w:fldChar w:fldCharType="separate"/>
            </w:r>
            <w:r w:rsidRPr="004F5A11">
              <w:rPr>
                <w:b/>
                <w:noProof/>
                <w:sz w:val="18"/>
                <w:szCs w:val="18"/>
              </w:rPr>
              <w:t>(Y. Li et al., 2021)</w:t>
            </w:r>
            <w:r w:rsidRPr="004F5A11">
              <w:rPr>
                <w:b/>
                <w:sz w:val="18"/>
                <w:szCs w:val="18"/>
              </w:rPr>
              <w:fldChar w:fldCharType="end"/>
            </w:r>
          </w:p>
        </w:tc>
        <w:tc>
          <w:tcPr>
            <w:tcW w:w="1269" w:type="pct"/>
          </w:tcPr>
          <w:p w:rsidR="009927FC" w:rsidRPr="004F5A11" w:rsidRDefault="009927FC" w:rsidP="006F2BA1">
            <w:pPr>
              <w:rPr>
                <w:sz w:val="20"/>
                <w:szCs w:val="20"/>
              </w:rPr>
            </w:pPr>
            <w:r w:rsidRPr="004F5A11">
              <w:rPr>
                <w:sz w:val="20"/>
                <w:szCs w:val="20"/>
              </w:rPr>
              <w:t>A novel transferability attention neural network model for EEG emotion recognition</w:t>
            </w:r>
          </w:p>
        </w:tc>
        <w:tc>
          <w:tcPr>
            <w:tcW w:w="470" w:type="pct"/>
          </w:tcPr>
          <w:p w:rsidR="009927FC" w:rsidRPr="004F5A11" w:rsidRDefault="009927FC" w:rsidP="006F2BA1">
            <w:pPr>
              <w:rPr>
                <w:sz w:val="20"/>
                <w:szCs w:val="20"/>
              </w:rPr>
            </w:pPr>
            <w:r w:rsidRPr="004F5A11">
              <w:rPr>
                <w:sz w:val="20"/>
                <w:szCs w:val="20"/>
              </w:rPr>
              <w:t>EEG</w:t>
            </w:r>
          </w:p>
        </w:tc>
        <w:tc>
          <w:tcPr>
            <w:tcW w:w="705" w:type="pct"/>
          </w:tcPr>
          <w:p w:rsidR="009927FC" w:rsidRPr="004F5A11" w:rsidRDefault="009927FC" w:rsidP="006F2BA1">
            <w:pPr>
              <w:rPr>
                <w:sz w:val="20"/>
                <w:szCs w:val="20"/>
              </w:rPr>
            </w:pPr>
            <w:r w:rsidRPr="004F5A11">
              <w:rPr>
                <w:sz w:val="20"/>
                <w:szCs w:val="20"/>
              </w:rPr>
              <w:t>T-f analysis (STFT),</w:t>
            </w:r>
            <w:r w:rsidRPr="004F5A11">
              <w:t xml:space="preserve"> </w:t>
            </w:r>
            <w:r w:rsidRPr="004F5A11">
              <w:rPr>
                <w:sz w:val="20"/>
                <w:szCs w:val="20"/>
              </w:rPr>
              <w:t xml:space="preserve">Transferable attention neural N/w </w:t>
            </w:r>
          </w:p>
        </w:tc>
        <w:tc>
          <w:tcPr>
            <w:tcW w:w="658" w:type="pct"/>
          </w:tcPr>
          <w:p w:rsidR="009927FC" w:rsidRPr="004F5A11" w:rsidRDefault="009927FC" w:rsidP="006F2BA1">
            <w:pPr>
              <w:rPr>
                <w:sz w:val="20"/>
                <w:szCs w:val="20"/>
              </w:rPr>
            </w:pPr>
            <w:r w:rsidRPr="004F5A11">
              <w:rPr>
                <w:sz w:val="20"/>
                <w:szCs w:val="20"/>
              </w:rPr>
              <w:t>Emotion recognition task</w:t>
            </w:r>
          </w:p>
        </w:tc>
        <w:tc>
          <w:tcPr>
            <w:tcW w:w="996" w:type="pct"/>
          </w:tcPr>
          <w:p w:rsidR="009927FC" w:rsidRPr="002C3D3E" w:rsidRDefault="009927FC" w:rsidP="006F2BA1">
            <w:pPr>
              <w:rPr>
                <w:sz w:val="20"/>
                <w:szCs w:val="20"/>
              </w:rPr>
            </w:pPr>
            <w:r w:rsidRPr="004F5A11">
              <w:rPr>
                <w:sz w:val="20"/>
                <w:szCs w:val="20"/>
              </w:rPr>
              <w:t>Improved recognition using TANN. At the sample level and brain-region-level.</w:t>
            </w:r>
          </w:p>
        </w:tc>
      </w:tr>
    </w:tbl>
    <w:p w:rsidR="00F12B85" w:rsidRDefault="00F12B85" w:rsidP="006463C0">
      <w:pPr>
        <w:spacing w:line="480" w:lineRule="auto"/>
        <w:jc w:val="both"/>
        <w:textAlignment w:val="baseline"/>
      </w:pPr>
    </w:p>
    <w:p w:rsidR="000241EC" w:rsidRPr="00A43588" w:rsidRDefault="00A43588" w:rsidP="00AF7881">
      <w:pPr>
        <w:spacing w:line="480" w:lineRule="auto"/>
        <w:jc w:val="center"/>
        <w:textAlignment w:val="baseline"/>
        <w:rPr>
          <w:b/>
        </w:rPr>
      </w:pPr>
      <w:r w:rsidRPr="00A43588">
        <w:rPr>
          <w:b/>
        </w:rPr>
        <w:lastRenderedPageBreak/>
        <w:t>REFERENCES</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sz w:val="22"/>
          <w:szCs w:val="22"/>
        </w:rPr>
        <w:fldChar w:fldCharType="begin" w:fldLock="1"/>
      </w:r>
      <w:r w:rsidRPr="00AF7881">
        <w:rPr>
          <w:sz w:val="22"/>
          <w:szCs w:val="22"/>
        </w:rPr>
        <w:instrText xml:space="preserve">ADDIN Mendeley Bibliography CSL_BIBLIOGRAPHY </w:instrText>
      </w:r>
      <w:r w:rsidRPr="00AF7881">
        <w:rPr>
          <w:sz w:val="22"/>
          <w:szCs w:val="22"/>
        </w:rPr>
        <w:fldChar w:fldCharType="separate"/>
      </w:r>
      <w:r w:rsidRPr="00AF7881">
        <w:rPr>
          <w:noProof/>
          <w:sz w:val="22"/>
          <w:szCs w:val="22"/>
        </w:rPr>
        <w:t xml:space="preserve">Abreu, R., Leal, A., &amp; Figueiredo, P. (2018). EEG-informed fMRI: A review of data analysis methods. </w:t>
      </w:r>
      <w:r w:rsidRPr="00AF7881">
        <w:rPr>
          <w:i/>
          <w:iCs/>
          <w:noProof/>
          <w:sz w:val="22"/>
          <w:szCs w:val="22"/>
        </w:rPr>
        <w:t>Frontiers in Human Neuroscience</w:t>
      </w:r>
      <w:r w:rsidRPr="00AF7881">
        <w:rPr>
          <w:noProof/>
          <w:sz w:val="22"/>
          <w:szCs w:val="22"/>
        </w:rPr>
        <w:t xml:space="preserve">, </w:t>
      </w:r>
      <w:r w:rsidRPr="00AF7881">
        <w:rPr>
          <w:i/>
          <w:iCs/>
          <w:noProof/>
          <w:sz w:val="22"/>
          <w:szCs w:val="22"/>
        </w:rPr>
        <w:t>12</w:t>
      </w:r>
      <w:r w:rsidRPr="00AF7881">
        <w:rPr>
          <w:noProof/>
          <w:sz w:val="22"/>
          <w:szCs w:val="22"/>
        </w:rPr>
        <w:t>(February), 1–23. https://doi.org/10.3389/fnhum.2018.00029</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Arvaneh, M., Robertson, I. H., &amp; Ward, T. E. (2019). A P300-Based Brain-Computer Interface for Improving Attention. </w:t>
      </w:r>
      <w:r w:rsidRPr="00AF7881">
        <w:rPr>
          <w:i/>
          <w:iCs/>
          <w:noProof/>
          <w:sz w:val="22"/>
          <w:szCs w:val="22"/>
        </w:rPr>
        <w:t>Frontiers in Human Neuroscience</w:t>
      </w:r>
      <w:r w:rsidRPr="00AF7881">
        <w:rPr>
          <w:noProof/>
          <w:sz w:val="22"/>
          <w:szCs w:val="22"/>
        </w:rPr>
        <w:t xml:space="preserve">, </w:t>
      </w:r>
      <w:r w:rsidRPr="00AF7881">
        <w:rPr>
          <w:i/>
          <w:iCs/>
          <w:noProof/>
          <w:sz w:val="22"/>
          <w:szCs w:val="22"/>
        </w:rPr>
        <w:t>12</w:t>
      </w:r>
      <w:r w:rsidRPr="00AF7881">
        <w:rPr>
          <w:noProof/>
          <w:sz w:val="22"/>
          <w:szCs w:val="22"/>
        </w:rPr>
        <w:t>. https://doi.org/10.3389/fnhum.2018.00524</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Behzadi, Y., Restom, K., Liau, J., &amp; Liu, T. T. (2007). A component based noise correction method (CompCor) for BOLD and perfusion based fMRI. </w:t>
      </w:r>
      <w:r w:rsidRPr="00AF7881">
        <w:rPr>
          <w:i/>
          <w:iCs/>
          <w:noProof/>
          <w:sz w:val="22"/>
          <w:szCs w:val="22"/>
        </w:rPr>
        <w:t>NeuroImage</w:t>
      </w:r>
      <w:r w:rsidRPr="00AF7881">
        <w:rPr>
          <w:noProof/>
          <w:sz w:val="22"/>
          <w:szCs w:val="22"/>
        </w:rPr>
        <w:t xml:space="preserve">, </w:t>
      </w:r>
      <w:r w:rsidRPr="00AF7881">
        <w:rPr>
          <w:i/>
          <w:iCs/>
          <w:noProof/>
          <w:sz w:val="22"/>
          <w:szCs w:val="22"/>
        </w:rPr>
        <w:t>37</w:t>
      </w:r>
      <w:r w:rsidRPr="00AF7881">
        <w:rPr>
          <w:noProof/>
          <w:sz w:val="22"/>
          <w:szCs w:val="22"/>
        </w:rPr>
        <w:t>(1), 90–101. https://doi.org/10.1016/j.neuroimage.2007.04.042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Bigdely-Shamlo, N., Vankov, A., Ramirez, R. R., &amp; Makeig, S. (2008). Brain activity-based image classification from rapid serial visual presentation. </w:t>
      </w:r>
      <w:r w:rsidRPr="00AF7881">
        <w:rPr>
          <w:i/>
          <w:iCs/>
          <w:noProof/>
          <w:sz w:val="22"/>
          <w:szCs w:val="22"/>
        </w:rPr>
        <w:t>IEEE Transactions on Neural Systems and Rehabilitation Engineering</w:t>
      </w:r>
      <w:r w:rsidRPr="00AF7881">
        <w:rPr>
          <w:noProof/>
          <w:sz w:val="22"/>
          <w:szCs w:val="22"/>
        </w:rPr>
        <w:t xml:space="preserve">, </w:t>
      </w:r>
      <w:r w:rsidRPr="00AF7881">
        <w:rPr>
          <w:i/>
          <w:iCs/>
          <w:noProof/>
          <w:sz w:val="22"/>
          <w:szCs w:val="22"/>
        </w:rPr>
        <w:t>16</w:t>
      </w:r>
      <w:r w:rsidRPr="00AF7881">
        <w:rPr>
          <w:noProof/>
          <w:sz w:val="22"/>
          <w:szCs w:val="22"/>
        </w:rPr>
        <w:t>(5), 432–441. https://doi.org/10.1109/TNSRE.2008.2003381</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Brouwer, A. M., Hogervorst, M. A., Oudejans, B., Ries, A. J., &amp; Touryan, J. (2017). EEG and eye tracking signatures of target encoding during structured visual search. </w:t>
      </w:r>
      <w:r w:rsidRPr="00AF7881">
        <w:rPr>
          <w:i/>
          <w:iCs/>
          <w:noProof/>
          <w:sz w:val="22"/>
          <w:szCs w:val="22"/>
        </w:rPr>
        <w:t>Frontiers in Human Neuroscience</w:t>
      </w:r>
      <w:r w:rsidRPr="00AF7881">
        <w:rPr>
          <w:noProof/>
          <w:sz w:val="22"/>
          <w:szCs w:val="22"/>
        </w:rPr>
        <w:t xml:space="preserve">, </w:t>
      </w:r>
      <w:r w:rsidRPr="00AF7881">
        <w:rPr>
          <w:i/>
          <w:iCs/>
          <w:noProof/>
          <w:sz w:val="22"/>
          <w:szCs w:val="22"/>
        </w:rPr>
        <w:t>11</w:t>
      </w:r>
      <w:r w:rsidRPr="00AF7881">
        <w:rPr>
          <w:noProof/>
          <w:sz w:val="22"/>
          <w:szCs w:val="22"/>
        </w:rPr>
        <w:t>(May), 1–11. https://doi.org/10.3389/fnhum.2017.00264</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Brouwer, A. M., Reuderink, B., Vincent, J., van Gerven, M. A. J., &amp; van Erp, J. B. F. (2013). Distinguishing between target and nontarget fixations in a visual search task using fixation-related potentials. </w:t>
      </w:r>
      <w:r w:rsidRPr="00AF7881">
        <w:rPr>
          <w:i/>
          <w:iCs/>
          <w:noProof/>
          <w:sz w:val="22"/>
          <w:szCs w:val="22"/>
        </w:rPr>
        <w:t>Journal of Vision</w:t>
      </w:r>
      <w:r w:rsidRPr="00AF7881">
        <w:rPr>
          <w:noProof/>
          <w:sz w:val="22"/>
          <w:szCs w:val="22"/>
        </w:rPr>
        <w:t xml:space="preserve">, </w:t>
      </w:r>
      <w:r w:rsidRPr="00AF7881">
        <w:rPr>
          <w:i/>
          <w:iCs/>
          <w:noProof/>
          <w:sz w:val="22"/>
          <w:szCs w:val="22"/>
        </w:rPr>
        <w:t>13</w:t>
      </w:r>
      <w:r w:rsidRPr="00AF7881">
        <w:rPr>
          <w:noProof/>
          <w:sz w:val="22"/>
          <w:szCs w:val="22"/>
        </w:rPr>
        <w:t>(3), 17. https://doi.org/10.1167/13.3.17</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DeLaRosa, B. L., Spence, J. S., Motes, M. A., To, W., Vanneste, S., Kraut, M. A., &amp; Hart, J. (2020). Identification of selection and inhibition components in a Go/NoGo task from EEG spectra using a machine learning classifier. </w:t>
      </w:r>
      <w:r w:rsidRPr="00AF7881">
        <w:rPr>
          <w:i/>
          <w:iCs/>
          <w:noProof/>
          <w:sz w:val="22"/>
          <w:szCs w:val="22"/>
        </w:rPr>
        <w:t>Brain and Behavior</w:t>
      </w:r>
      <w:r w:rsidRPr="00AF7881">
        <w:rPr>
          <w:noProof/>
          <w:sz w:val="22"/>
          <w:szCs w:val="22"/>
        </w:rPr>
        <w:t xml:space="preserve">, </w:t>
      </w:r>
      <w:r w:rsidRPr="00AF7881">
        <w:rPr>
          <w:i/>
          <w:iCs/>
          <w:noProof/>
          <w:sz w:val="22"/>
          <w:szCs w:val="22"/>
        </w:rPr>
        <w:t>10</w:t>
      </w:r>
      <w:r w:rsidRPr="00AF7881">
        <w:rPr>
          <w:noProof/>
          <w:sz w:val="22"/>
          <w:szCs w:val="22"/>
        </w:rPr>
        <w:t>(12), 1–15. https://doi.org/10.1002/brb3.1902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Deshpande, G., Rangaprakash, D., Oeding, L., Cichocki, A., &amp; Hu, X. P. (2017). A new generation of brain-computer interfaces driven by discovery of latent EEG-fMRI linkages using tensor decomposition. </w:t>
      </w:r>
      <w:r w:rsidRPr="00AF7881">
        <w:rPr>
          <w:i/>
          <w:iCs/>
          <w:noProof/>
          <w:sz w:val="22"/>
          <w:szCs w:val="22"/>
        </w:rPr>
        <w:t>Frontiers in Neuroscience</w:t>
      </w:r>
      <w:r w:rsidRPr="00AF7881">
        <w:rPr>
          <w:noProof/>
          <w:sz w:val="22"/>
          <w:szCs w:val="22"/>
        </w:rPr>
        <w:t xml:space="preserve">, </w:t>
      </w:r>
      <w:r w:rsidRPr="00AF7881">
        <w:rPr>
          <w:i/>
          <w:iCs/>
          <w:noProof/>
          <w:sz w:val="22"/>
          <w:szCs w:val="22"/>
        </w:rPr>
        <w:t>11</w:t>
      </w:r>
      <w:r w:rsidRPr="00AF7881">
        <w:rPr>
          <w:noProof/>
          <w:sz w:val="22"/>
          <w:szCs w:val="22"/>
        </w:rPr>
        <w:t>(JUN), 1–13. https://doi.org/10.3389/fnins.2017.00246</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Ganin, I. P., Shishkin, S. L., &amp; Kaplan, A. Y. (2013). A P300-based brain-computer interface with stimuli on moving objects: Four-session single-trial and triple- trial tests with a game-like task design. </w:t>
      </w:r>
      <w:r w:rsidRPr="00AF7881">
        <w:rPr>
          <w:i/>
          <w:iCs/>
          <w:noProof/>
          <w:sz w:val="22"/>
          <w:szCs w:val="22"/>
        </w:rPr>
        <w:t>PLoS ONE</w:t>
      </w:r>
      <w:r w:rsidRPr="00AF7881">
        <w:rPr>
          <w:noProof/>
          <w:sz w:val="22"/>
          <w:szCs w:val="22"/>
        </w:rPr>
        <w:t xml:space="preserve">, </w:t>
      </w:r>
      <w:r w:rsidRPr="00AF7881">
        <w:rPr>
          <w:i/>
          <w:iCs/>
          <w:noProof/>
          <w:sz w:val="22"/>
          <w:szCs w:val="22"/>
        </w:rPr>
        <w:t>8</w:t>
      </w:r>
      <w:r w:rsidRPr="00AF7881">
        <w:rPr>
          <w:noProof/>
          <w:sz w:val="22"/>
          <w:szCs w:val="22"/>
        </w:rPr>
        <w:t>(10), 1–21. https://doi.org/10.1371/journal.pone.0077755</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Gao, Y., Gao, B., Chen, Q., Liu, J., &amp; Zhang, Y. (2020). Deep convolutional neural network-based epileptic electroencephalogram (EEG) signal classification. </w:t>
      </w:r>
      <w:r w:rsidRPr="00AF7881">
        <w:rPr>
          <w:i/>
          <w:iCs/>
          <w:noProof/>
          <w:sz w:val="22"/>
          <w:szCs w:val="22"/>
        </w:rPr>
        <w:t>Frontiers in Neurology</w:t>
      </w:r>
      <w:r w:rsidRPr="00AF7881">
        <w:rPr>
          <w:noProof/>
          <w:sz w:val="22"/>
          <w:szCs w:val="22"/>
        </w:rPr>
        <w:t xml:space="preserve">, </w:t>
      </w:r>
      <w:r w:rsidRPr="00AF7881">
        <w:rPr>
          <w:i/>
          <w:iCs/>
          <w:noProof/>
          <w:sz w:val="22"/>
          <w:szCs w:val="22"/>
        </w:rPr>
        <w:t>11</w:t>
      </w:r>
      <w:r w:rsidRPr="00AF7881">
        <w:rPr>
          <w:noProof/>
          <w:sz w:val="22"/>
          <w:szCs w:val="22"/>
        </w:rPr>
        <w:t>(May), 1–11. https://doi.org/10.3389/fneur.2020.00375</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Gerson, A. D., Parra, L. C., &amp; Sajda, P. (2006). Cortically coupled computer vision for rapid image search. </w:t>
      </w:r>
      <w:r w:rsidRPr="00AF7881">
        <w:rPr>
          <w:i/>
          <w:iCs/>
          <w:noProof/>
          <w:sz w:val="22"/>
          <w:szCs w:val="22"/>
        </w:rPr>
        <w:t>IEEE Transactions on Neural Systems and Rehabilitation Engineering</w:t>
      </w:r>
      <w:r w:rsidRPr="00AF7881">
        <w:rPr>
          <w:noProof/>
          <w:sz w:val="22"/>
          <w:szCs w:val="22"/>
        </w:rPr>
        <w:t xml:space="preserve">, </w:t>
      </w:r>
      <w:r w:rsidRPr="00AF7881">
        <w:rPr>
          <w:i/>
          <w:iCs/>
          <w:noProof/>
          <w:sz w:val="22"/>
          <w:szCs w:val="22"/>
        </w:rPr>
        <w:t>14</w:t>
      </w:r>
      <w:r w:rsidRPr="00AF7881">
        <w:rPr>
          <w:noProof/>
          <w:sz w:val="22"/>
          <w:szCs w:val="22"/>
        </w:rPr>
        <w:t>(2), 174–179. https://doi.org/10.1109/TNSRE.2006.875550</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Gong, M., Xu, G., Li, M., &amp; Lin, F. (2020). An idle state-detecting method based on transient visual evoked </w:t>
      </w:r>
      <w:r w:rsidRPr="00AF7881">
        <w:rPr>
          <w:noProof/>
          <w:sz w:val="22"/>
          <w:szCs w:val="22"/>
        </w:rPr>
        <w:lastRenderedPageBreak/>
        <w:t xml:space="preserve">potentials for an asynchronous ERP-based BCI. </w:t>
      </w:r>
      <w:r w:rsidRPr="00AF7881">
        <w:rPr>
          <w:i/>
          <w:iCs/>
          <w:noProof/>
          <w:sz w:val="22"/>
          <w:szCs w:val="22"/>
        </w:rPr>
        <w:t>Journal of Neuroscience Methods</w:t>
      </w:r>
      <w:r w:rsidRPr="00AF7881">
        <w:rPr>
          <w:noProof/>
          <w:sz w:val="22"/>
          <w:szCs w:val="22"/>
        </w:rPr>
        <w:t xml:space="preserve">, </w:t>
      </w:r>
      <w:r w:rsidRPr="00AF7881">
        <w:rPr>
          <w:i/>
          <w:iCs/>
          <w:noProof/>
          <w:sz w:val="22"/>
          <w:szCs w:val="22"/>
        </w:rPr>
        <w:t>337</w:t>
      </w:r>
      <w:r w:rsidRPr="00AF7881">
        <w:rPr>
          <w:noProof/>
          <w:sz w:val="22"/>
          <w:szCs w:val="22"/>
        </w:rPr>
        <w:t>(March), 108670. https://doi.org/10.1016/j.jneumeth.2020.108670</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Huang, J. S., Li, Y., Chen, B. Q., Lin, C., &amp; Yao, B. (2020). An Intelligent EEG Classification Methodology Based on Sparse Representation Enhanced Deep Learning Networks. </w:t>
      </w:r>
      <w:r w:rsidRPr="00AF7881">
        <w:rPr>
          <w:i/>
          <w:iCs/>
          <w:noProof/>
          <w:sz w:val="22"/>
          <w:szCs w:val="22"/>
        </w:rPr>
        <w:t>Frontiers in Neuroscience</w:t>
      </w:r>
      <w:r w:rsidRPr="00AF7881">
        <w:rPr>
          <w:noProof/>
          <w:sz w:val="22"/>
          <w:szCs w:val="22"/>
        </w:rPr>
        <w:t xml:space="preserve">, </w:t>
      </w:r>
      <w:r w:rsidRPr="00AF7881">
        <w:rPr>
          <w:i/>
          <w:iCs/>
          <w:noProof/>
          <w:sz w:val="22"/>
          <w:szCs w:val="22"/>
        </w:rPr>
        <w:t>14</w:t>
      </w:r>
      <w:r w:rsidRPr="00AF7881">
        <w:rPr>
          <w:noProof/>
          <w:sz w:val="22"/>
          <w:szCs w:val="22"/>
        </w:rPr>
        <w:t>(September), 1–8. https://doi.org/10.3389/fnins.2020.00808</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Huster, R. J., Debener, S., Eichele, T., &amp; Herrmann, C. S. (2012). Methods for simultaneous EEG-fMRI: An introductory review. </w:t>
      </w:r>
      <w:r w:rsidRPr="00AF7881">
        <w:rPr>
          <w:i/>
          <w:iCs/>
          <w:noProof/>
          <w:sz w:val="22"/>
          <w:szCs w:val="22"/>
        </w:rPr>
        <w:t>Journal of Neuroscience</w:t>
      </w:r>
      <w:r w:rsidRPr="00AF7881">
        <w:rPr>
          <w:noProof/>
          <w:sz w:val="22"/>
          <w:szCs w:val="22"/>
        </w:rPr>
        <w:t xml:space="preserve">, </w:t>
      </w:r>
      <w:r w:rsidRPr="00AF7881">
        <w:rPr>
          <w:i/>
          <w:iCs/>
          <w:noProof/>
          <w:sz w:val="22"/>
          <w:szCs w:val="22"/>
        </w:rPr>
        <w:t>32</w:t>
      </w:r>
      <w:r w:rsidRPr="00AF7881">
        <w:rPr>
          <w:noProof/>
          <w:sz w:val="22"/>
          <w:szCs w:val="22"/>
        </w:rPr>
        <w:t>(18), 6053–6060. https://doi.org/10.1523/JNEUROSCI.0447-12.2012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Joshi, R., Goel, P., Sur, M., &amp; Murthy, H. A. (2018). Single trial P300 classification using convolutional LSTM and deep learning ensembles method. In </w:t>
      </w:r>
      <w:r w:rsidRPr="00AF7881">
        <w:rPr>
          <w:i/>
          <w:iCs/>
          <w:noProof/>
          <w:sz w:val="22"/>
          <w:szCs w:val="22"/>
        </w:rPr>
        <w:t>Lecture Notes in Computer Science (including subseries Lecture Notes in Artificial Intelligence and Lecture Notes in Bioinformatics): Vol. 11278 LNCS</w:t>
      </w:r>
      <w:r w:rsidRPr="00AF7881">
        <w:rPr>
          <w:noProof/>
          <w:sz w:val="22"/>
          <w:szCs w:val="22"/>
        </w:rPr>
        <w:t>. Springer International Publishing. https://doi.org/10.1007/978-3-030-04021-5_1</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Kim, S. K., &amp; Kim, L. (2020). Identifying error features in a MI-BCI system using microstates. </w:t>
      </w:r>
      <w:r w:rsidRPr="00AF7881">
        <w:rPr>
          <w:i/>
          <w:iCs/>
          <w:noProof/>
          <w:sz w:val="22"/>
          <w:szCs w:val="22"/>
        </w:rPr>
        <w:t>8th International Winter Conference on Brain-Computer Interface, BCI 2020</w:t>
      </w:r>
      <w:r w:rsidRPr="00AF7881">
        <w:rPr>
          <w:noProof/>
          <w:sz w:val="22"/>
          <w:szCs w:val="22"/>
        </w:rPr>
        <w:t>, 1–3. https://doi.org/10.1109/BCI48061.2020.9061613</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León, J., Escobar, J. J., Ortiz, A., Ortega, J., González, J., Martín-Smith, P., Gan, J. Q., &amp; Damas, M. (2020). Deep learning for EEG-based motor imagery classification: Accuracy-cost trade-off. </w:t>
      </w:r>
      <w:r w:rsidRPr="00AF7881">
        <w:rPr>
          <w:i/>
          <w:iCs/>
          <w:noProof/>
          <w:sz w:val="22"/>
          <w:szCs w:val="22"/>
        </w:rPr>
        <w:t>PLoS ONE</w:t>
      </w:r>
      <w:r w:rsidRPr="00AF7881">
        <w:rPr>
          <w:noProof/>
          <w:sz w:val="22"/>
          <w:szCs w:val="22"/>
        </w:rPr>
        <w:t xml:space="preserve">, </w:t>
      </w:r>
      <w:r w:rsidRPr="00AF7881">
        <w:rPr>
          <w:i/>
          <w:iCs/>
          <w:noProof/>
          <w:sz w:val="22"/>
          <w:szCs w:val="22"/>
        </w:rPr>
        <w:t>15</w:t>
      </w:r>
      <w:r w:rsidRPr="00AF7881">
        <w:rPr>
          <w:noProof/>
          <w:sz w:val="22"/>
          <w:szCs w:val="22"/>
        </w:rPr>
        <w:t>(6), 1–30. https://doi.org/10.1371/journal.pone.0234178</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Li, F., Li, X., Wang, F., Zhang, D., Xia, Y., &amp; He, F. (2020). A novel P300 classification algorithm based on a principal component analysis-convolutional neural network. </w:t>
      </w:r>
      <w:r w:rsidRPr="00AF7881">
        <w:rPr>
          <w:i/>
          <w:iCs/>
          <w:noProof/>
          <w:sz w:val="22"/>
          <w:szCs w:val="22"/>
        </w:rPr>
        <w:t>Applied Sciences (Switzerland)</w:t>
      </w:r>
      <w:r w:rsidRPr="00AF7881">
        <w:rPr>
          <w:noProof/>
          <w:sz w:val="22"/>
          <w:szCs w:val="22"/>
        </w:rPr>
        <w:t xml:space="preserve">, </w:t>
      </w:r>
      <w:r w:rsidRPr="00AF7881">
        <w:rPr>
          <w:i/>
          <w:iCs/>
          <w:noProof/>
          <w:sz w:val="22"/>
          <w:szCs w:val="22"/>
        </w:rPr>
        <w:t>10</w:t>
      </w:r>
      <w:r w:rsidRPr="00AF7881">
        <w:rPr>
          <w:noProof/>
          <w:sz w:val="22"/>
          <w:szCs w:val="22"/>
        </w:rPr>
        <w:t>(4), 1–15. https://doi.org/10.3390/app10041546</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Li, Y., Fu, B., Li, F., Shi, G., &amp; Zheng, W. (2021). A novel transferability attention neural network model for EEG emotion recognition. </w:t>
      </w:r>
      <w:r w:rsidRPr="00AF7881">
        <w:rPr>
          <w:i/>
          <w:iCs/>
          <w:noProof/>
          <w:sz w:val="22"/>
          <w:szCs w:val="22"/>
        </w:rPr>
        <w:t>Neurocomputing</w:t>
      </w:r>
      <w:r w:rsidRPr="00AF7881">
        <w:rPr>
          <w:noProof/>
          <w:sz w:val="22"/>
          <w:szCs w:val="22"/>
        </w:rPr>
        <w:t xml:space="preserve">, </w:t>
      </w:r>
      <w:r w:rsidRPr="00AF7881">
        <w:rPr>
          <w:i/>
          <w:iCs/>
          <w:noProof/>
          <w:sz w:val="22"/>
          <w:szCs w:val="22"/>
        </w:rPr>
        <w:t>447</w:t>
      </w:r>
      <w:r w:rsidRPr="00AF7881">
        <w:rPr>
          <w:noProof/>
          <w:sz w:val="22"/>
          <w:szCs w:val="22"/>
        </w:rPr>
        <w:t>, 92–101. https://doi.org/10.1016/j.neucom.2021.02.048</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Lin, Z., Zeng, Y., Wang, X., Wu, Q., &amp; Yan, B. (2017). Multirapid Serial Visual Presentation Framework for EEG-Based Target Detection. </w:t>
      </w:r>
      <w:r w:rsidRPr="00AF7881">
        <w:rPr>
          <w:i/>
          <w:iCs/>
          <w:noProof/>
          <w:sz w:val="22"/>
          <w:szCs w:val="22"/>
        </w:rPr>
        <w:t>International IEEE/EMBS Conference on Neural Engineering, NER</w:t>
      </w:r>
      <w:r w:rsidRPr="00AF7881">
        <w:rPr>
          <w:noProof/>
          <w:sz w:val="22"/>
          <w:szCs w:val="22"/>
        </w:rPr>
        <w:t xml:space="preserve">, </w:t>
      </w:r>
      <w:r w:rsidRPr="00AF7881">
        <w:rPr>
          <w:i/>
          <w:iCs/>
          <w:noProof/>
          <w:sz w:val="22"/>
          <w:szCs w:val="22"/>
        </w:rPr>
        <w:t>2017</w:t>
      </w:r>
      <w:r w:rsidRPr="00AF7881">
        <w:rPr>
          <w:noProof/>
          <w:sz w:val="22"/>
          <w:szCs w:val="22"/>
        </w:rPr>
        <w:t>, 556–559. https://doi.org/10.1109/NER.2017.8008412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Mehdizavareh, M. H., Hemati, S., &amp; Soltanian-Zadeh, H. (2020). Enhancing performance of subject-specific models via subject-independent information for SSVEP-based BCIs. </w:t>
      </w:r>
      <w:r w:rsidRPr="00AF7881">
        <w:rPr>
          <w:i/>
          <w:iCs/>
          <w:noProof/>
          <w:sz w:val="22"/>
          <w:szCs w:val="22"/>
        </w:rPr>
        <w:t>PLoS ONE</w:t>
      </w:r>
      <w:r w:rsidRPr="00AF7881">
        <w:rPr>
          <w:noProof/>
          <w:sz w:val="22"/>
          <w:szCs w:val="22"/>
        </w:rPr>
        <w:t xml:space="preserve">, </w:t>
      </w:r>
      <w:r w:rsidRPr="00AF7881">
        <w:rPr>
          <w:i/>
          <w:iCs/>
          <w:noProof/>
          <w:sz w:val="22"/>
          <w:szCs w:val="22"/>
        </w:rPr>
        <w:t>15</w:t>
      </w:r>
      <w:r w:rsidRPr="00AF7881">
        <w:rPr>
          <w:noProof/>
          <w:sz w:val="22"/>
          <w:szCs w:val="22"/>
        </w:rPr>
        <w:t>(1), 1–20. https://doi.org/10.1371/journal.pone.0226048</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Murray, M. M., Brunet, D., &amp; Michel, C. M. (2008). Topographic ERP analyses: A step-by-step tutorial review. </w:t>
      </w:r>
      <w:r w:rsidRPr="00AF7881">
        <w:rPr>
          <w:i/>
          <w:iCs/>
          <w:noProof/>
          <w:sz w:val="22"/>
          <w:szCs w:val="22"/>
        </w:rPr>
        <w:t>Brain Topography</w:t>
      </w:r>
      <w:r w:rsidRPr="00AF7881">
        <w:rPr>
          <w:noProof/>
          <w:sz w:val="22"/>
          <w:szCs w:val="22"/>
        </w:rPr>
        <w:t xml:space="preserve">, </w:t>
      </w:r>
      <w:r w:rsidRPr="00AF7881">
        <w:rPr>
          <w:i/>
          <w:iCs/>
          <w:noProof/>
          <w:sz w:val="22"/>
          <w:szCs w:val="22"/>
        </w:rPr>
        <w:t>20</w:t>
      </w:r>
      <w:r w:rsidRPr="00AF7881">
        <w:rPr>
          <w:noProof/>
          <w:sz w:val="22"/>
          <w:szCs w:val="22"/>
        </w:rPr>
        <w:t>(4), 249–264. https://doi.org/10.1007/s10548-008-0054-5</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Nagabushanam, P., Thomas George, S., &amp; Radha, S. (2020). EEG signal classification using LSTM and improved neural network algorithms. </w:t>
      </w:r>
      <w:r w:rsidRPr="00AF7881">
        <w:rPr>
          <w:i/>
          <w:iCs/>
          <w:noProof/>
          <w:sz w:val="22"/>
          <w:szCs w:val="22"/>
        </w:rPr>
        <w:t>Soft Computing</w:t>
      </w:r>
      <w:r w:rsidRPr="00AF7881">
        <w:rPr>
          <w:noProof/>
          <w:sz w:val="22"/>
          <w:szCs w:val="22"/>
        </w:rPr>
        <w:t xml:space="preserve">, </w:t>
      </w:r>
      <w:r w:rsidRPr="00AF7881">
        <w:rPr>
          <w:i/>
          <w:iCs/>
          <w:noProof/>
          <w:sz w:val="22"/>
          <w:szCs w:val="22"/>
        </w:rPr>
        <w:t>24</w:t>
      </w:r>
      <w:r w:rsidRPr="00AF7881">
        <w:rPr>
          <w:noProof/>
          <w:sz w:val="22"/>
          <w:szCs w:val="22"/>
        </w:rPr>
        <w:t xml:space="preserve">(13), 9981–10003. </w:t>
      </w:r>
      <w:r w:rsidRPr="00AF7881">
        <w:rPr>
          <w:noProof/>
          <w:sz w:val="22"/>
          <w:szCs w:val="22"/>
        </w:rPr>
        <w:lastRenderedPageBreak/>
        <w:t>https://doi.org/10.1007/s00500-019-04515-0</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Pascual-Marqui, R. D., Michel, C. M., &amp; Lehmann, D. (1995). Segmentation of Brain Electrical Activity into Microstates; Model Estimation and Validation. </w:t>
      </w:r>
      <w:r w:rsidRPr="00AF7881">
        <w:rPr>
          <w:i/>
          <w:iCs/>
          <w:noProof/>
          <w:sz w:val="22"/>
          <w:szCs w:val="22"/>
        </w:rPr>
        <w:t>IEEE Transactions on Biomedical Engineering</w:t>
      </w:r>
      <w:r w:rsidRPr="00AF7881">
        <w:rPr>
          <w:noProof/>
          <w:sz w:val="22"/>
          <w:szCs w:val="22"/>
        </w:rPr>
        <w:t xml:space="preserve">, </w:t>
      </w:r>
      <w:r w:rsidRPr="00AF7881">
        <w:rPr>
          <w:i/>
          <w:iCs/>
          <w:noProof/>
          <w:sz w:val="22"/>
          <w:szCs w:val="22"/>
        </w:rPr>
        <w:t>42</w:t>
      </w:r>
      <w:r w:rsidRPr="00AF7881">
        <w:rPr>
          <w:noProof/>
          <w:sz w:val="22"/>
          <w:szCs w:val="22"/>
        </w:rPr>
        <w:t>(7), 658–665. https://doi.org/10.1109/10.391164</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Pereira, J., Ofner, P., Schwarz, A., Sburlea, A. I., &amp; Müller-Putz, G. R. (2017). EEG neural correlates of goal-directed movement intention. </w:t>
      </w:r>
      <w:r w:rsidRPr="00AF7881">
        <w:rPr>
          <w:i/>
          <w:iCs/>
          <w:noProof/>
          <w:sz w:val="22"/>
          <w:szCs w:val="22"/>
        </w:rPr>
        <w:t>NeuroImage</w:t>
      </w:r>
      <w:r w:rsidRPr="00AF7881">
        <w:rPr>
          <w:noProof/>
          <w:sz w:val="22"/>
          <w:szCs w:val="22"/>
        </w:rPr>
        <w:t xml:space="preserve">, </w:t>
      </w:r>
      <w:r w:rsidRPr="00AF7881">
        <w:rPr>
          <w:i/>
          <w:iCs/>
          <w:noProof/>
          <w:sz w:val="22"/>
          <w:szCs w:val="22"/>
        </w:rPr>
        <w:t>149</w:t>
      </w:r>
      <w:r w:rsidRPr="00AF7881">
        <w:rPr>
          <w:noProof/>
          <w:sz w:val="22"/>
          <w:szCs w:val="22"/>
        </w:rPr>
        <w:t>(January), 129–140. https://doi.org/10.1016/j.neuroimage.2017.01.030</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Pernet, C. R., Wilcox, R., &amp; Rousselet, G. A. (2013). Robust correlation analyses: False positive and power validation using a new open source matlab toolbox. </w:t>
      </w:r>
      <w:r w:rsidRPr="00AF7881">
        <w:rPr>
          <w:i/>
          <w:iCs/>
          <w:noProof/>
          <w:sz w:val="22"/>
          <w:szCs w:val="22"/>
        </w:rPr>
        <w:t>Frontiers in Psychology</w:t>
      </w:r>
      <w:r w:rsidRPr="00AF7881">
        <w:rPr>
          <w:noProof/>
          <w:sz w:val="22"/>
          <w:szCs w:val="22"/>
        </w:rPr>
        <w:t xml:space="preserve">, </w:t>
      </w:r>
      <w:r w:rsidRPr="00AF7881">
        <w:rPr>
          <w:i/>
          <w:iCs/>
          <w:noProof/>
          <w:sz w:val="22"/>
          <w:szCs w:val="22"/>
        </w:rPr>
        <w:t>3</w:t>
      </w:r>
      <w:r w:rsidRPr="00AF7881">
        <w:rPr>
          <w:noProof/>
          <w:sz w:val="22"/>
          <w:szCs w:val="22"/>
        </w:rPr>
        <w:t>(JAN), 1–18. https://doi.org/10.3389/fpsyg.2012.00606</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Rohani, D. A., &amp; Puthusserypady, S. (2015). BCI inside a virtual reality classroom: a potential training tool for attention. </w:t>
      </w:r>
      <w:r w:rsidRPr="00AF7881">
        <w:rPr>
          <w:i/>
          <w:iCs/>
          <w:noProof/>
          <w:sz w:val="22"/>
          <w:szCs w:val="22"/>
        </w:rPr>
        <w:t>EPJ Nonlinear Biomedical Physics</w:t>
      </w:r>
      <w:r w:rsidRPr="00AF7881">
        <w:rPr>
          <w:noProof/>
          <w:sz w:val="22"/>
          <w:szCs w:val="22"/>
        </w:rPr>
        <w:t xml:space="preserve">, </w:t>
      </w:r>
      <w:r w:rsidRPr="00AF7881">
        <w:rPr>
          <w:i/>
          <w:iCs/>
          <w:noProof/>
          <w:sz w:val="22"/>
          <w:szCs w:val="22"/>
        </w:rPr>
        <w:t>3</w:t>
      </w:r>
      <w:r w:rsidRPr="00AF7881">
        <w:rPr>
          <w:noProof/>
          <w:sz w:val="22"/>
          <w:szCs w:val="22"/>
        </w:rPr>
        <w:t>(1). https://doi.org/10.1140/epjnbp/s40366-015-0027-z</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Sikka, A., Jamalabadi, H., Krylova, M., Alizadeh, S., van der Meer, J. N., Danyeli, L., Deliano, M., Vicheva, P., Hahn, T., Koenig, T., Bathula, D. R., &amp; Walter, M. (2020). Investigating the temporal dynamics of electroencephalogram (EEG) microstates using recurrent neural networks. </w:t>
      </w:r>
      <w:r w:rsidRPr="00AF7881">
        <w:rPr>
          <w:i/>
          <w:iCs/>
          <w:noProof/>
          <w:sz w:val="22"/>
          <w:szCs w:val="22"/>
        </w:rPr>
        <w:t>Human Brain Mapping</w:t>
      </w:r>
      <w:r w:rsidRPr="00AF7881">
        <w:rPr>
          <w:noProof/>
          <w:sz w:val="22"/>
          <w:szCs w:val="22"/>
        </w:rPr>
        <w:t xml:space="preserve">, </w:t>
      </w:r>
      <w:r w:rsidRPr="00AF7881">
        <w:rPr>
          <w:i/>
          <w:iCs/>
          <w:noProof/>
          <w:sz w:val="22"/>
          <w:szCs w:val="22"/>
        </w:rPr>
        <w:t>41</w:t>
      </w:r>
      <w:r w:rsidRPr="00AF7881">
        <w:rPr>
          <w:noProof/>
          <w:sz w:val="22"/>
          <w:szCs w:val="22"/>
        </w:rPr>
        <w:t>(9), 2334–2346. https://doi.org/10.1002/hbm.24949</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Sun, J., Cao, R., Zhou, M., Hussain, W., Wang, B., Xue, J., &amp; Xiang, J. (2021). A hybrid deep neural network for classification of schizophrenia using EEG Data. </w:t>
      </w:r>
      <w:r w:rsidRPr="00AF7881">
        <w:rPr>
          <w:i/>
          <w:iCs/>
          <w:noProof/>
          <w:sz w:val="22"/>
          <w:szCs w:val="22"/>
        </w:rPr>
        <w:t>Scientific Reports</w:t>
      </w:r>
      <w:r w:rsidRPr="00AF7881">
        <w:rPr>
          <w:noProof/>
          <w:sz w:val="22"/>
          <w:szCs w:val="22"/>
        </w:rPr>
        <w:t xml:space="preserve">, </w:t>
      </w:r>
      <w:r w:rsidRPr="00AF7881">
        <w:rPr>
          <w:i/>
          <w:iCs/>
          <w:noProof/>
          <w:sz w:val="22"/>
          <w:szCs w:val="22"/>
        </w:rPr>
        <w:t>11</w:t>
      </w:r>
      <w:r w:rsidRPr="00AF7881">
        <w:rPr>
          <w:noProof/>
          <w:sz w:val="22"/>
          <w:szCs w:val="22"/>
        </w:rPr>
        <w:t>(1), 1–16. https://doi.org/10.1038/s41598-021-83350-6</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Tang, Z., Sun, S., Zhang, S., Chen, Y., Li, C., &amp; Chen, S. (2016). A brain-machine interface based on ERD/ERS for an upper-limb exoskeleton control. </w:t>
      </w:r>
      <w:r w:rsidRPr="00AF7881">
        <w:rPr>
          <w:i/>
          <w:iCs/>
          <w:noProof/>
          <w:sz w:val="22"/>
          <w:szCs w:val="22"/>
        </w:rPr>
        <w:t>Sensors (Switzerland)</w:t>
      </w:r>
      <w:r w:rsidRPr="00AF7881">
        <w:rPr>
          <w:noProof/>
          <w:sz w:val="22"/>
          <w:szCs w:val="22"/>
        </w:rPr>
        <w:t xml:space="preserve">, </w:t>
      </w:r>
      <w:r w:rsidRPr="00AF7881">
        <w:rPr>
          <w:i/>
          <w:iCs/>
          <w:noProof/>
          <w:sz w:val="22"/>
          <w:szCs w:val="22"/>
        </w:rPr>
        <w:t>16</w:t>
      </w:r>
      <w:r w:rsidRPr="00AF7881">
        <w:rPr>
          <w:noProof/>
          <w:sz w:val="22"/>
          <w:szCs w:val="22"/>
        </w:rPr>
        <w:t>(12), 1–14. https://doi.org/10.3390/s16122050</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Vahid, A., Mückschel, M., Stober, S., Stock, A. K., &amp; Beste, C. (2020). Applying deep learning to single-trial EEG data provides evidence for complementary theories on action control. </w:t>
      </w:r>
      <w:r w:rsidRPr="00AF7881">
        <w:rPr>
          <w:i/>
          <w:iCs/>
          <w:noProof/>
          <w:sz w:val="22"/>
          <w:szCs w:val="22"/>
        </w:rPr>
        <w:t>Communications Biology</w:t>
      </w:r>
      <w:r w:rsidRPr="00AF7881">
        <w:rPr>
          <w:noProof/>
          <w:sz w:val="22"/>
          <w:szCs w:val="22"/>
        </w:rPr>
        <w:t xml:space="preserve">, </w:t>
      </w:r>
      <w:r w:rsidRPr="00AF7881">
        <w:rPr>
          <w:i/>
          <w:iCs/>
          <w:noProof/>
          <w:sz w:val="22"/>
          <w:szCs w:val="22"/>
        </w:rPr>
        <w:t>3</w:t>
      </w:r>
      <w:r w:rsidRPr="00AF7881">
        <w:rPr>
          <w:noProof/>
          <w:sz w:val="22"/>
          <w:szCs w:val="22"/>
        </w:rPr>
        <w:t>(1). https://doi.org/10.1038/s42003-020-0846-z</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Vareka, L., &amp; Mautner, P. (2017). Stacked autoencoders for the P300 component detection. </w:t>
      </w:r>
      <w:r w:rsidRPr="00AF7881">
        <w:rPr>
          <w:i/>
          <w:iCs/>
          <w:noProof/>
          <w:sz w:val="22"/>
          <w:szCs w:val="22"/>
        </w:rPr>
        <w:t>Frontiers in Neuroscience</w:t>
      </w:r>
      <w:r w:rsidRPr="00AF7881">
        <w:rPr>
          <w:noProof/>
          <w:sz w:val="22"/>
          <w:szCs w:val="22"/>
        </w:rPr>
        <w:t xml:space="preserve">, </w:t>
      </w:r>
      <w:r w:rsidRPr="00AF7881">
        <w:rPr>
          <w:i/>
          <w:iCs/>
          <w:noProof/>
          <w:sz w:val="22"/>
          <w:szCs w:val="22"/>
        </w:rPr>
        <w:t>11</w:t>
      </w:r>
      <w:r w:rsidRPr="00AF7881">
        <w:rPr>
          <w:noProof/>
          <w:sz w:val="22"/>
          <w:szCs w:val="22"/>
        </w:rPr>
        <w:t>(MAY). https://doi.org/10.3389/fnins.2017.00302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Vaswani, A.,  et al. (2017). Attention Is All You Need. </w:t>
      </w:r>
      <w:r w:rsidRPr="00AF7881">
        <w:rPr>
          <w:i/>
          <w:iCs/>
          <w:noProof/>
          <w:sz w:val="22"/>
          <w:szCs w:val="22"/>
        </w:rPr>
        <w:t>IEEE Industry Applications Magazine</w:t>
      </w:r>
      <w:r w:rsidRPr="00AF7881">
        <w:rPr>
          <w:noProof/>
          <w:sz w:val="22"/>
          <w:szCs w:val="22"/>
        </w:rPr>
        <w:t xml:space="preserve">, </w:t>
      </w:r>
      <w:r w:rsidRPr="00AF7881">
        <w:rPr>
          <w:i/>
          <w:iCs/>
          <w:noProof/>
          <w:sz w:val="22"/>
          <w:szCs w:val="22"/>
        </w:rPr>
        <w:t>8</w:t>
      </w:r>
      <w:r w:rsidRPr="00AF7881">
        <w:rPr>
          <w:noProof/>
          <w:sz w:val="22"/>
          <w:szCs w:val="22"/>
        </w:rPr>
        <w:t>(1), 8–15. https://doi.org/10.1109/2943.974352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Wager, T. D., Keller, M. C., Lacey, S. C., &amp; Jonides, J. (2005). Increased sensitivity in neuroimaging analyses using robust regression. </w:t>
      </w:r>
      <w:r w:rsidRPr="00AF7881">
        <w:rPr>
          <w:i/>
          <w:iCs/>
          <w:noProof/>
          <w:sz w:val="22"/>
          <w:szCs w:val="22"/>
        </w:rPr>
        <w:t>NeuroImage</w:t>
      </w:r>
      <w:r w:rsidRPr="00AF7881">
        <w:rPr>
          <w:noProof/>
          <w:sz w:val="22"/>
          <w:szCs w:val="22"/>
        </w:rPr>
        <w:t xml:space="preserve">, </w:t>
      </w:r>
      <w:r w:rsidRPr="00AF7881">
        <w:rPr>
          <w:i/>
          <w:iCs/>
          <w:noProof/>
          <w:sz w:val="22"/>
          <w:szCs w:val="22"/>
        </w:rPr>
        <w:t>26</w:t>
      </w:r>
      <w:r w:rsidRPr="00AF7881">
        <w:rPr>
          <w:noProof/>
          <w:sz w:val="22"/>
          <w:szCs w:val="22"/>
        </w:rPr>
        <w:t>(1), 99–113. https://doi.org/10.1016/j.neuroimage.2005.01.011</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Wang, Y., &amp; Jung, T. P. (2011). A collaborative brain-computer interface for improving human </w:t>
      </w:r>
      <w:r w:rsidRPr="00AF7881">
        <w:rPr>
          <w:noProof/>
          <w:sz w:val="22"/>
          <w:szCs w:val="22"/>
        </w:rPr>
        <w:lastRenderedPageBreak/>
        <w:t xml:space="preserve">performance. </w:t>
      </w:r>
      <w:r w:rsidRPr="00AF7881">
        <w:rPr>
          <w:i/>
          <w:iCs/>
          <w:noProof/>
          <w:sz w:val="22"/>
          <w:szCs w:val="22"/>
        </w:rPr>
        <w:t>PLoS ONE</w:t>
      </w:r>
      <w:r w:rsidRPr="00AF7881">
        <w:rPr>
          <w:noProof/>
          <w:sz w:val="22"/>
          <w:szCs w:val="22"/>
        </w:rPr>
        <w:t xml:space="preserve">, </w:t>
      </w:r>
      <w:r w:rsidRPr="00AF7881">
        <w:rPr>
          <w:i/>
          <w:iCs/>
          <w:noProof/>
          <w:sz w:val="22"/>
          <w:szCs w:val="22"/>
        </w:rPr>
        <w:t>6</w:t>
      </w:r>
      <w:r w:rsidRPr="00AF7881">
        <w:rPr>
          <w:noProof/>
          <w:sz w:val="22"/>
          <w:szCs w:val="22"/>
        </w:rPr>
        <w:t>(5). https://doi.org/10.1371/journal.pone.0020422</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Whitfield-gabrieli, S., &amp; Nieto-castanon, A. (2012). </w:t>
      </w:r>
      <w:r w:rsidRPr="00AF7881">
        <w:rPr>
          <w:i/>
          <w:iCs/>
          <w:noProof/>
          <w:sz w:val="22"/>
          <w:szCs w:val="22"/>
        </w:rPr>
        <w:t>Conn : A Functional Connectivity Toolbox for Correlated and Anticorrelated Brain Networks</w:t>
      </w:r>
      <w:r w:rsidRPr="00AF7881">
        <w:rPr>
          <w:noProof/>
          <w:sz w:val="22"/>
          <w:szCs w:val="22"/>
        </w:rPr>
        <w:t xml:space="preserve">. </w:t>
      </w:r>
      <w:r w:rsidRPr="00AF7881">
        <w:rPr>
          <w:i/>
          <w:iCs/>
          <w:noProof/>
          <w:sz w:val="22"/>
          <w:szCs w:val="22"/>
        </w:rPr>
        <w:t>2</w:t>
      </w:r>
      <w:r w:rsidRPr="00AF7881">
        <w:rPr>
          <w:noProof/>
          <w:sz w:val="22"/>
          <w:szCs w:val="22"/>
        </w:rPr>
        <w:t>(3). https://doi.org/10.1089/brain.2012.0073</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Won, K., Kwon, M., Jang, S., Ahn, M., &amp; Jun, S. C. (2019). P300 Speller Performance Predictor Based on RSVP Multi-feature. </w:t>
      </w:r>
      <w:r w:rsidRPr="00AF7881">
        <w:rPr>
          <w:i/>
          <w:iCs/>
          <w:noProof/>
          <w:sz w:val="22"/>
          <w:szCs w:val="22"/>
        </w:rPr>
        <w:t>Frontiers in Human Neuroscience</w:t>
      </w:r>
      <w:r w:rsidRPr="00AF7881">
        <w:rPr>
          <w:noProof/>
          <w:sz w:val="22"/>
          <w:szCs w:val="22"/>
        </w:rPr>
        <w:t xml:space="preserve">, </w:t>
      </w:r>
      <w:r w:rsidRPr="00AF7881">
        <w:rPr>
          <w:i/>
          <w:iCs/>
          <w:noProof/>
          <w:sz w:val="22"/>
          <w:szCs w:val="22"/>
        </w:rPr>
        <w:t>13</w:t>
      </w:r>
      <w:r w:rsidRPr="00AF7881">
        <w:rPr>
          <w:noProof/>
          <w:sz w:val="22"/>
          <w:szCs w:val="22"/>
        </w:rPr>
        <w:t>. https://doi.org/10.3389/fnhum.2019.00261</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Zafar, R., Kamel, N., Naufal, M., Saeed, A., Sarat, M., Rana, C. D., &amp; Ahmad, F. (2018). A study of decoding human brain activities from simultaneous data of EEG and fMRI using MVPA. </w:t>
      </w:r>
      <w:r w:rsidRPr="00AF7881">
        <w:rPr>
          <w:i/>
          <w:iCs/>
          <w:noProof/>
          <w:sz w:val="22"/>
          <w:szCs w:val="22"/>
        </w:rPr>
        <w:t>Australasian Physical &amp; Engineering Sciences in Medicine</w:t>
      </w:r>
      <w:r w:rsidRPr="00AF7881">
        <w:rPr>
          <w:noProof/>
          <w:sz w:val="22"/>
          <w:szCs w:val="22"/>
        </w:rPr>
        <w:t xml:space="preserve">, </w:t>
      </w:r>
      <w:r w:rsidRPr="00AF7881">
        <w:rPr>
          <w:i/>
          <w:iCs/>
          <w:noProof/>
          <w:sz w:val="22"/>
          <w:szCs w:val="22"/>
        </w:rPr>
        <w:t>0</w:t>
      </w:r>
      <w:r w:rsidRPr="00AF7881">
        <w:rPr>
          <w:noProof/>
          <w:sz w:val="22"/>
          <w:szCs w:val="22"/>
        </w:rPr>
        <w:t>(0), 0. https://doi.org/10.1007/s13246-018-0656-5</w:t>
      </w:r>
    </w:p>
    <w:p w:rsidR="00AF7881" w:rsidRPr="00AF7881" w:rsidRDefault="00AF7881" w:rsidP="00AF7881">
      <w:pPr>
        <w:widowControl w:val="0"/>
        <w:autoSpaceDE w:val="0"/>
        <w:autoSpaceDN w:val="0"/>
        <w:adjustRightInd w:val="0"/>
        <w:spacing w:line="360" w:lineRule="auto"/>
        <w:ind w:left="480" w:hanging="480"/>
        <w:jc w:val="both"/>
        <w:rPr>
          <w:noProof/>
          <w:sz w:val="22"/>
          <w:szCs w:val="22"/>
        </w:rPr>
      </w:pPr>
      <w:r w:rsidRPr="00AF7881">
        <w:rPr>
          <w:noProof/>
          <w:sz w:val="22"/>
          <w:szCs w:val="22"/>
        </w:rPr>
        <w:t xml:space="preserve">Zapała, D., Zabielska-Mendyk, E., Augustynowicz, P., Cudo, A., Jaśkiewicz, M., Szewczyk, M., Kopiś, N., &amp; Francuz, P. (2020). The effects of handedness on sensorimotor rhythm desynchronization and motor-imagery BCI control. </w:t>
      </w:r>
      <w:r w:rsidRPr="00AF7881">
        <w:rPr>
          <w:i/>
          <w:iCs/>
          <w:noProof/>
          <w:sz w:val="22"/>
          <w:szCs w:val="22"/>
        </w:rPr>
        <w:t>Scientific Reports</w:t>
      </w:r>
      <w:r w:rsidRPr="00AF7881">
        <w:rPr>
          <w:noProof/>
          <w:sz w:val="22"/>
          <w:szCs w:val="22"/>
        </w:rPr>
        <w:t xml:space="preserve">, </w:t>
      </w:r>
      <w:r w:rsidRPr="00AF7881">
        <w:rPr>
          <w:i/>
          <w:iCs/>
          <w:noProof/>
          <w:sz w:val="22"/>
          <w:szCs w:val="22"/>
        </w:rPr>
        <w:t>10</w:t>
      </w:r>
      <w:r w:rsidRPr="00AF7881">
        <w:rPr>
          <w:noProof/>
          <w:sz w:val="22"/>
          <w:szCs w:val="22"/>
        </w:rPr>
        <w:t>(1), 1–11. https://doi.org/10.1038/s41598-020-59222-w</w:t>
      </w:r>
    </w:p>
    <w:p w:rsidR="00AF7881" w:rsidRPr="00413363" w:rsidRDefault="00AF7881" w:rsidP="00434719">
      <w:pPr>
        <w:widowControl w:val="0"/>
        <w:autoSpaceDE w:val="0"/>
        <w:autoSpaceDN w:val="0"/>
        <w:adjustRightInd w:val="0"/>
        <w:spacing w:line="360" w:lineRule="auto"/>
        <w:ind w:left="480" w:hanging="480"/>
        <w:jc w:val="both"/>
      </w:pPr>
      <w:r w:rsidRPr="00AF7881">
        <w:rPr>
          <w:noProof/>
          <w:sz w:val="22"/>
          <w:szCs w:val="22"/>
        </w:rPr>
        <w:t xml:space="preserve">Zhang, G., Davoodnia, V., Sepas-Moghaddam, A., Zhang, Y., &amp; Etemad, A. (2020). Classification of Hand Movements from EEG Using a Deep Attention-Based LSTM Network. </w:t>
      </w:r>
      <w:r w:rsidRPr="00AF7881">
        <w:rPr>
          <w:i/>
          <w:iCs/>
          <w:noProof/>
          <w:sz w:val="22"/>
          <w:szCs w:val="22"/>
        </w:rPr>
        <w:t>IEEE Sensors Journal</w:t>
      </w:r>
      <w:r w:rsidRPr="00AF7881">
        <w:rPr>
          <w:noProof/>
          <w:sz w:val="22"/>
          <w:szCs w:val="22"/>
        </w:rPr>
        <w:t xml:space="preserve">, </w:t>
      </w:r>
      <w:r w:rsidRPr="00AF7881">
        <w:rPr>
          <w:i/>
          <w:iCs/>
          <w:noProof/>
          <w:sz w:val="22"/>
          <w:szCs w:val="22"/>
        </w:rPr>
        <w:t>20</w:t>
      </w:r>
      <w:r w:rsidRPr="00AF7881">
        <w:rPr>
          <w:noProof/>
          <w:sz w:val="22"/>
          <w:szCs w:val="22"/>
        </w:rPr>
        <w:t>(6), 3113–3122. https://doi.org/10.1109/JSEN.2019.2956998</w:t>
      </w:r>
      <w:r w:rsidRPr="00AF7881">
        <w:rPr>
          <w:sz w:val="22"/>
          <w:szCs w:val="22"/>
        </w:rPr>
        <w:fldChar w:fldCharType="end"/>
      </w:r>
    </w:p>
    <w:sectPr w:rsidR="00AF7881" w:rsidRPr="00413363" w:rsidSect="00E42103">
      <w:footerReference w:type="default" r:id="rId1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49CB" w:rsidRDefault="003249CB" w:rsidP="00E42103">
      <w:r>
        <w:separator/>
      </w:r>
    </w:p>
  </w:endnote>
  <w:endnote w:type="continuationSeparator" w:id="0">
    <w:p w:rsidR="003249CB" w:rsidRDefault="003249CB" w:rsidP="00E42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ozuka Mincho Pro B">
    <w:panose1 w:val="02020800000000000000"/>
    <w:charset w:val="80"/>
    <w:family w:val="roman"/>
    <w:notTrueType/>
    <w:pitch w:val="variable"/>
    <w:sig w:usb0="00000283" w:usb1="2AC71C11" w:usb2="00000012" w:usb3="00000000" w:csb0="00020005"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FBX1095">
    <w:altName w:val="Calibri"/>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8804735"/>
      <w:docPartObj>
        <w:docPartGallery w:val="Page Numbers (Bottom of Page)"/>
        <w:docPartUnique/>
      </w:docPartObj>
    </w:sdtPr>
    <w:sdtEndPr>
      <w:rPr>
        <w:noProof/>
      </w:rPr>
    </w:sdtEndPr>
    <w:sdtContent>
      <w:p w:rsidR="00E42103" w:rsidRDefault="00E4210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E42103" w:rsidRDefault="00E421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49CB" w:rsidRDefault="003249CB" w:rsidP="00E42103">
      <w:r>
        <w:separator/>
      </w:r>
    </w:p>
  </w:footnote>
  <w:footnote w:type="continuationSeparator" w:id="0">
    <w:p w:rsidR="003249CB" w:rsidRDefault="003249CB" w:rsidP="00E421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A3MDIxNzUyMrSwMDZT0lEKTi0uzszPAykwNKoFAELbcc8tAAAA"/>
  </w:docVars>
  <w:rsids>
    <w:rsidRoot w:val="008F5C9E"/>
    <w:rsid w:val="0001683C"/>
    <w:rsid w:val="000241EC"/>
    <w:rsid w:val="00051457"/>
    <w:rsid w:val="00076183"/>
    <w:rsid w:val="00092F3B"/>
    <w:rsid w:val="000C29E3"/>
    <w:rsid w:val="000D5B70"/>
    <w:rsid w:val="000E1DC9"/>
    <w:rsid w:val="00136450"/>
    <w:rsid w:val="001A3210"/>
    <w:rsid w:val="001B19F5"/>
    <w:rsid w:val="001D5EA5"/>
    <w:rsid w:val="00265578"/>
    <w:rsid w:val="0029593A"/>
    <w:rsid w:val="002F7CFC"/>
    <w:rsid w:val="003249CB"/>
    <w:rsid w:val="00333F76"/>
    <w:rsid w:val="0035138A"/>
    <w:rsid w:val="003935A0"/>
    <w:rsid w:val="00407D9D"/>
    <w:rsid w:val="00434719"/>
    <w:rsid w:val="00476CBA"/>
    <w:rsid w:val="00495100"/>
    <w:rsid w:val="004D794F"/>
    <w:rsid w:val="004E1362"/>
    <w:rsid w:val="004F5A11"/>
    <w:rsid w:val="0055118D"/>
    <w:rsid w:val="00555D5A"/>
    <w:rsid w:val="00576AD0"/>
    <w:rsid w:val="006131BB"/>
    <w:rsid w:val="00643947"/>
    <w:rsid w:val="006463C0"/>
    <w:rsid w:val="00650122"/>
    <w:rsid w:val="006575B5"/>
    <w:rsid w:val="006C1A22"/>
    <w:rsid w:val="006C2407"/>
    <w:rsid w:val="006F2BA1"/>
    <w:rsid w:val="007902B1"/>
    <w:rsid w:val="007927ED"/>
    <w:rsid w:val="007941E5"/>
    <w:rsid w:val="007B00DF"/>
    <w:rsid w:val="007B26EC"/>
    <w:rsid w:val="007C550F"/>
    <w:rsid w:val="008C3384"/>
    <w:rsid w:val="008F32C7"/>
    <w:rsid w:val="008F5C9E"/>
    <w:rsid w:val="0091510E"/>
    <w:rsid w:val="009412B9"/>
    <w:rsid w:val="009927FC"/>
    <w:rsid w:val="009A2C36"/>
    <w:rsid w:val="009E3EE8"/>
    <w:rsid w:val="009F674D"/>
    <w:rsid w:val="00A43588"/>
    <w:rsid w:val="00AA778F"/>
    <w:rsid w:val="00AF7881"/>
    <w:rsid w:val="00B90135"/>
    <w:rsid w:val="00C90844"/>
    <w:rsid w:val="00C92257"/>
    <w:rsid w:val="00D216E9"/>
    <w:rsid w:val="00D21853"/>
    <w:rsid w:val="00DF762F"/>
    <w:rsid w:val="00E10E44"/>
    <w:rsid w:val="00E42103"/>
    <w:rsid w:val="00E449AA"/>
    <w:rsid w:val="00EB3898"/>
    <w:rsid w:val="00EE777D"/>
    <w:rsid w:val="00F12B85"/>
    <w:rsid w:val="00FC0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33BDD8"/>
  <w14:discardImageEditingData/>
  <w14:defaultImageDpi w14:val="32767"/>
  <w15:chartTrackingRefBased/>
  <w15:docId w15:val="{D2EC0586-4E1A-4454-BCF6-6FF836C2C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5C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2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5">
    <w:name w:val="Grid Table 5 Dark Accent 5"/>
    <w:basedOn w:val="TableNormal"/>
    <w:uiPriority w:val="50"/>
    <w:rsid w:val="00407D9D"/>
    <w:pPr>
      <w:spacing w:after="0" w:line="240" w:lineRule="auto"/>
    </w:pPr>
    <w:rPr>
      <w:szCs w:val="20"/>
      <w:lang w:bidi="hi-I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normaltextrun">
    <w:name w:val="normaltextrun"/>
    <w:basedOn w:val="DefaultParagraphFont"/>
    <w:rsid w:val="0035138A"/>
  </w:style>
  <w:style w:type="character" w:customStyle="1" w:styleId="eop">
    <w:name w:val="eop"/>
    <w:basedOn w:val="DefaultParagraphFont"/>
    <w:rsid w:val="0035138A"/>
  </w:style>
  <w:style w:type="table" w:customStyle="1" w:styleId="GridTable5Dark-Accent11">
    <w:name w:val="Grid Table 5 Dark - Accent 11"/>
    <w:basedOn w:val="TableNormal"/>
    <w:next w:val="GridTable5Dark-Accent1"/>
    <w:uiPriority w:val="50"/>
    <w:rsid w:val="00D216E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1">
    <w:name w:val="Grid Table 5 Dark Accent 1"/>
    <w:basedOn w:val="TableNormal"/>
    <w:uiPriority w:val="50"/>
    <w:rsid w:val="00D216E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styleId="LineNumber">
    <w:name w:val="line number"/>
    <w:basedOn w:val="DefaultParagraphFont"/>
    <w:uiPriority w:val="99"/>
    <w:semiHidden/>
    <w:unhideWhenUsed/>
    <w:rsid w:val="00E42103"/>
  </w:style>
  <w:style w:type="paragraph" w:styleId="Header">
    <w:name w:val="header"/>
    <w:basedOn w:val="Normal"/>
    <w:link w:val="HeaderChar"/>
    <w:uiPriority w:val="99"/>
    <w:unhideWhenUsed/>
    <w:rsid w:val="00E42103"/>
    <w:pPr>
      <w:tabs>
        <w:tab w:val="center" w:pos="4680"/>
        <w:tab w:val="right" w:pos="9360"/>
      </w:tabs>
    </w:pPr>
  </w:style>
  <w:style w:type="character" w:customStyle="1" w:styleId="HeaderChar">
    <w:name w:val="Header Char"/>
    <w:basedOn w:val="DefaultParagraphFont"/>
    <w:link w:val="Header"/>
    <w:uiPriority w:val="99"/>
    <w:rsid w:val="00E4210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42103"/>
    <w:pPr>
      <w:tabs>
        <w:tab w:val="center" w:pos="4680"/>
        <w:tab w:val="right" w:pos="9360"/>
      </w:tabs>
    </w:pPr>
  </w:style>
  <w:style w:type="character" w:customStyle="1" w:styleId="FooterChar">
    <w:name w:val="Footer Char"/>
    <w:basedOn w:val="DefaultParagraphFont"/>
    <w:link w:val="Footer"/>
    <w:uiPriority w:val="99"/>
    <w:rsid w:val="00E4210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3BC29-E8BF-496D-96DE-DC73A6849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21</Pages>
  <Words>21356</Words>
  <Characters>121733</Characters>
  <Application>Microsoft Office Word</Application>
  <DocSecurity>0</DocSecurity>
  <Lines>1014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swati</dc:creator>
  <cp:keywords/>
  <dc:description/>
  <cp:lastModifiedBy>swati</cp:lastModifiedBy>
  <cp:revision>59</cp:revision>
  <dcterms:created xsi:type="dcterms:W3CDTF">2022-01-31T05:25:00Z</dcterms:created>
  <dcterms:modified xsi:type="dcterms:W3CDTF">2022-04-12T09:57:00Z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http://www.zotero.org/styles/behavioural-brain-research</vt:lpwstr>
  </property>
  <property fmtid="{D5CDD505-2E9C-101B-9397-08002B2CF9AE}" pid="9" name="Mendeley Recent Style Name 3_1">
    <vt:lpwstr>Behavioural Brain Research</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http://www.zotero.org/styles/neuroimage</vt:lpwstr>
  </property>
  <property fmtid="{D5CDD505-2E9C-101B-9397-08002B2CF9AE}" pid="21" name="Mendeley Recent Style Name 9_1">
    <vt:lpwstr>NeuroImage</vt:lpwstr>
  </property>
  <property fmtid="{D5CDD505-2E9C-101B-9397-08002B2CF9AE}" pid="22" name="Mendeley Document_1">
    <vt:lpwstr>True</vt:lpwstr>
  </property>
  <property fmtid="{D5CDD505-2E9C-101B-9397-08002B2CF9AE}" pid="23" name="Mendeley Unique User Id_1">
    <vt:lpwstr>d5453cf4-9298-37e9-94d4-0bba646dfbc5</vt:lpwstr>
  </property>
  <property fmtid="{D5CDD505-2E9C-101B-9397-08002B2CF9AE}" pid="24" name="Mendeley Citation Style_1">
    <vt:lpwstr>http://www.zotero.org/styles/apa</vt:lpwstr>
  </property>
</Properties>
</file>