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cs="Arial"/>
          <w:b/>
          <w:bCs/>
          <w:sz w:val="22"/>
          <w:szCs w:val="22"/>
        </w:rPr>
      </w:pPr>
      <w:r>
        <w:rPr>
          <w:rFonts w:ascii="Arial" w:hAnsi="Arial" w:cs="Arial"/>
          <w:b/>
          <w:bCs/>
          <w:sz w:val="22"/>
          <w:szCs w:val="22"/>
        </w:rPr>
        <w:t>Supporting Information for</w:t>
      </w:r>
    </w:p>
    <w:p>
      <w:pPr>
        <w:keepNext w:val="0"/>
        <w:keepLines w:val="0"/>
        <w:widowControl/>
        <w:suppressLineNumbers w:val="0"/>
        <w:spacing w:before="0" w:beforeAutospacing="0" w:after="200" w:afterAutospacing="0" w:line="480" w:lineRule="auto"/>
        <w:ind w:left="0" w:right="0"/>
        <w:jc w:val="center"/>
        <w:rPr>
          <w:rFonts w:hint="default" w:ascii="Arial" w:hAnsi="Arial" w:eastAsia="宋体" w:cs="Arial"/>
          <w:b/>
          <w:bCs w:val="0"/>
          <w:sz w:val="22"/>
          <w:szCs w:val="22"/>
          <w:lang w:val="en-US" w:bidi="ar"/>
        </w:rPr>
      </w:pPr>
      <w:r>
        <w:rPr>
          <w:rFonts w:hint="default" w:ascii="Arial" w:hAnsi="Arial" w:eastAsia="宋体" w:cs="Arial"/>
          <w:b/>
          <w:bCs w:val="0"/>
          <w:kern w:val="2"/>
          <w:sz w:val="22"/>
          <w:szCs w:val="22"/>
          <w:lang w:val="en-US" w:eastAsia="zh-CN" w:bidi="ar"/>
        </w:rPr>
        <w:t>The ameliorative effect of terpinen-4-ol on ER stress-induced vascular calcification depends on sirt1-mediated regulation of PERK acetylation</w:t>
      </w:r>
    </w:p>
    <w:p>
      <w:pPr>
        <w:keepNext w:val="0"/>
        <w:keepLines w:val="0"/>
        <w:widowControl/>
        <w:suppressLineNumbers w:val="0"/>
        <w:spacing w:before="0" w:beforeAutospacing="0" w:after="200" w:afterAutospacing="0" w:line="480" w:lineRule="auto"/>
        <w:ind w:left="0" w:right="0"/>
        <w:jc w:val="left"/>
        <w:rPr>
          <w:rFonts w:hint="default" w:ascii="Arial" w:hAnsi="Arial" w:cs="Arial"/>
          <w:sz w:val="22"/>
          <w:szCs w:val="22"/>
          <w:vertAlign w:val="superscript"/>
          <w:lang w:val="en-US"/>
        </w:rPr>
      </w:pPr>
      <w:bookmarkStart w:id="0" w:name="_Hlk58864467"/>
      <w:r>
        <w:rPr>
          <w:rFonts w:hint="default" w:ascii="Arial" w:hAnsi="Arial" w:eastAsia="宋体" w:cs="Arial"/>
          <w:kern w:val="2"/>
          <w:sz w:val="22"/>
          <w:szCs w:val="22"/>
          <w:lang w:val="en-US" w:eastAsia="zh-CN" w:bidi="ar"/>
        </w:rPr>
        <w:t>Yan-Yan Zhang</w:t>
      </w:r>
      <w:r>
        <w:rPr>
          <w:rFonts w:hint="default" w:ascii="Arial" w:hAnsi="Arial" w:eastAsia="宋体" w:cs="Arial"/>
          <w:kern w:val="2"/>
          <w:sz w:val="22"/>
          <w:szCs w:val="22"/>
          <w:vertAlign w:val="superscript"/>
          <w:lang w:val="en-US" w:eastAsia="zh-CN" w:bidi="ar"/>
        </w:rPr>
        <w:t>1,2,4†</w:t>
      </w:r>
      <w:r>
        <w:rPr>
          <w:rFonts w:hint="default" w:ascii="Arial" w:hAnsi="Arial" w:eastAsia="宋体" w:cs="Arial"/>
          <w:kern w:val="2"/>
          <w:sz w:val="22"/>
          <w:szCs w:val="22"/>
          <w:lang w:val="en-US" w:eastAsia="zh-CN" w:bidi="ar"/>
        </w:rPr>
        <w:t>,</w:t>
      </w:r>
      <w:r>
        <w:rPr>
          <w:rFonts w:hint="default" w:ascii="Arial" w:hAnsi="Arial" w:eastAsia="宋体" w:cs="Arial"/>
          <w:kern w:val="2"/>
          <w:sz w:val="22"/>
          <w:szCs w:val="22"/>
          <w:vertAlign w:val="superscript"/>
          <w:lang w:val="en-US" w:eastAsia="zh-CN" w:bidi="ar"/>
        </w:rPr>
        <w:t xml:space="preserve"> </w:t>
      </w:r>
      <w:r>
        <w:rPr>
          <w:rFonts w:hint="default" w:ascii="Arial" w:hAnsi="Arial" w:eastAsia="宋体" w:cs="Arial"/>
          <w:kern w:val="2"/>
          <w:sz w:val="22"/>
          <w:szCs w:val="22"/>
          <w:lang w:val="en-US" w:eastAsia="zh-CN" w:bidi="ar"/>
        </w:rPr>
        <w:t>Li He</w:t>
      </w:r>
      <w:r>
        <w:rPr>
          <w:rFonts w:hint="default" w:ascii="Arial" w:hAnsi="Arial" w:eastAsia="宋体" w:cs="Arial"/>
          <w:kern w:val="2"/>
          <w:sz w:val="22"/>
          <w:szCs w:val="22"/>
          <w:vertAlign w:val="superscript"/>
          <w:lang w:val="en-US" w:eastAsia="zh-CN" w:bidi="ar"/>
        </w:rPr>
        <w:t>1,3,4†</w:t>
      </w:r>
      <w:r>
        <w:rPr>
          <w:rFonts w:hint="default" w:ascii="Arial" w:hAnsi="Arial" w:eastAsia="宋体" w:cs="Arial"/>
          <w:kern w:val="2"/>
          <w:sz w:val="22"/>
          <w:szCs w:val="22"/>
          <w:lang w:val="en-US" w:eastAsia="zh-CN" w:bidi="ar"/>
        </w:rPr>
        <w:t>, Meng-Xin Tu</w:t>
      </w:r>
      <w:r>
        <w:rPr>
          <w:rFonts w:hint="default" w:ascii="Arial" w:hAnsi="Arial" w:eastAsia="宋体" w:cs="Arial"/>
          <w:kern w:val="2"/>
          <w:sz w:val="22"/>
          <w:szCs w:val="22"/>
          <w:vertAlign w:val="superscript"/>
          <w:lang w:val="en-US" w:eastAsia="zh-CN" w:bidi="ar"/>
        </w:rPr>
        <w:t>1,2,4</w:t>
      </w:r>
      <w:r>
        <w:rPr>
          <w:rFonts w:hint="default" w:ascii="Arial" w:hAnsi="Arial" w:eastAsia="宋体" w:cs="Arial"/>
          <w:kern w:val="2"/>
          <w:sz w:val="22"/>
          <w:szCs w:val="22"/>
          <w:lang w:val="en-US" w:eastAsia="zh-CN" w:bidi="ar"/>
        </w:rPr>
        <w:t>, Mei Huang</w:t>
      </w:r>
      <w:r>
        <w:rPr>
          <w:rFonts w:hint="default" w:ascii="Arial" w:hAnsi="Arial" w:eastAsia="宋体" w:cs="Arial"/>
          <w:kern w:val="2"/>
          <w:sz w:val="22"/>
          <w:szCs w:val="22"/>
          <w:vertAlign w:val="superscript"/>
          <w:lang w:val="en-US" w:eastAsia="zh-CN" w:bidi="ar"/>
        </w:rPr>
        <w:t>1,3,4</w:t>
      </w:r>
      <w:r>
        <w:rPr>
          <w:rFonts w:hint="default" w:ascii="Arial" w:hAnsi="Arial" w:eastAsia="宋体" w:cs="Arial"/>
          <w:kern w:val="2"/>
          <w:sz w:val="22"/>
          <w:szCs w:val="22"/>
          <w:lang w:val="en-US" w:eastAsia="zh-CN" w:bidi="ar"/>
        </w:rPr>
        <w:t>, Yan Chen</w:t>
      </w:r>
      <w:r>
        <w:rPr>
          <w:rFonts w:hint="default" w:ascii="Arial" w:hAnsi="Arial" w:eastAsia="宋体" w:cs="Arial"/>
          <w:kern w:val="2"/>
          <w:sz w:val="22"/>
          <w:szCs w:val="22"/>
          <w:vertAlign w:val="superscript"/>
          <w:lang w:val="en-US" w:eastAsia="zh-CN" w:bidi="ar"/>
        </w:rPr>
        <w:t>1,4</w:t>
      </w:r>
      <w:r>
        <w:rPr>
          <w:rFonts w:hint="default" w:ascii="Arial" w:hAnsi="Arial" w:eastAsia="宋体" w:cs="Arial"/>
          <w:kern w:val="2"/>
          <w:sz w:val="22"/>
          <w:szCs w:val="22"/>
          <w:lang w:val="en-US" w:eastAsia="zh-CN" w:bidi="ar"/>
        </w:rPr>
        <w:t>, Di Pan</w:t>
      </w:r>
      <w:r>
        <w:rPr>
          <w:rFonts w:hint="default" w:ascii="Arial" w:hAnsi="Arial" w:eastAsia="宋体" w:cs="Arial"/>
          <w:kern w:val="2"/>
          <w:sz w:val="22"/>
          <w:szCs w:val="22"/>
          <w:vertAlign w:val="superscript"/>
          <w:lang w:val="en-US" w:eastAsia="zh-CN" w:bidi="ar"/>
        </w:rPr>
        <w:t>1,4</w:t>
      </w:r>
      <w:r>
        <w:rPr>
          <w:rFonts w:hint="default" w:ascii="Arial" w:hAnsi="Arial" w:eastAsia="宋体" w:cs="Arial"/>
          <w:kern w:val="2"/>
          <w:sz w:val="22"/>
          <w:szCs w:val="22"/>
          <w:lang w:val="en-US" w:eastAsia="zh-CN" w:bidi="ar"/>
        </w:rPr>
        <w:t>, Jian-Qing Peng</w:t>
      </w:r>
      <w:r>
        <w:rPr>
          <w:rFonts w:hint="default" w:ascii="Arial" w:hAnsi="Arial" w:eastAsia="宋体" w:cs="Arial"/>
          <w:kern w:val="2"/>
          <w:sz w:val="22"/>
          <w:szCs w:val="22"/>
          <w:vertAlign w:val="superscript"/>
          <w:lang w:val="en-US" w:eastAsia="zh-CN" w:bidi="ar"/>
        </w:rPr>
        <w:t>1,2,4</w:t>
      </w:r>
      <w:r>
        <w:rPr>
          <w:rFonts w:hint="default" w:ascii="Arial" w:hAnsi="Arial" w:eastAsia="宋体" w:cs="Arial"/>
          <w:kern w:val="2"/>
          <w:sz w:val="22"/>
          <w:szCs w:val="22"/>
          <w:lang w:val="en-US" w:eastAsia="zh-CN" w:bidi="ar"/>
        </w:rPr>
        <w:t>, Xiang-Chun Shen</w:t>
      </w:r>
      <w:r>
        <w:rPr>
          <w:rFonts w:hint="default" w:ascii="Arial" w:hAnsi="Arial" w:eastAsia="宋体" w:cs="Arial"/>
          <w:kern w:val="2"/>
          <w:sz w:val="22"/>
          <w:szCs w:val="22"/>
          <w:vertAlign w:val="superscript"/>
          <w:lang w:val="en-US" w:eastAsia="zh-CN" w:bidi="ar"/>
        </w:rPr>
        <w:t>1,3,4*</w:t>
      </w:r>
    </w:p>
    <w:p>
      <w:pPr>
        <w:keepNext w:val="0"/>
        <w:keepLines w:val="0"/>
        <w:widowControl/>
        <w:suppressLineNumbers w:val="0"/>
        <w:spacing w:before="0" w:beforeAutospacing="0" w:after="200" w:afterAutospacing="0" w:line="480" w:lineRule="auto"/>
        <w:ind w:left="0" w:right="0"/>
        <w:jc w:val="left"/>
        <w:rPr>
          <w:rFonts w:hint="default" w:ascii="Arial" w:hAnsi="Arial" w:eastAsia="宋体" w:cs="Arial"/>
          <w:bCs/>
          <w:sz w:val="22"/>
          <w:szCs w:val="22"/>
          <w:lang w:val="en-US" w:bidi="ar"/>
        </w:rPr>
      </w:pPr>
      <w:r>
        <w:rPr>
          <w:rFonts w:hint="default" w:ascii="Arial" w:hAnsi="Arial" w:eastAsia="宋体" w:cs="Arial"/>
          <w:bCs/>
          <w:kern w:val="2"/>
          <w:sz w:val="22"/>
          <w:szCs w:val="22"/>
          <w:lang w:val="en-US" w:eastAsia="zh-CN" w:bidi="ar"/>
        </w:rPr>
        <w:t>1 The State Key Laboratory of Functions and Applications of Medicinal Plants</w:t>
      </w:r>
      <w:r>
        <w:rPr>
          <w:rFonts w:hint="eastAsia" w:ascii="Arial" w:hAnsi="Arial" w:eastAsia="宋体" w:cs="Arial"/>
          <w:bCs/>
          <w:kern w:val="2"/>
          <w:sz w:val="22"/>
          <w:szCs w:val="22"/>
          <w:lang w:val="en-US" w:eastAsia="zh-CN" w:bidi="ar"/>
        </w:rPr>
        <w:t>，</w:t>
      </w:r>
      <w:r>
        <w:rPr>
          <w:rFonts w:hint="default" w:ascii="Arial" w:hAnsi="Arial" w:eastAsia="宋体" w:cs="Arial"/>
          <w:bCs/>
          <w:kern w:val="2"/>
          <w:sz w:val="22"/>
          <w:szCs w:val="22"/>
          <w:lang w:val="en-US" w:eastAsia="zh-CN" w:bidi="ar"/>
        </w:rPr>
        <w:t>Guizhou Medical University, University Town, Guian New District, Guizhou, China</w:t>
      </w:r>
    </w:p>
    <w:p>
      <w:pPr>
        <w:keepNext w:val="0"/>
        <w:keepLines w:val="0"/>
        <w:widowControl/>
        <w:suppressLineNumbers w:val="0"/>
        <w:spacing w:before="0" w:beforeAutospacing="0" w:after="200" w:afterAutospacing="0" w:line="480" w:lineRule="auto"/>
        <w:ind w:left="0" w:right="0"/>
        <w:jc w:val="left"/>
        <w:rPr>
          <w:rFonts w:hint="default" w:ascii="Arial" w:hAnsi="Arial" w:eastAsia="宋体" w:cs="Arial"/>
          <w:bCs/>
          <w:sz w:val="22"/>
          <w:szCs w:val="22"/>
          <w:lang w:val="en-US" w:bidi="ar"/>
        </w:rPr>
      </w:pPr>
      <w:r>
        <w:rPr>
          <w:rFonts w:hint="default" w:ascii="Arial" w:hAnsi="Arial" w:eastAsia="宋体" w:cs="Arial"/>
          <w:bCs/>
          <w:kern w:val="2"/>
          <w:sz w:val="22"/>
          <w:szCs w:val="22"/>
          <w:lang w:val="en-US" w:eastAsia="zh-CN" w:bidi="ar"/>
        </w:rPr>
        <w:t>2 Department of Clinical Pharmacy, School of Pharmaceutical Sciences, Guizhou Medical University, University Town, Guian New District, Guizhou, China</w:t>
      </w:r>
    </w:p>
    <w:p>
      <w:pPr>
        <w:keepNext w:val="0"/>
        <w:keepLines w:val="0"/>
        <w:widowControl/>
        <w:suppressLineNumbers w:val="0"/>
        <w:spacing w:before="0" w:beforeAutospacing="0" w:after="200" w:afterAutospacing="0" w:line="480" w:lineRule="auto"/>
        <w:ind w:left="0" w:right="0"/>
        <w:jc w:val="left"/>
        <w:rPr>
          <w:rFonts w:hint="default" w:ascii="Arial" w:hAnsi="Arial" w:eastAsia="宋体" w:cs="Arial"/>
          <w:bCs/>
          <w:sz w:val="22"/>
          <w:szCs w:val="22"/>
          <w:lang w:val="en-US" w:bidi="ar"/>
        </w:rPr>
      </w:pPr>
      <w:r>
        <w:rPr>
          <w:rFonts w:hint="default" w:ascii="Arial" w:hAnsi="Arial" w:eastAsia="宋体" w:cs="Arial"/>
          <w:bCs/>
          <w:kern w:val="2"/>
          <w:sz w:val="22"/>
          <w:szCs w:val="22"/>
          <w:lang w:val="en-US" w:eastAsia="zh-CN" w:bidi="ar"/>
        </w:rPr>
        <w:t>3 Department of Pharmacology of Materia Medica (the High Educational Key Laboratory of Guizhou Province for Natural Medicinal Pharmacology and Druggability,the High Efficacy Application of Natural Medicinal Resources Engineering Center of Guizhou Province), Guizhou Medical University, University Town, Guian New District, Guizhou, China</w:t>
      </w:r>
    </w:p>
    <w:p>
      <w:pPr>
        <w:keepNext w:val="0"/>
        <w:keepLines w:val="0"/>
        <w:widowControl/>
        <w:suppressLineNumbers w:val="0"/>
        <w:spacing w:before="0" w:beforeAutospacing="0" w:after="200" w:afterAutospacing="0" w:line="480" w:lineRule="auto"/>
        <w:ind w:left="0" w:right="0"/>
        <w:jc w:val="left"/>
        <w:rPr>
          <w:rFonts w:hint="default" w:ascii="Arial" w:hAnsi="Arial" w:eastAsia="宋体" w:cs="Arial"/>
          <w:bCs/>
          <w:sz w:val="22"/>
          <w:szCs w:val="22"/>
          <w:lang w:val="en-US" w:bidi="ar"/>
        </w:rPr>
      </w:pPr>
      <w:r>
        <w:rPr>
          <w:rFonts w:hint="default" w:ascii="Arial" w:hAnsi="Arial" w:eastAsia="宋体" w:cs="Arial"/>
          <w:bCs/>
          <w:kern w:val="2"/>
          <w:sz w:val="22"/>
          <w:szCs w:val="22"/>
          <w:lang w:val="en-US" w:eastAsia="zh-CN" w:bidi="ar"/>
        </w:rPr>
        <w:t>4 The Key Laboratory of Optimal Utilization of Natural Medicine Resources, School of Pharmaceutical Sciences, Guizhou Medical University, University Town, Guian New District, Guizhou, China</w:t>
      </w:r>
    </w:p>
    <w:p>
      <w:pPr>
        <w:keepNext w:val="0"/>
        <w:keepLines w:val="0"/>
        <w:widowControl/>
        <w:suppressLineNumbers w:val="0"/>
        <w:spacing w:before="0" w:beforeAutospacing="0" w:after="200" w:afterAutospacing="0" w:line="480" w:lineRule="auto"/>
        <w:ind w:left="0" w:right="0"/>
        <w:jc w:val="left"/>
        <w:rPr>
          <w:rFonts w:hint="default" w:ascii="Arial" w:hAnsi="Arial" w:eastAsia="宋体" w:cs="Arial"/>
          <w:bCs/>
          <w:sz w:val="22"/>
          <w:szCs w:val="22"/>
          <w:lang w:val="en-US" w:bidi="ar"/>
        </w:rPr>
      </w:pPr>
      <w:r>
        <w:rPr>
          <w:rFonts w:hint="default" w:ascii="Arial" w:hAnsi="Arial" w:eastAsia="宋体" w:cs="Arial"/>
          <w:bCs/>
          <w:kern w:val="2"/>
          <w:sz w:val="22"/>
          <w:szCs w:val="22"/>
          <w:lang w:val="en-US" w:eastAsia="zh-CN" w:bidi="ar"/>
        </w:rPr>
        <w:t>†These authors contributed equally to this article.</w:t>
      </w:r>
    </w:p>
    <w:p>
      <w:pPr>
        <w:keepNext w:val="0"/>
        <w:keepLines w:val="0"/>
        <w:widowControl/>
        <w:suppressLineNumbers w:val="0"/>
        <w:spacing w:before="0" w:beforeAutospacing="0" w:after="200" w:afterAutospacing="0" w:line="480" w:lineRule="auto"/>
        <w:ind w:left="0" w:right="0"/>
        <w:jc w:val="left"/>
        <w:rPr>
          <w:rFonts w:ascii="Arial" w:hAnsi="Arial" w:cs="Arial"/>
          <w:b/>
          <w:bCs/>
          <w:sz w:val="22"/>
          <w:szCs w:val="22"/>
        </w:rPr>
      </w:pPr>
      <w:r>
        <w:rPr>
          <w:rFonts w:hint="default" w:ascii="Arial" w:hAnsi="Arial" w:eastAsia="宋体" w:cs="Arial"/>
          <w:bCs/>
          <w:kern w:val="2"/>
          <w:sz w:val="22"/>
          <w:szCs w:val="22"/>
          <w:lang w:val="en-US" w:eastAsia="zh-CN" w:bidi="ar"/>
        </w:rPr>
        <w:t xml:space="preserve">*Corresponding author: </w:t>
      </w:r>
      <w:r>
        <w:rPr>
          <w:rFonts w:hint="default" w:ascii="Arial" w:hAnsi="Arial" w:eastAsia="宋体" w:cs="Arial"/>
          <w:kern w:val="2"/>
          <w:sz w:val="22"/>
          <w:szCs w:val="22"/>
          <w:lang w:val="en-US" w:eastAsia="zh-CN" w:bidi="ar"/>
        </w:rPr>
        <w:t xml:space="preserve">Xiangchun Shen,PhD, The Department of Pharmacology, </w:t>
      </w:r>
      <w:r>
        <w:rPr>
          <w:rFonts w:hint="default" w:ascii="Arial" w:hAnsi="Arial" w:eastAsia="宋体" w:cs="Arial"/>
          <w:bCs/>
          <w:kern w:val="2"/>
          <w:sz w:val="22"/>
          <w:szCs w:val="22"/>
          <w:lang w:val="en-US" w:eastAsia="zh-CN" w:bidi="ar"/>
        </w:rPr>
        <w:t>Guizhou Medical University, Guizhou, China, Email shenxiangchun@126.com,</w:t>
      </w:r>
      <w:bookmarkEnd w:id="0"/>
    </w:p>
    <w:p>
      <w:pPr>
        <w:jc w:val="center"/>
        <w:rPr>
          <w:rFonts w:ascii="Arial" w:hAnsi="Arial" w:eastAsia="宋体" w:cs="Arial"/>
          <w:b/>
          <w:bCs/>
          <w:sz w:val="22"/>
          <w:szCs w:val="22"/>
        </w:rPr>
      </w:pPr>
      <w:r>
        <w:rPr>
          <w:rFonts w:hint="eastAsia" w:ascii="Arial" w:hAnsi="Arial" w:eastAsia="宋体" w:cs="Arial"/>
          <w:b/>
          <w:bCs/>
          <w:sz w:val="22"/>
          <w:szCs w:val="22"/>
        </w:rPr>
        <w:t>Ⅰ</w:t>
      </w:r>
      <w:r>
        <w:rPr>
          <w:rFonts w:hint="eastAsia" w:ascii="Arial" w:hAnsi="Arial" w:eastAsia="宋体" w:cs="Arial"/>
          <w:b/>
          <w:bCs/>
          <w:sz w:val="22"/>
          <w:szCs w:val="22"/>
          <w:lang w:val="en-US" w:eastAsia="zh-CN"/>
        </w:rPr>
        <w:t xml:space="preserve"> </w:t>
      </w:r>
      <w:r>
        <w:rPr>
          <w:rFonts w:ascii="Arial" w:hAnsi="Arial" w:eastAsia="宋体" w:cs="Arial"/>
          <w:b/>
          <w:bCs/>
          <w:sz w:val="22"/>
          <w:szCs w:val="22"/>
        </w:rPr>
        <w:t>Major resources tables</w:t>
      </w:r>
    </w:p>
    <w:p>
      <w:pPr>
        <w:jc w:val="center"/>
        <w:rPr>
          <w:rFonts w:ascii="Arial" w:hAnsi="Arial" w:eastAsia="宋体" w:cs="Arial"/>
          <w:b/>
          <w:bCs/>
          <w:sz w:val="22"/>
          <w:szCs w:val="22"/>
        </w:rPr>
      </w:pPr>
    </w:p>
    <w:p>
      <w:pPr>
        <w:rPr>
          <w:b/>
          <w:sz w:val="24"/>
        </w:rPr>
      </w:pPr>
      <w:r>
        <w:rPr>
          <w:rFonts w:hint="eastAsia"/>
          <w:b/>
          <w:sz w:val="24"/>
        </w:rPr>
        <w:t xml:space="preserve">Table 1. </w:t>
      </w:r>
      <w:r>
        <w:rPr>
          <w:b/>
          <w:sz w:val="24"/>
        </w:rPr>
        <w:t>Animals (in vivo studies)</w:t>
      </w:r>
    </w:p>
    <w:tbl>
      <w:tblPr>
        <w:tblStyle w:val="5"/>
        <w:tblW w:w="82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4171"/>
        <w:gridCol w:w="1940"/>
        <w:gridCol w:w="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2" w:type="dxa"/>
          </w:tcPr>
          <w:p>
            <w:pPr>
              <w:jc w:val="center"/>
              <w:rPr>
                <w:b/>
              </w:rPr>
            </w:pPr>
            <w:r>
              <w:rPr>
                <w:b/>
              </w:rPr>
              <w:t>Species</w:t>
            </w:r>
          </w:p>
        </w:tc>
        <w:tc>
          <w:tcPr>
            <w:tcW w:w="4171" w:type="dxa"/>
          </w:tcPr>
          <w:p>
            <w:pPr>
              <w:jc w:val="center"/>
              <w:rPr>
                <w:b/>
              </w:rPr>
            </w:pPr>
            <w:r>
              <w:rPr>
                <w:b/>
              </w:rPr>
              <w:t>Vendor or Source</w:t>
            </w:r>
          </w:p>
        </w:tc>
        <w:tc>
          <w:tcPr>
            <w:tcW w:w="1940" w:type="dxa"/>
          </w:tcPr>
          <w:p>
            <w:pPr>
              <w:jc w:val="center"/>
              <w:rPr>
                <w:b/>
              </w:rPr>
            </w:pPr>
            <w:r>
              <w:rPr>
                <w:b/>
              </w:rPr>
              <w:t>Background Strain</w:t>
            </w:r>
          </w:p>
        </w:tc>
        <w:tc>
          <w:tcPr>
            <w:tcW w:w="890" w:type="dxa"/>
          </w:tcPr>
          <w:p>
            <w:pPr>
              <w:jc w:val="center"/>
              <w:rPr>
                <w:b/>
              </w:rPr>
            </w:pPr>
            <w:r>
              <w:rPr>
                <w:b/>
              </w:rPr>
              <w:t>Sex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2" w:type="dxa"/>
          </w:tcPr>
          <w:p>
            <w:pPr>
              <w:widowControl/>
              <w:jc w:val="center"/>
              <w:rPr>
                <w:rFonts w:ascii="Arial" w:hAnsi="Arial" w:cs="Arial"/>
                <w:bCs/>
                <w:color w:val="000000"/>
                <w:kern w:val="0"/>
                <w:sz w:val="22"/>
                <w:szCs w:val="22"/>
                <w:lang w:bidi="ar"/>
              </w:rPr>
            </w:pPr>
            <w:r>
              <w:rPr>
                <w:rFonts w:hint="eastAsia" w:ascii="Arial" w:hAnsi="Arial" w:cs="Arial"/>
                <w:bCs/>
                <w:color w:val="000000"/>
                <w:kern w:val="0"/>
                <w:sz w:val="22"/>
                <w:szCs w:val="22"/>
                <w:lang w:bidi="ar"/>
              </w:rPr>
              <w:t>Mouse</w:t>
            </w:r>
          </w:p>
        </w:tc>
        <w:tc>
          <w:tcPr>
            <w:tcW w:w="4171" w:type="dxa"/>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 xml:space="preserve">Experimental Animal Center of Guizhou Medical </w:t>
            </w:r>
            <w:bookmarkStart w:id="1" w:name="_Hlk55489056"/>
            <w:r>
              <w:rPr>
                <w:rFonts w:ascii="Arial" w:hAnsi="Arial" w:cs="Arial"/>
                <w:bCs/>
                <w:color w:val="000000"/>
                <w:kern w:val="0"/>
                <w:sz w:val="22"/>
                <w:szCs w:val="22"/>
                <w:lang w:bidi="ar"/>
              </w:rPr>
              <w:t>University</w:t>
            </w:r>
            <w:bookmarkEnd w:id="1"/>
            <w:r>
              <w:rPr>
                <w:rFonts w:ascii="Arial" w:hAnsi="Arial" w:cs="Arial"/>
                <w:bCs/>
                <w:color w:val="000000"/>
                <w:kern w:val="0"/>
                <w:sz w:val="22"/>
                <w:szCs w:val="22"/>
                <w:lang w:bidi="ar"/>
              </w:rPr>
              <w:t xml:space="preserve"> (Guizhou, China)</w:t>
            </w:r>
          </w:p>
        </w:tc>
        <w:tc>
          <w:tcPr>
            <w:tcW w:w="1940" w:type="dxa"/>
          </w:tcPr>
          <w:p>
            <w:pPr>
              <w:jc w:val="center"/>
              <w:rPr>
                <w:rFonts w:eastAsia="宋体"/>
              </w:rPr>
            </w:pPr>
            <w:r>
              <w:rPr>
                <w:rFonts w:ascii="Arial" w:hAnsi="Arial" w:cs="Arial"/>
                <w:sz w:val="22"/>
                <w:szCs w:val="22"/>
              </w:rPr>
              <w:t>C5</w:t>
            </w:r>
            <w:bookmarkStart w:id="2" w:name="_GoBack"/>
            <w:bookmarkEnd w:id="2"/>
            <w:r>
              <w:rPr>
                <w:rFonts w:ascii="Arial" w:hAnsi="Arial" w:cs="Arial"/>
                <w:sz w:val="22"/>
                <w:szCs w:val="22"/>
              </w:rPr>
              <w:t>7BL/6J</w:t>
            </w:r>
            <w:r>
              <w:rPr>
                <w:rFonts w:hint="eastAsia" w:ascii="Arial" w:hAnsi="Arial" w:eastAsia="宋体" w:cs="Arial"/>
                <w:sz w:val="22"/>
                <w:szCs w:val="22"/>
              </w:rPr>
              <w:t>Gmu</w:t>
            </w:r>
          </w:p>
        </w:tc>
        <w:tc>
          <w:tcPr>
            <w:tcW w:w="890" w:type="dxa"/>
          </w:tcPr>
          <w:p>
            <w:pPr>
              <w:jc w:val="center"/>
              <w:rPr>
                <w:rFonts w:eastAsia="宋体"/>
              </w:rPr>
            </w:pPr>
            <w:r>
              <w:rPr>
                <w:rFonts w:hint="eastAsia" w:ascii="Arial" w:hAnsi="Arial" w:cs="Arial"/>
                <w:bCs/>
                <w:color w:val="000000"/>
                <w:kern w:val="0"/>
                <w:sz w:val="22"/>
                <w:szCs w:val="22"/>
                <w:lang w:bidi="ar"/>
              </w:rPr>
              <w:t>Male</w:t>
            </w:r>
          </w:p>
        </w:tc>
      </w:tr>
    </w:tbl>
    <w:p>
      <w:pPr>
        <w:rPr>
          <w:b/>
          <w:sz w:val="24"/>
        </w:rPr>
      </w:pPr>
    </w:p>
    <w:p>
      <w:pPr>
        <w:rPr>
          <w:b/>
          <w:sz w:val="24"/>
        </w:rPr>
      </w:pPr>
      <w:r>
        <w:rPr>
          <w:rFonts w:hint="eastAsia"/>
          <w:b/>
          <w:sz w:val="24"/>
        </w:rPr>
        <w:t xml:space="preserve">Table 2. </w:t>
      </w:r>
      <w:r>
        <w:rPr>
          <w:b/>
          <w:sz w:val="24"/>
        </w:rPr>
        <w:t>Cultured Cells</w:t>
      </w:r>
    </w:p>
    <w:tbl>
      <w:tblPr>
        <w:tblStyle w:val="5"/>
        <w:tblW w:w="8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95"/>
        <w:gridCol w:w="2445"/>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5" w:type="dxa"/>
          </w:tcPr>
          <w:p>
            <w:pPr>
              <w:jc w:val="center"/>
              <w:rPr>
                <w:b/>
              </w:rPr>
            </w:pPr>
            <w:r>
              <w:rPr>
                <w:b/>
              </w:rPr>
              <w:t>Name</w:t>
            </w:r>
          </w:p>
        </w:tc>
        <w:tc>
          <w:tcPr>
            <w:tcW w:w="2445" w:type="dxa"/>
          </w:tcPr>
          <w:p>
            <w:pPr>
              <w:jc w:val="center"/>
              <w:rPr>
                <w:b/>
              </w:rPr>
            </w:pPr>
            <w:r>
              <w:rPr>
                <w:b/>
              </w:rPr>
              <w:t>Vendor or Source</w:t>
            </w:r>
          </w:p>
        </w:tc>
        <w:tc>
          <w:tcPr>
            <w:tcW w:w="2613" w:type="dxa"/>
          </w:tcPr>
          <w:p>
            <w:pPr>
              <w:jc w:val="center"/>
              <w:rPr>
                <w:b/>
              </w:rPr>
            </w:pPr>
            <w:r>
              <w:rPr>
                <w:b/>
              </w:rPr>
              <w:t>Sex (F, M, or unknown)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3195" w:type="dxa"/>
          </w:tcPr>
          <w:p>
            <w:pPr>
              <w:jc w:val="center"/>
              <w:rPr>
                <w:rFonts w:eastAsia="宋体"/>
              </w:rPr>
            </w:pPr>
            <w:r>
              <w:rPr>
                <w:rFonts w:ascii="Arial" w:hAnsi="Arial" w:cs="Arial"/>
                <w:sz w:val="22"/>
                <w:szCs w:val="22"/>
              </w:rPr>
              <w:t>Rat</w:t>
            </w:r>
            <w:r>
              <w:rPr>
                <w:rFonts w:hint="eastAsia" w:ascii="Arial" w:hAnsi="Arial" w:eastAsia="宋体" w:cs="Arial"/>
                <w:sz w:val="22"/>
                <w:szCs w:val="22"/>
              </w:rPr>
              <w:t xml:space="preserve"> </w:t>
            </w:r>
            <w:r>
              <w:rPr>
                <w:rFonts w:ascii="Arial" w:hAnsi="Arial" w:cs="Arial"/>
                <w:sz w:val="22"/>
                <w:szCs w:val="22"/>
              </w:rPr>
              <w:t>aortic vascular</w:t>
            </w:r>
            <w:r>
              <w:rPr>
                <w:rFonts w:hint="eastAsia" w:ascii="Arial" w:hAnsi="Arial" w:eastAsia="宋体" w:cs="Arial"/>
                <w:sz w:val="22"/>
                <w:szCs w:val="22"/>
              </w:rPr>
              <w:t xml:space="preserve"> </w:t>
            </w:r>
            <w:r>
              <w:rPr>
                <w:rFonts w:ascii="Arial" w:hAnsi="Arial" w:cs="Arial"/>
                <w:sz w:val="22"/>
                <w:szCs w:val="22"/>
              </w:rPr>
              <w:t>smooth</w:t>
            </w:r>
            <w:r>
              <w:rPr>
                <w:rFonts w:hint="eastAsia" w:ascii="Arial" w:hAnsi="Arial" w:eastAsia="宋体" w:cs="Arial"/>
                <w:sz w:val="22"/>
                <w:szCs w:val="22"/>
              </w:rPr>
              <w:t xml:space="preserve"> </w:t>
            </w:r>
            <w:r>
              <w:rPr>
                <w:rFonts w:ascii="Arial" w:hAnsi="Arial" w:cs="Arial"/>
                <w:sz w:val="22"/>
                <w:szCs w:val="22"/>
              </w:rPr>
              <w:t>muscle</w:t>
            </w:r>
            <w:r>
              <w:rPr>
                <w:rFonts w:hint="eastAsia" w:ascii="Arial" w:hAnsi="Arial" w:eastAsia="宋体" w:cs="Arial"/>
                <w:sz w:val="22"/>
                <w:szCs w:val="22"/>
              </w:rPr>
              <w:t xml:space="preserve"> </w:t>
            </w:r>
            <w:r>
              <w:rPr>
                <w:rFonts w:ascii="Arial" w:hAnsi="Arial" w:cs="Arial"/>
                <w:sz w:val="22"/>
                <w:szCs w:val="22"/>
              </w:rPr>
              <w:t>cells</w:t>
            </w:r>
          </w:p>
        </w:tc>
        <w:tc>
          <w:tcPr>
            <w:tcW w:w="2445" w:type="dxa"/>
          </w:tcPr>
          <w:p>
            <w:pPr>
              <w:jc w:val="center"/>
            </w:pPr>
            <w:r>
              <w:rPr>
                <w:rFonts w:ascii="Arial" w:hAnsi="Arial" w:cs="Arial"/>
                <w:sz w:val="22"/>
                <w:szCs w:val="22"/>
              </w:rPr>
              <w:t xml:space="preserve">ScienCell Research Laboratories </w:t>
            </w:r>
          </w:p>
        </w:tc>
        <w:tc>
          <w:tcPr>
            <w:tcW w:w="2613" w:type="dxa"/>
          </w:tcPr>
          <w:p>
            <w:pPr>
              <w:jc w:val="center"/>
              <w:rPr>
                <w:rFonts w:eastAsia="宋体"/>
              </w:rPr>
            </w:pPr>
            <w:r>
              <w:rPr>
                <w:rFonts w:hint="eastAsia" w:ascii="Arial" w:hAnsi="Arial" w:cs="Arial"/>
                <w:sz w:val="22"/>
                <w:szCs w:val="22"/>
              </w:rPr>
              <w:t>unknown</w:t>
            </w:r>
          </w:p>
        </w:tc>
      </w:tr>
    </w:tbl>
    <w:p>
      <w:pPr>
        <w:rPr>
          <w:rFonts w:ascii="Arial" w:hAnsi="Arial" w:eastAsia="宋体" w:cs="Arial"/>
          <w:b/>
          <w:bCs/>
          <w:sz w:val="22"/>
          <w:szCs w:val="22"/>
          <w:lang w:bidi="ar"/>
        </w:rPr>
      </w:pPr>
    </w:p>
    <w:p>
      <w:pPr>
        <w:rPr>
          <w:rFonts w:ascii="Arial" w:hAnsi="Arial" w:eastAsia="宋体" w:cs="Arial"/>
          <w:b/>
          <w:bCs/>
          <w:sz w:val="22"/>
          <w:szCs w:val="22"/>
          <w:lang w:bidi="ar"/>
        </w:rPr>
      </w:pPr>
      <w:r>
        <w:rPr>
          <w:rFonts w:ascii="Arial" w:hAnsi="Arial" w:eastAsia="宋体" w:cs="Arial"/>
          <w:b/>
          <w:bCs/>
          <w:sz w:val="22"/>
          <w:szCs w:val="22"/>
          <w:lang w:bidi="ar"/>
        </w:rPr>
        <w:t xml:space="preserve">Table </w:t>
      </w:r>
      <w:r>
        <w:rPr>
          <w:rFonts w:hint="eastAsia" w:ascii="Arial" w:hAnsi="Arial" w:eastAsia="宋体" w:cs="Arial"/>
          <w:b/>
          <w:bCs/>
          <w:sz w:val="22"/>
          <w:szCs w:val="22"/>
          <w:lang w:bidi="ar"/>
        </w:rPr>
        <w:t>3</w:t>
      </w:r>
      <w:r>
        <w:rPr>
          <w:rFonts w:ascii="Arial" w:hAnsi="Arial" w:eastAsia="宋体" w:cs="Arial"/>
          <w:b/>
          <w:bCs/>
          <w:sz w:val="22"/>
          <w:szCs w:val="22"/>
          <w:lang w:bidi="ar"/>
        </w:rPr>
        <w:t>. Reagents</w:t>
      </w:r>
    </w:p>
    <w:tbl>
      <w:tblPr>
        <w:tblStyle w:val="5"/>
        <w:tblW w:w="82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8"/>
        <w:gridCol w:w="2742"/>
        <w:gridCol w:w="2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tcPr>
          <w:p>
            <w:pPr>
              <w:widowControl/>
              <w:jc w:val="left"/>
              <w:rPr>
                <w:rFonts w:ascii="Arial" w:hAnsi="Arial" w:cs="Arial"/>
                <w:b/>
                <w:color w:val="000000"/>
                <w:kern w:val="0"/>
                <w:sz w:val="22"/>
                <w:szCs w:val="22"/>
                <w:lang w:bidi="ar"/>
              </w:rPr>
            </w:pPr>
            <w:r>
              <w:rPr>
                <w:rFonts w:ascii="Arial" w:hAnsi="Arial" w:cs="Arial"/>
                <w:b/>
                <w:color w:val="000000"/>
                <w:kern w:val="0"/>
                <w:sz w:val="22"/>
                <w:szCs w:val="22"/>
                <w:lang w:bidi="ar"/>
              </w:rPr>
              <w:t xml:space="preserve">Name  </w:t>
            </w:r>
          </w:p>
        </w:tc>
        <w:tc>
          <w:tcPr>
            <w:tcW w:w="2742" w:type="dxa"/>
          </w:tcPr>
          <w:p>
            <w:pPr>
              <w:widowControl/>
              <w:jc w:val="left"/>
              <w:rPr>
                <w:rFonts w:ascii="Arial" w:hAnsi="Arial" w:cs="Arial"/>
                <w:b/>
                <w:color w:val="000000"/>
                <w:kern w:val="0"/>
                <w:sz w:val="22"/>
                <w:szCs w:val="22"/>
                <w:lang w:bidi="ar"/>
              </w:rPr>
            </w:pPr>
            <w:r>
              <w:rPr>
                <w:rFonts w:ascii="Arial" w:hAnsi="Arial" w:cs="Arial"/>
                <w:b/>
                <w:color w:val="000000"/>
                <w:kern w:val="0"/>
                <w:sz w:val="22"/>
                <w:szCs w:val="22"/>
                <w:lang w:bidi="ar"/>
              </w:rPr>
              <w:t>Vendor or Source</w:t>
            </w:r>
          </w:p>
        </w:tc>
        <w:tc>
          <w:tcPr>
            <w:tcW w:w="2235" w:type="dxa"/>
          </w:tcPr>
          <w:p>
            <w:pPr>
              <w:widowControl/>
              <w:jc w:val="left"/>
              <w:rPr>
                <w:rFonts w:ascii="Arial" w:hAnsi="Arial" w:cs="Arial"/>
                <w:b/>
                <w:color w:val="000000"/>
                <w:kern w:val="0"/>
                <w:sz w:val="22"/>
                <w:szCs w:val="22"/>
                <w:lang w:bidi="ar"/>
              </w:rPr>
            </w:pPr>
            <w:r>
              <w:rPr>
                <w:rFonts w:ascii="Arial" w:hAnsi="Arial" w:cs="Arial"/>
                <w:b/>
                <w:color w:val="000000"/>
                <w:kern w:val="0"/>
                <w:sz w:val="22"/>
                <w:szCs w:val="22"/>
                <w:lang w:bidi="ar"/>
              </w:rPr>
              <w:t>Catalog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Terpinen-4-ol</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Shandong West Asia Chemical Industry Co., Ltd</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Cas.562-74-3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Dimethyl Sulfoxide</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SIGMA-ALDRICH</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CAS:67-68-5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 xml:space="preserve">Alizarin Red S </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SIGMA-ALDRICH</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CAS</w:t>
            </w:r>
            <w:r>
              <w:rPr>
                <w:rFonts w:hint="eastAsia" w:ascii="Arial" w:hAnsi="Arial" w:cs="Arial"/>
                <w:bCs/>
                <w:color w:val="000000"/>
                <w:kern w:val="0"/>
                <w:sz w:val="22"/>
                <w:szCs w:val="22"/>
                <w:lang w:val="en-US" w:eastAsia="zh-CN" w:bidi="ar"/>
              </w:rPr>
              <w:t>:</w:t>
            </w:r>
            <w:r>
              <w:rPr>
                <w:rFonts w:ascii="Arial" w:hAnsi="Arial" w:cs="Arial"/>
                <w:bCs/>
                <w:color w:val="000000"/>
                <w:kern w:val="0"/>
                <w:sz w:val="22"/>
                <w:szCs w:val="22"/>
                <w:lang w:bidi="ar"/>
              </w:rPr>
              <w:t>130-22.3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β-Glycerol phosphate</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SIGMA-ALDRICH</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CAS:13408-09-8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 xml:space="preserve">Adenine  </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SIGMA-ALDRICH</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CAS:73-24-5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Tunicamycin</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MedChemExPress</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CAS:11089-65-9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GSK2606414</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MedChemExpress</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CAS: 1337531-36-8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Alkaline phosphatase assay kit</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Nanjing Jiancheng Bioengineering Institute</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A059-2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A calcium fluorescent probe</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Beyotime Biotechnology</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S1060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Recombinant Human FGF-basic（154.a.a.)</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PEPROTECH</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100-18B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PENICILLIN STREPTOMYCIN</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Wisent bioproduct</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450-201-EL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fetal bovine serum</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Gibco</w:t>
            </w:r>
          </w:p>
        </w:tc>
        <w:tc>
          <w:tcPr>
            <w:tcW w:w="2235" w:type="dxa"/>
            <w:vAlign w:val="center"/>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REF10099141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Dulbecco's Modified Eagle’s Medium (DMEM)</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Gibco</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REFC11995500BT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goat serum</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Solarbio</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Cat.No.SL038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DAPI</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Bioworld</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BD5010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Immunoprecipitation kit</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 xml:space="preserve">Sangon Biotech </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C600689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 xml:space="preserve">BCA Protein Assay Kit </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Solarbio</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Cat#PC0020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RNA extraction kit</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Transgen</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#ER501-01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strand cDNA synthesis kit</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ThermoScientific</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K1621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 xml:space="preserve">SYBR Green PCR core reagents </w:t>
            </w:r>
          </w:p>
        </w:tc>
        <w:tc>
          <w:tcPr>
            <w:tcW w:w="2742"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TaKaRa</w:t>
            </w:r>
          </w:p>
        </w:tc>
        <w:tc>
          <w:tcPr>
            <w:tcW w:w="2235"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#RR820A</w:t>
            </w:r>
          </w:p>
        </w:tc>
      </w:tr>
    </w:tbl>
    <w:p>
      <w:pPr>
        <w:rPr>
          <w:rFonts w:ascii="Arial" w:hAnsi="Arial" w:eastAsia="宋体" w:cs="Arial"/>
          <w:b/>
          <w:bCs/>
          <w:sz w:val="22"/>
          <w:szCs w:val="22"/>
          <w:lang w:bidi="ar"/>
        </w:rPr>
      </w:pPr>
      <w:r>
        <w:rPr>
          <w:rFonts w:ascii="Arial" w:hAnsi="Arial" w:eastAsia="宋体" w:cs="Arial"/>
          <w:b/>
          <w:bCs/>
          <w:sz w:val="22"/>
          <w:szCs w:val="22"/>
          <w:lang w:bidi="ar"/>
        </w:rPr>
        <w:t xml:space="preserve">Table </w:t>
      </w:r>
      <w:r>
        <w:rPr>
          <w:rFonts w:hint="eastAsia" w:ascii="Arial" w:hAnsi="Arial" w:eastAsia="宋体" w:cs="Arial"/>
          <w:b/>
          <w:bCs/>
          <w:sz w:val="22"/>
          <w:szCs w:val="22"/>
          <w:lang w:bidi="ar"/>
        </w:rPr>
        <w:t>4</w:t>
      </w:r>
      <w:r>
        <w:rPr>
          <w:rFonts w:ascii="Arial" w:hAnsi="Arial" w:eastAsia="宋体" w:cs="Arial"/>
          <w:b/>
          <w:bCs/>
          <w:sz w:val="22"/>
          <w:szCs w:val="22"/>
          <w:lang w:bidi="ar"/>
        </w:rPr>
        <w:t xml:space="preserve">. Antibodies </w:t>
      </w:r>
    </w:p>
    <w:tbl>
      <w:tblPr>
        <w:tblStyle w:val="5"/>
        <w:tblW w:w="8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8"/>
        <w:gridCol w:w="3780"/>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center"/>
          </w:tcPr>
          <w:p>
            <w:pPr>
              <w:widowControl/>
              <w:jc w:val="left"/>
              <w:rPr>
                <w:rFonts w:ascii="Arial" w:hAnsi="Arial" w:cs="Arial"/>
                <w:b/>
                <w:color w:val="000000"/>
                <w:kern w:val="0"/>
                <w:sz w:val="22"/>
                <w:szCs w:val="22"/>
                <w:lang w:bidi="ar"/>
              </w:rPr>
            </w:pPr>
            <w:r>
              <w:rPr>
                <w:rFonts w:ascii="Arial" w:hAnsi="Arial" w:cs="Arial"/>
                <w:b/>
                <w:color w:val="000000"/>
                <w:kern w:val="0"/>
                <w:sz w:val="22"/>
                <w:szCs w:val="22"/>
                <w:lang w:bidi="ar"/>
              </w:rPr>
              <w:t xml:space="preserve">Target antigen </w:t>
            </w:r>
          </w:p>
        </w:tc>
        <w:tc>
          <w:tcPr>
            <w:tcW w:w="3780" w:type="dxa"/>
            <w:vAlign w:val="center"/>
          </w:tcPr>
          <w:p>
            <w:pPr>
              <w:widowControl/>
              <w:jc w:val="left"/>
              <w:rPr>
                <w:rFonts w:ascii="Arial" w:hAnsi="Arial" w:cs="Arial"/>
                <w:b/>
                <w:color w:val="000000"/>
                <w:kern w:val="0"/>
                <w:sz w:val="22"/>
                <w:szCs w:val="22"/>
                <w:lang w:bidi="ar"/>
              </w:rPr>
            </w:pPr>
            <w:r>
              <w:rPr>
                <w:rFonts w:ascii="Arial" w:hAnsi="Arial" w:cs="Arial"/>
                <w:b/>
                <w:color w:val="000000"/>
                <w:kern w:val="0"/>
                <w:sz w:val="22"/>
                <w:szCs w:val="22"/>
                <w:lang w:bidi="ar"/>
              </w:rPr>
              <w:t xml:space="preserve">Vendor or Source </w:t>
            </w:r>
          </w:p>
        </w:tc>
        <w:tc>
          <w:tcPr>
            <w:tcW w:w="1478" w:type="dxa"/>
            <w:vAlign w:val="center"/>
          </w:tcPr>
          <w:p>
            <w:pPr>
              <w:widowControl/>
              <w:jc w:val="left"/>
              <w:rPr>
                <w:rFonts w:ascii="Arial" w:hAnsi="Arial" w:cs="Arial"/>
                <w:b/>
                <w:color w:val="000000"/>
                <w:kern w:val="0"/>
                <w:sz w:val="22"/>
                <w:szCs w:val="22"/>
                <w:lang w:bidi="ar"/>
              </w:rPr>
            </w:pPr>
            <w:r>
              <w:rPr>
                <w:rFonts w:ascii="Arial" w:hAnsi="Arial" w:cs="Arial"/>
                <w:b/>
                <w:color w:val="000000"/>
                <w:kern w:val="0"/>
                <w:sz w:val="22"/>
                <w:szCs w:val="22"/>
                <w:lang w:bidi="ar"/>
              </w:rPr>
              <w:t>Catalog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ALP</w:t>
            </w:r>
          </w:p>
        </w:tc>
        <w:tc>
          <w:tcPr>
            <w:tcW w:w="3780"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abcam</w:t>
            </w:r>
          </w:p>
        </w:tc>
        <w:tc>
          <w:tcPr>
            <w:tcW w:w="147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ab194297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 xml:space="preserve">goat PAb against Rb IgG Alexa Fluor®488 </w:t>
            </w:r>
          </w:p>
        </w:tc>
        <w:tc>
          <w:tcPr>
            <w:tcW w:w="3780"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abcam</w:t>
            </w:r>
          </w:p>
        </w:tc>
        <w:tc>
          <w:tcPr>
            <w:tcW w:w="147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ab150077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goat PAb against MS IgG Alexa Fluor®647</w:t>
            </w:r>
          </w:p>
        </w:tc>
        <w:tc>
          <w:tcPr>
            <w:tcW w:w="3780"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abcam</w:t>
            </w:r>
          </w:p>
        </w:tc>
        <w:tc>
          <w:tcPr>
            <w:tcW w:w="147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Ab150115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BMP2</w:t>
            </w:r>
          </w:p>
        </w:tc>
        <w:tc>
          <w:tcPr>
            <w:tcW w:w="3780"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abcam</w:t>
            </w:r>
          </w:p>
        </w:tc>
        <w:tc>
          <w:tcPr>
            <w:tcW w:w="147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ab214821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α-SMA</w:t>
            </w:r>
          </w:p>
        </w:tc>
        <w:tc>
          <w:tcPr>
            <w:tcW w:w="3780"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 xml:space="preserve">Cell Signaling Technology </w:t>
            </w:r>
          </w:p>
        </w:tc>
        <w:tc>
          <w:tcPr>
            <w:tcW w:w="147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#19245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 xml:space="preserve">sirt1  </w:t>
            </w:r>
          </w:p>
        </w:tc>
        <w:tc>
          <w:tcPr>
            <w:tcW w:w="3780"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 xml:space="preserve">Cell Signaling Technology </w:t>
            </w:r>
          </w:p>
        </w:tc>
        <w:tc>
          <w:tcPr>
            <w:tcW w:w="147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#9475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eIF2α</w:t>
            </w:r>
          </w:p>
        </w:tc>
        <w:tc>
          <w:tcPr>
            <w:tcW w:w="3780" w:type="dxa"/>
            <w:vAlign w:val="center"/>
          </w:tcPr>
          <w:p>
            <w:pPr>
              <w:widowControl/>
              <w:jc w:val="left"/>
              <w:rPr>
                <w:rFonts w:ascii="Arial" w:hAnsi="Arial" w:cs="Arial"/>
                <w:bCs/>
                <w:color w:val="000000"/>
                <w:kern w:val="0"/>
                <w:sz w:val="22"/>
                <w:szCs w:val="22"/>
                <w:lang w:bidi="ar"/>
              </w:rPr>
            </w:pPr>
            <w:r>
              <w:rPr>
                <w:rFonts w:ascii="Arial" w:hAnsi="Arial" w:cs="Arial"/>
                <w:bCs/>
                <w:color w:val="000000"/>
                <w:kern w:val="0"/>
                <w:sz w:val="22"/>
                <w:szCs w:val="22"/>
                <w:lang w:bidi="ar"/>
              </w:rPr>
              <w:t xml:space="preserve">Cell Signaling Technology </w:t>
            </w:r>
          </w:p>
        </w:tc>
        <w:tc>
          <w:tcPr>
            <w:tcW w:w="1478" w:type="dxa"/>
            <w:vAlign w:val="center"/>
          </w:tcPr>
          <w:p>
            <w:pPr>
              <w:widowControl/>
              <w:jc w:val="left"/>
              <w:rPr>
                <w:rFonts w:hint="eastAsia" w:ascii="Arial" w:hAnsi="Arial" w:cs="Arial"/>
                <w:bCs/>
                <w:color w:val="000000"/>
                <w:kern w:val="0"/>
                <w:sz w:val="22"/>
                <w:szCs w:val="22"/>
                <w:lang w:bidi="ar"/>
              </w:rPr>
            </w:pPr>
            <w:r>
              <w:rPr>
                <w:rFonts w:ascii="Arial" w:hAnsi="Arial" w:cs="Arial"/>
                <w:bCs/>
                <w:color w:val="000000"/>
                <w:kern w:val="0"/>
                <w:sz w:val="22"/>
                <w:szCs w:val="22"/>
                <w:lang w:bidi="ar"/>
              </w:rPr>
              <w:t>#5324T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acetylated lysine</w:t>
            </w:r>
          </w:p>
        </w:tc>
        <w:tc>
          <w:tcPr>
            <w:tcW w:w="3780"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 xml:space="preserve">Cell Signaling Technology </w:t>
            </w:r>
          </w:p>
        </w:tc>
        <w:tc>
          <w:tcPr>
            <w:tcW w:w="1478"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 xml:space="preserve">#9441s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PERK</w:t>
            </w:r>
          </w:p>
        </w:tc>
        <w:tc>
          <w:tcPr>
            <w:tcW w:w="3780"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 xml:space="preserve">Cell Signaling Technology </w:t>
            </w:r>
          </w:p>
        </w:tc>
        <w:tc>
          <w:tcPr>
            <w:tcW w:w="1478"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#3192s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ATF4</w:t>
            </w:r>
          </w:p>
        </w:tc>
        <w:tc>
          <w:tcPr>
            <w:tcW w:w="3780"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Proteintech</w:t>
            </w:r>
          </w:p>
        </w:tc>
        <w:tc>
          <w:tcPr>
            <w:tcW w:w="1478"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10835-I-AP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top"/>
          </w:tcPr>
          <w:p>
            <w:pPr>
              <w:widowControl/>
              <w:jc w:val="left"/>
              <w:rPr>
                <w:rFonts w:hint="default" w:ascii="Arial" w:hAnsi="Arial" w:cs="Arial"/>
                <w:bCs/>
                <w:color w:val="000000"/>
                <w:kern w:val="0"/>
                <w:sz w:val="22"/>
                <w:szCs w:val="22"/>
                <w:lang w:bidi="ar"/>
              </w:rPr>
            </w:pPr>
            <w:r>
              <w:rPr>
                <w:rFonts w:hint="default" w:ascii="Arial" w:hAnsi="Arial" w:cs="Arial"/>
                <w:bCs/>
                <w:color w:val="000000"/>
                <w:kern w:val="0"/>
                <w:sz w:val="22"/>
                <w:szCs w:val="22"/>
                <w:lang w:bidi="ar"/>
              </w:rPr>
              <w:t xml:space="preserve">GRP78 </w:t>
            </w:r>
          </w:p>
        </w:tc>
        <w:tc>
          <w:tcPr>
            <w:tcW w:w="3780"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Proteintech</w:t>
            </w:r>
          </w:p>
        </w:tc>
        <w:tc>
          <w:tcPr>
            <w:tcW w:w="1478"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11587-1-AP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top"/>
          </w:tcPr>
          <w:p>
            <w:pPr>
              <w:widowControl/>
              <w:jc w:val="left"/>
              <w:rPr>
                <w:rFonts w:hint="default" w:ascii="Arial" w:hAnsi="Arial" w:cs="Arial"/>
                <w:bCs/>
                <w:color w:val="000000"/>
                <w:kern w:val="0"/>
                <w:sz w:val="22"/>
                <w:szCs w:val="22"/>
                <w:lang w:bidi="ar"/>
              </w:rPr>
            </w:pPr>
            <w:r>
              <w:rPr>
                <w:rFonts w:hint="default" w:ascii="Arial" w:hAnsi="Arial" w:cs="Arial"/>
                <w:bCs/>
                <w:color w:val="000000"/>
                <w:kern w:val="0"/>
                <w:sz w:val="22"/>
                <w:szCs w:val="22"/>
                <w:lang w:bidi="ar"/>
              </w:rPr>
              <w:t>p-PERK (Thr982)</w:t>
            </w:r>
          </w:p>
        </w:tc>
        <w:tc>
          <w:tcPr>
            <w:tcW w:w="3780"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Affinity Bioscience</w:t>
            </w:r>
          </w:p>
        </w:tc>
        <w:tc>
          <w:tcPr>
            <w:tcW w:w="1478"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#DF75F6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top"/>
          </w:tcPr>
          <w:p>
            <w:pPr>
              <w:widowControl/>
              <w:jc w:val="left"/>
              <w:rPr>
                <w:rFonts w:hint="default" w:ascii="Arial" w:hAnsi="Arial" w:cs="Arial"/>
                <w:bCs/>
                <w:color w:val="000000"/>
                <w:kern w:val="0"/>
                <w:sz w:val="22"/>
                <w:szCs w:val="22"/>
                <w:lang w:bidi="ar"/>
              </w:rPr>
            </w:pPr>
            <w:r>
              <w:rPr>
                <w:rFonts w:hint="default" w:ascii="Arial" w:hAnsi="Arial" w:cs="Arial"/>
                <w:bCs/>
                <w:color w:val="000000"/>
                <w:kern w:val="0"/>
                <w:sz w:val="22"/>
                <w:szCs w:val="22"/>
                <w:lang w:bidi="ar"/>
              </w:rPr>
              <w:t>p-eIF2α (Ser51/52)</w:t>
            </w:r>
          </w:p>
        </w:tc>
        <w:tc>
          <w:tcPr>
            <w:tcW w:w="3780"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Affinity Bioscience</w:t>
            </w:r>
          </w:p>
        </w:tc>
        <w:tc>
          <w:tcPr>
            <w:tcW w:w="1478"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#AF3087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Runx2</w:t>
            </w:r>
          </w:p>
        </w:tc>
        <w:tc>
          <w:tcPr>
            <w:tcW w:w="3780"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 xml:space="preserve">Santa Cruz Biotechnology </w:t>
            </w:r>
          </w:p>
        </w:tc>
        <w:tc>
          <w:tcPr>
            <w:tcW w:w="1478" w:type="dxa"/>
            <w:vAlign w:val="top"/>
          </w:tcPr>
          <w:p>
            <w:pPr>
              <w:widowControl/>
              <w:jc w:val="left"/>
              <w:rPr>
                <w:rFonts w:ascii="Arial" w:hAnsi="Arial" w:cs="Arial"/>
                <w:bCs/>
                <w:color w:val="000000"/>
                <w:kern w:val="0"/>
                <w:sz w:val="22"/>
                <w:szCs w:val="22"/>
                <w:lang w:bidi="ar"/>
              </w:rPr>
            </w:pPr>
            <w:r>
              <w:rPr>
                <w:rFonts w:hint="eastAsia" w:ascii="Arial" w:hAnsi="Arial" w:cs="Arial"/>
                <w:bCs/>
                <w:color w:val="000000"/>
                <w:kern w:val="0"/>
                <w:sz w:val="22"/>
                <w:szCs w:val="22"/>
                <w:lang w:bidi="ar"/>
              </w:rPr>
              <w:t>sc-101145</w:t>
            </w:r>
          </w:p>
        </w:tc>
      </w:tr>
    </w:tbl>
    <w:p>
      <w:pPr>
        <w:rPr>
          <w:rFonts w:hint="eastAsia" w:ascii="Arial" w:hAnsi="Arial" w:cs="Arial"/>
          <w:sz w:val="22"/>
          <w:szCs w:val="22"/>
        </w:rPr>
      </w:pPr>
    </w:p>
    <w:p>
      <w:pPr>
        <w:numPr>
          <w:ilvl w:val="0"/>
          <w:numId w:val="0"/>
        </w:numPr>
        <w:jc w:val="center"/>
        <w:rPr>
          <w:rFonts w:ascii="Arial" w:hAnsi="Arial" w:cs="Arial"/>
          <w:b/>
          <w:bCs/>
          <w:sz w:val="22"/>
          <w:szCs w:val="22"/>
        </w:rPr>
      </w:pPr>
      <w:r>
        <w:rPr>
          <w:rFonts w:hint="eastAsia" w:ascii="Arial" w:hAnsi="Arial" w:cs="Arial"/>
          <w:b/>
          <w:bCs/>
          <w:sz w:val="22"/>
          <w:szCs w:val="22"/>
        </w:rPr>
        <w:t>Ⅱ</w:t>
      </w:r>
      <w:r>
        <w:rPr>
          <w:rFonts w:hint="eastAsia" w:ascii="Arial" w:hAnsi="Arial" w:cs="Arial"/>
          <w:b/>
          <w:bCs/>
          <w:sz w:val="22"/>
          <w:szCs w:val="22"/>
          <w:lang w:val="en-US" w:eastAsia="zh-CN"/>
        </w:rPr>
        <w:t xml:space="preserve"> </w:t>
      </w:r>
      <w:r>
        <w:rPr>
          <w:rFonts w:hint="eastAsia" w:ascii="Arial" w:hAnsi="Arial" w:cs="Arial"/>
          <w:b/>
          <w:bCs/>
          <w:sz w:val="22"/>
          <w:szCs w:val="22"/>
        </w:rPr>
        <w:t>Supplemental Figures</w:t>
      </w:r>
    </w:p>
    <w:p>
      <w:pPr>
        <w:rPr>
          <w:rFonts w:ascii="Arial" w:hAnsi="Arial" w:cs="Arial"/>
          <w:b/>
          <w:bCs/>
          <w:sz w:val="22"/>
          <w:szCs w:val="22"/>
        </w:rPr>
      </w:pPr>
      <w:r>
        <w:rPr>
          <w:rFonts w:ascii="Arial" w:hAnsi="Arial" w:cs="Arial"/>
          <w:b/>
          <w:bCs/>
          <w:sz w:val="22"/>
          <w:szCs w:val="22"/>
        </w:rPr>
        <w:t xml:space="preserve"> </w:t>
      </w:r>
    </w:p>
    <w:p>
      <w:pPr>
        <w:rPr>
          <w:rFonts w:ascii="Arial" w:hAnsi="Arial" w:cs="Arial"/>
          <w:b/>
          <w:bCs/>
          <w:sz w:val="22"/>
          <w:szCs w:val="22"/>
        </w:rPr>
      </w:pPr>
      <w:r>
        <w:rPr>
          <w:rFonts w:ascii="Arial" w:hAnsi="Arial" w:cs="Arial"/>
          <w:b/>
          <w:bCs/>
          <w:sz w:val="22"/>
          <w:szCs w:val="22"/>
        </w:rPr>
        <w:t>Figure</w:t>
      </w:r>
      <w:r>
        <w:rPr>
          <w:rFonts w:hint="eastAsia" w:ascii="Arial" w:hAnsi="Arial" w:cs="Arial"/>
          <w:b/>
          <w:bCs/>
          <w:sz w:val="22"/>
          <w:szCs w:val="22"/>
        </w:rPr>
        <w:t>Ⅰ</w:t>
      </w:r>
    </w:p>
    <w:p>
      <w:pPr>
        <w:jc w:val="center"/>
        <w:rPr>
          <w:rFonts w:ascii="Arial" w:hAnsi="Arial" w:cs="Arial"/>
          <w:b/>
          <w:bCs/>
          <w:sz w:val="22"/>
          <w:szCs w:val="22"/>
          <w:lang w:bidi="ar"/>
        </w:rPr>
      </w:pPr>
      <w:r>
        <w:drawing>
          <wp:inline distT="0" distB="0" distL="0" distR="0">
            <wp:extent cx="1199515" cy="2277110"/>
            <wp:effectExtent l="0" t="0" r="4445"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205153" cy="2287921"/>
                    </a:xfrm>
                    <a:prstGeom prst="rect">
                      <a:avLst/>
                    </a:prstGeom>
                    <a:noFill/>
                    <a:ln>
                      <a:noFill/>
                    </a:ln>
                  </pic:spPr>
                </pic:pic>
              </a:graphicData>
            </a:graphic>
          </wp:inline>
        </w:drawing>
      </w:r>
      <w:r>
        <w:rPr>
          <w:rFonts w:ascii="Arial" w:hAnsi="Arial" w:cs="Arial"/>
          <w:b/>
          <w:bCs/>
          <w:sz w:val="22"/>
          <w:szCs w:val="22"/>
          <w:lang w:bidi="ar"/>
        </w:rPr>
        <w:t xml:space="preserve"> </w:t>
      </w:r>
    </w:p>
    <w:p>
      <w:pPr>
        <w:jc w:val="left"/>
        <w:rPr>
          <w:rFonts w:ascii="Arial" w:hAnsi="Arial" w:cs="Arial"/>
          <w:sz w:val="22"/>
          <w:szCs w:val="22"/>
        </w:rPr>
      </w:pPr>
      <w:r>
        <w:rPr>
          <w:rFonts w:ascii="Arial" w:hAnsi="Arial" w:cs="Arial"/>
          <w:b/>
          <w:bCs/>
          <w:sz w:val="22"/>
          <w:szCs w:val="22"/>
          <w:lang w:bidi="ar"/>
        </w:rPr>
        <w:t>Figur</w:t>
      </w:r>
      <w:r>
        <w:rPr>
          <w:rFonts w:hint="eastAsia" w:ascii="Arial" w:hAnsi="Arial" w:cs="Arial"/>
          <w:b/>
          <w:bCs/>
          <w:sz w:val="22"/>
          <w:szCs w:val="22"/>
          <w:lang w:bidi="ar"/>
        </w:rPr>
        <w:t>eⅠ</w:t>
      </w:r>
      <w:r>
        <w:rPr>
          <w:rFonts w:ascii="Arial" w:hAnsi="Arial" w:cs="Arial"/>
          <w:sz w:val="22"/>
          <w:szCs w:val="22"/>
        </w:rPr>
        <w:t xml:space="preserve">The immunoprecipitated PERK was subjected to SDS-PAGE, and the band corresponding to PERK. </w:t>
      </w:r>
    </w:p>
    <w:p>
      <w:pPr>
        <w:rPr>
          <w:rFonts w:hint="eastAsia" w:ascii="Arial" w:hAnsi="Arial" w:cs="Arial"/>
          <w:sz w:val="22"/>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variable"/>
    <w:sig w:usb0="E00006FF" w:usb1="420024FF" w:usb2="02000000" w:usb3="00000000" w:csb0="2000019F" w:csb1="00000000"/>
  </w:font>
  <w:font w:name="@宋体">
    <w:panose1 w:val="02010600030101010101"/>
    <w:charset w:val="86"/>
    <w:family w:val="auto"/>
    <w:pitch w:val="variable"/>
    <w:sig w:usb0="00000003" w:usb1="288F0000" w:usb2="00000006" w:usb3="00000000" w:csb0="00040001"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6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TAxNDc1MzUxtDQ0NDdR0lEKTi0uzszPAykwrQUAPBDX3SwAAAA="/>
  </w:docVars>
  <w:rsids>
    <w:rsidRoot w:val="00172A27"/>
    <w:rsid w:val="00025FB8"/>
    <w:rsid w:val="00173326"/>
    <w:rsid w:val="0018730D"/>
    <w:rsid w:val="002258F1"/>
    <w:rsid w:val="00276414"/>
    <w:rsid w:val="003D48EA"/>
    <w:rsid w:val="004C2AAB"/>
    <w:rsid w:val="00567A77"/>
    <w:rsid w:val="00685607"/>
    <w:rsid w:val="007D3B36"/>
    <w:rsid w:val="008107A6"/>
    <w:rsid w:val="00860F4B"/>
    <w:rsid w:val="00894AE3"/>
    <w:rsid w:val="009B6944"/>
    <w:rsid w:val="00C646F2"/>
    <w:rsid w:val="00D11C89"/>
    <w:rsid w:val="00D20F06"/>
    <w:rsid w:val="00D73B38"/>
    <w:rsid w:val="00DD5E5F"/>
    <w:rsid w:val="00DF494B"/>
    <w:rsid w:val="01B10014"/>
    <w:rsid w:val="1F664BF9"/>
    <w:rsid w:val="20DA7C25"/>
    <w:rsid w:val="2CE02520"/>
    <w:rsid w:val="2D1F7F09"/>
    <w:rsid w:val="2E217D15"/>
    <w:rsid w:val="38253AB8"/>
    <w:rsid w:val="3B8A23BA"/>
    <w:rsid w:val="50AF3F37"/>
    <w:rsid w:val="53883523"/>
    <w:rsid w:val="69974395"/>
    <w:rsid w:val="71FE56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rFonts w:asciiTheme="minorHAnsi" w:hAnsiTheme="minorHAnsi" w:eastAsiaTheme="minorEastAsia" w:cstheme="minorBidi"/>
      <w:kern w:val="2"/>
      <w:sz w:val="18"/>
      <w:szCs w:val="18"/>
    </w:rPr>
  </w:style>
  <w:style w:type="character" w:customStyle="1" w:styleId="8">
    <w:name w:val="页脚 字符"/>
    <w:basedOn w:val="6"/>
    <w:link w:val="2"/>
    <w:qFormat/>
    <w:uiPriority w:val="0"/>
    <w:rPr>
      <w:rFonts w:asciiTheme="minorHAnsi" w:hAnsiTheme="minorHAnsi" w:eastAsiaTheme="minorEastAsia" w:cstheme="minorBidi"/>
      <w:kern w:val="2"/>
      <w:sz w:val="18"/>
      <w:szCs w:val="18"/>
    </w:rPr>
  </w:style>
  <w:style w:type="character" w:customStyle="1" w:styleId="9">
    <w:name w:val="font01"/>
    <w:basedOn w:val="6"/>
    <w:qFormat/>
    <w:uiPriority w:val="0"/>
    <w:rPr>
      <w:rFonts w:ascii="Arial" w:hAnsi="Arial" w:cs="Arial"/>
      <w:color w:val="000000"/>
      <w:sz w:val="22"/>
      <w:szCs w:val="22"/>
      <w:u w:val="none"/>
    </w:rPr>
  </w:style>
  <w:style w:type="character" w:customStyle="1" w:styleId="10">
    <w:name w:val="font1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251</Words>
  <Characters>1710</Characters>
  <Lines>12</Lines>
  <Paragraphs>3</Paragraphs>
  <TotalTime>2</TotalTime>
  <ScaleCrop>false</ScaleCrop>
  <LinksUpToDate>false</LinksUpToDate>
  <CharactersWithSpaces>1853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2020-11-21T05:40:00Z</dcterms:created>
  <dc:creator>杨文江</dc:creator>
  <cp:lastModifiedBy>杨文江</cp:lastModifiedBy>
  <dcterms:modified xsi:type="dcterms:W3CDTF">2021-01-09T09:44:30Z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