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120A5" w14:textId="2AF504C7" w:rsidR="00BF6EC7" w:rsidRDefault="0051736F" w:rsidP="0006121B">
      <w:pPr>
        <w:spacing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>
        <w:rPr>
          <w:noProof/>
        </w:rPr>
        <w:drawing>
          <wp:inline distT="0" distB="0" distL="0" distR="0" wp14:anchorId="51D631E1" wp14:editId="19E2C039">
            <wp:extent cx="5401945" cy="5401945"/>
            <wp:effectExtent l="0" t="0" r="8255" b="8255"/>
            <wp:docPr id="3" name="図 3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ダイアグラム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945" cy="540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72F935" w14:textId="1D2998A1" w:rsidR="0006121B" w:rsidRPr="0021710B" w:rsidRDefault="0006121B" w:rsidP="0006121B">
      <w:pPr>
        <w:spacing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21710B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 xml:space="preserve">Figure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S</w:t>
      </w:r>
      <w:r w:rsidRPr="0021710B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1 Patients flow</w:t>
      </w:r>
    </w:p>
    <w:p w14:paraId="0BCF3E26" w14:textId="1BFED1EC" w:rsidR="0006121B" w:rsidRPr="0021710B" w:rsidRDefault="0006121B" w:rsidP="0006121B">
      <w:pPr>
        <w:spacing w:line="480" w:lineRule="auto"/>
        <w:rPr>
          <w:rFonts w:ascii="Times New Roman" w:eastAsia="Times New Roman" w:hAnsi="Times New Roman" w:cs="Times New Roman"/>
          <w:sz w:val="22"/>
          <w:szCs w:val="22"/>
        </w:rPr>
      </w:pPr>
      <w:r w:rsidRPr="0021710B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A</w:t>
      </w:r>
      <w:r w:rsidRPr="0021710B">
        <w:rPr>
          <w:rFonts w:ascii="Times New Roman" w:eastAsia="Times New Roman" w:hAnsi="Times New Roman" w:cs="Times New Roman"/>
          <w:sz w:val="22"/>
          <w:szCs w:val="22"/>
        </w:rPr>
        <w:t xml:space="preserve"> total of 2</w:t>
      </w:r>
      <w:r w:rsidRPr="0021710B">
        <w:rPr>
          <w:rFonts w:ascii="Times New Roman" w:eastAsia="ＭＳ 明朝" w:hAnsi="Times New Roman" w:cs="Times New Roman"/>
          <w:sz w:val="22"/>
          <w:szCs w:val="22"/>
        </w:rPr>
        <w:t>68</w:t>
      </w:r>
      <w:r w:rsidRPr="0021710B">
        <w:rPr>
          <w:rFonts w:ascii="Times New Roman" w:eastAsia="Times New Roman" w:hAnsi="Times New Roman" w:cs="Times New Roman"/>
          <w:sz w:val="22"/>
          <w:szCs w:val="22"/>
        </w:rPr>
        <w:t xml:space="preserve"> patients </w:t>
      </w:r>
      <w:r w:rsidR="002446B5">
        <w:rPr>
          <w:rFonts w:ascii="Times New Roman" w:eastAsia="Times New Roman" w:hAnsi="Times New Roman" w:cs="Times New Roman"/>
          <w:sz w:val="22"/>
          <w:szCs w:val="22"/>
        </w:rPr>
        <w:t xml:space="preserve">with COVID-19 </w:t>
      </w:r>
      <w:r w:rsidRPr="0021710B">
        <w:rPr>
          <w:rFonts w:ascii="Times New Roman" w:eastAsia="Times New Roman" w:hAnsi="Times New Roman" w:cs="Times New Roman"/>
          <w:sz w:val="22"/>
          <w:szCs w:val="22"/>
        </w:rPr>
        <w:t xml:space="preserve">participated in the study. Finally, 119 </w:t>
      </w:r>
      <w:r w:rsidR="002446B5">
        <w:rPr>
          <w:rFonts w:ascii="Times New Roman" w:eastAsia="Times New Roman" w:hAnsi="Times New Roman" w:cs="Times New Roman"/>
          <w:sz w:val="22"/>
          <w:szCs w:val="22"/>
        </w:rPr>
        <w:t xml:space="preserve">invasively ventilated </w:t>
      </w:r>
      <w:r w:rsidRPr="0021710B">
        <w:rPr>
          <w:rFonts w:ascii="Times New Roman" w:eastAsia="Times New Roman" w:hAnsi="Times New Roman" w:cs="Times New Roman"/>
          <w:sz w:val="22"/>
          <w:szCs w:val="22"/>
        </w:rPr>
        <w:t xml:space="preserve">patients were analyzed; </w:t>
      </w:r>
      <w:r w:rsidR="00F5596B">
        <w:rPr>
          <w:rFonts w:ascii="Times New Roman" w:eastAsia="Times New Roman" w:hAnsi="Times New Roman" w:cs="Times New Roman"/>
          <w:sz w:val="22"/>
          <w:szCs w:val="22"/>
        </w:rPr>
        <w:t>52</w:t>
      </w:r>
      <w:r w:rsidRPr="0021710B">
        <w:rPr>
          <w:rFonts w:ascii="Times New Roman" w:eastAsia="Times New Roman" w:hAnsi="Times New Roman" w:cs="Times New Roman"/>
          <w:sz w:val="22"/>
          <w:szCs w:val="22"/>
        </w:rPr>
        <w:t xml:space="preserve"> were </w:t>
      </w:r>
      <w:r w:rsidR="00F5596B">
        <w:rPr>
          <w:rFonts w:ascii="Times New Roman" w:eastAsia="Times New Roman" w:hAnsi="Times New Roman" w:cs="Times New Roman"/>
          <w:sz w:val="22"/>
          <w:szCs w:val="22"/>
        </w:rPr>
        <w:t>administered</w:t>
      </w:r>
      <w:r w:rsidRPr="0021710B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Pr="0021710B">
        <w:rPr>
          <w:rFonts w:ascii="Times New Roman" w:hAnsi="Times New Roman" w:cs="Times New Roman"/>
          <w:sz w:val="22"/>
          <w:szCs w:val="22"/>
        </w:rPr>
        <w:t>dexamethasone</w:t>
      </w:r>
      <w:r w:rsidR="00F5596B">
        <w:rPr>
          <w:rFonts w:ascii="Times New Roman" w:hAnsi="Times New Roman" w:cs="Times New Roman"/>
          <w:sz w:val="22"/>
          <w:szCs w:val="22"/>
        </w:rPr>
        <w:t xml:space="preserve"> (steroid group)</w:t>
      </w:r>
      <w:r w:rsidRPr="0021710B">
        <w:rPr>
          <w:rFonts w:ascii="Times New Roman" w:eastAsia="Times New Roman" w:hAnsi="Times New Roman" w:cs="Times New Roman"/>
          <w:sz w:val="22"/>
          <w:szCs w:val="22"/>
        </w:rPr>
        <w:t xml:space="preserve"> and </w:t>
      </w:r>
      <w:r w:rsidR="00F5596B">
        <w:rPr>
          <w:rFonts w:ascii="Times New Roman" w:eastAsia="Times New Roman" w:hAnsi="Times New Roman" w:cs="Times New Roman"/>
          <w:sz w:val="22"/>
          <w:szCs w:val="22"/>
        </w:rPr>
        <w:t>the remaining 67</w:t>
      </w:r>
      <w:r w:rsidRPr="0021710B">
        <w:rPr>
          <w:rFonts w:ascii="Times New Roman" w:eastAsia="Times New Roman" w:hAnsi="Times New Roman" w:cs="Times New Roman"/>
          <w:sz w:val="22"/>
          <w:szCs w:val="22"/>
        </w:rPr>
        <w:t xml:space="preserve"> were not </w:t>
      </w:r>
      <w:r w:rsidR="00F5596B">
        <w:rPr>
          <w:rFonts w:ascii="Times New Roman" w:eastAsia="Times New Roman" w:hAnsi="Times New Roman" w:cs="Times New Roman"/>
          <w:sz w:val="22"/>
          <w:szCs w:val="22"/>
        </w:rPr>
        <w:t>(non-steroid group)</w:t>
      </w:r>
      <w:r w:rsidRPr="0021710B">
        <w:rPr>
          <w:rFonts w:ascii="Times New Roman" w:eastAsia="Times New Roman" w:hAnsi="Times New Roman" w:cs="Times New Roman"/>
          <w:sz w:val="22"/>
          <w:szCs w:val="22"/>
        </w:rPr>
        <w:t>.</w:t>
      </w:r>
    </w:p>
    <w:p w14:paraId="46E1528A" w14:textId="77777777" w:rsidR="00E52F3F" w:rsidRPr="0006121B" w:rsidRDefault="00E52F3F"/>
    <w:sectPr w:rsidR="00E52F3F" w:rsidRPr="0006121B" w:rsidSect="0006121B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7DC1AB" w14:textId="77777777" w:rsidR="00F5596B" w:rsidRDefault="00F5596B" w:rsidP="00F5596B">
      <w:r>
        <w:separator/>
      </w:r>
    </w:p>
  </w:endnote>
  <w:endnote w:type="continuationSeparator" w:id="0">
    <w:p w14:paraId="1B367B9B" w14:textId="77777777" w:rsidR="00F5596B" w:rsidRDefault="00F5596B" w:rsidP="00F55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6C31DC" w14:textId="77777777" w:rsidR="00F5596B" w:rsidRDefault="00F5596B" w:rsidP="00F5596B">
      <w:r>
        <w:separator/>
      </w:r>
    </w:p>
  </w:footnote>
  <w:footnote w:type="continuationSeparator" w:id="0">
    <w:p w14:paraId="14FA8DAE" w14:textId="77777777" w:rsidR="00F5596B" w:rsidRDefault="00F5596B" w:rsidP="00F559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21B"/>
    <w:rsid w:val="0006121B"/>
    <w:rsid w:val="002446B5"/>
    <w:rsid w:val="0051736F"/>
    <w:rsid w:val="00AC0DDE"/>
    <w:rsid w:val="00BF6EC7"/>
    <w:rsid w:val="00E52F3F"/>
    <w:rsid w:val="00F55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E0F5064"/>
  <w15:chartTrackingRefBased/>
  <w15:docId w15:val="{FDCEC2DA-BF2F-412D-AA13-680774E6A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121B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596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5596B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F5596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5596B"/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moto moto</dc:creator>
  <cp:keywords/>
  <dc:description/>
  <cp:lastModifiedBy>moto moto</cp:lastModifiedBy>
  <cp:revision>2</cp:revision>
  <dcterms:created xsi:type="dcterms:W3CDTF">2022-04-06T04:52:00Z</dcterms:created>
  <dcterms:modified xsi:type="dcterms:W3CDTF">2022-04-06T04:52:00Z</dcterms:modified>
</cp:coreProperties>
</file>