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46A878" w14:textId="77777777" w:rsidR="00912EC8" w:rsidRDefault="00912EC8" w:rsidP="00912EC8">
      <w:pPr>
        <w:pStyle w:val="berschrift1"/>
        <w:spacing w:line="480" w:lineRule="auto"/>
        <w:rPr>
          <w:lang w:val="en-GB"/>
        </w:rPr>
      </w:pPr>
      <w:r w:rsidRPr="006173EC">
        <w:rPr>
          <w:lang w:val="en-GB"/>
        </w:rPr>
        <w:t xml:space="preserve">Coughing children in family practice </w:t>
      </w:r>
      <w:r>
        <w:rPr>
          <w:lang w:val="en-GB"/>
        </w:rPr>
        <w:t>and primary care</w:t>
      </w:r>
      <w:r w:rsidRPr="006173EC">
        <w:rPr>
          <w:lang w:val="en-GB"/>
        </w:rPr>
        <w:t>– a systematic review on prevalence</w:t>
      </w:r>
      <w:r>
        <w:rPr>
          <w:lang w:val="en-GB"/>
        </w:rPr>
        <w:t>, aetiology</w:t>
      </w:r>
      <w:r w:rsidRPr="006173EC">
        <w:rPr>
          <w:lang w:val="en-GB"/>
        </w:rPr>
        <w:t xml:space="preserve"> and prognosis</w:t>
      </w:r>
    </w:p>
    <w:p w14:paraId="1FB9DDE2" w14:textId="1B5E41FB" w:rsidR="00912EC8" w:rsidRPr="007D1924" w:rsidRDefault="00912EC8" w:rsidP="00912EC8">
      <w:pPr>
        <w:spacing w:line="276" w:lineRule="auto"/>
        <w:rPr>
          <w:lang w:val="en-GB"/>
        </w:rPr>
      </w:pPr>
      <w:r w:rsidRPr="001219F5">
        <w:rPr>
          <w:u w:val="single"/>
          <w:lang w:val="en-GB"/>
        </w:rPr>
        <w:t>Authors:</w:t>
      </w:r>
      <w:r>
        <w:rPr>
          <w:lang w:val="en-GB"/>
        </w:rPr>
        <w:t xml:space="preserve"> </w:t>
      </w:r>
      <w:r w:rsidRPr="007D1924">
        <w:rPr>
          <w:lang w:val="en-GB"/>
        </w:rPr>
        <w:t>Milena Bergmann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Jörg Haasenritter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Dominik Beidatsch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Sonja Schwarm</w:t>
      </w:r>
      <w:r>
        <w:rPr>
          <w:vertAlign w:val="superscript"/>
          <w:lang w:val="en-GB"/>
        </w:rPr>
        <w:t>a</w:t>
      </w:r>
      <w:r w:rsidR="00860D14">
        <w:rPr>
          <w:lang w:val="en-GB"/>
        </w:rPr>
        <w:t>, Kaja Bartsch</w:t>
      </w:r>
      <w:bookmarkStart w:id="0" w:name="_GoBack"/>
      <w:bookmarkEnd w:id="0"/>
      <w:r>
        <w:rPr>
          <w:vertAlign w:val="superscript"/>
          <w:lang w:val="en-GB"/>
        </w:rPr>
        <w:t>a</w:t>
      </w:r>
      <w:r w:rsidRPr="007D1924">
        <w:rPr>
          <w:lang w:val="en-GB"/>
        </w:rPr>
        <w:t>, Stefan Bösner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Paula Grevenrath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Laura</w:t>
      </w:r>
      <w:r>
        <w:rPr>
          <w:lang w:val="en-GB"/>
        </w:rPr>
        <w:t xml:space="preserve"> </w:t>
      </w:r>
      <w:r w:rsidRPr="007D1924">
        <w:rPr>
          <w:lang w:val="en-GB"/>
        </w:rPr>
        <w:t>Schmidt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Annika Viniol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Norbert Donner-Banzhoff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 xml:space="preserve"> and Annette Becker</w:t>
      </w:r>
      <w:r>
        <w:rPr>
          <w:vertAlign w:val="superscript"/>
          <w:lang w:val="en-GB"/>
        </w:rPr>
        <w:t>a</w:t>
      </w:r>
      <w:r w:rsidRPr="007D1924">
        <w:rPr>
          <w:vertAlign w:val="superscript"/>
          <w:lang w:val="en-GB"/>
        </w:rPr>
        <w:t>,*</w:t>
      </w:r>
      <w:r w:rsidRPr="007D1924">
        <w:rPr>
          <w:lang w:val="en-GB"/>
        </w:rPr>
        <w:t xml:space="preserve"> </w:t>
      </w:r>
    </w:p>
    <w:p w14:paraId="3881FC39" w14:textId="77777777" w:rsidR="00912EC8" w:rsidRPr="007D1924" w:rsidRDefault="00912EC8" w:rsidP="00912EC8">
      <w:pPr>
        <w:spacing w:line="276" w:lineRule="auto"/>
        <w:rPr>
          <w:rFonts w:eastAsia="Garamond" w:cs="Garamond"/>
          <w:lang w:val="en-GB"/>
        </w:rPr>
      </w:pPr>
    </w:p>
    <w:p w14:paraId="6DB5D75E" w14:textId="77777777" w:rsidR="00912EC8" w:rsidRPr="00464AC0" w:rsidRDefault="00912EC8" w:rsidP="000965AB">
      <w:pPr>
        <w:spacing w:line="276" w:lineRule="auto"/>
        <w:ind w:left="709" w:hanging="709"/>
        <w:rPr>
          <w:rFonts w:eastAsia="Garamond" w:cs="Garamond"/>
          <w:lang w:val="en-GB"/>
        </w:rPr>
      </w:pPr>
      <w:r>
        <w:rPr>
          <w:rFonts w:eastAsia="Garamond" w:cs="Garamond"/>
          <w:vertAlign w:val="superscript"/>
          <w:lang w:val="en-GB"/>
        </w:rPr>
        <w:t>a</w:t>
      </w:r>
      <w:r w:rsidRPr="007D1924">
        <w:rPr>
          <w:rFonts w:eastAsia="Garamond" w:cs="Garamond"/>
          <w:lang w:val="en-GB"/>
        </w:rPr>
        <w:tab/>
        <w:t>Department of General Practice/Family Medicine, University of Marburg</w:t>
      </w:r>
      <w:r>
        <w:rPr>
          <w:rFonts w:eastAsia="Garamond" w:cs="Garamond"/>
          <w:lang w:val="en-GB"/>
        </w:rPr>
        <w:t xml:space="preserve">, </w:t>
      </w:r>
      <w:r w:rsidRPr="00464AC0">
        <w:rPr>
          <w:rFonts w:eastAsia="Garamond" w:cs="Garamond"/>
          <w:lang w:val="en-GB"/>
        </w:rPr>
        <w:t>Marburg, Germany</w:t>
      </w:r>
    </w:p>
    <w:p w14:paraId="741427FB" w14:textId="77777777" w:rsidR="00912EC8" w:rsidRPr="00464AC0" w:rsidRDefault="00912EC8" w:rsidP="00912EC8">
      <w:pPr>
        <w:spacing w:line="276" w:lineRule="auto"/>
        <w:rPr>
          <w:rFonts w:eastAsia="Garamond" w:cs="Garamond"/>
          <w:lang w:val="en-GB"/>
        </w:rPr>
      </w:pPr>
    </w:p>
    <w:p w14:paraId="444ECBAF" w14:textId="77777777" w:rsidR="00912EC8" w:rsidRDefault="00912EC8" w:rsidP="000965AB">
      <w:pPr>
        <w:spacing w:line="276" w:lineRule="auto"/>
        <w:ind w:left="709" w:hanging="709"/>
        <w:rPr>
          <w:rFonts w:eastAsia="Garamond" w:cs="Garamond"/>
          <w:lang w:val="en-GB"/>
        </w:rPr>
      </w:pPr>
      <w:r w:rsidRPr="007D1924">
        <w:rPr>
          <w:rFonts w:eastAsia="Garamond" w:cs="Garamond"/>
          <w:vertAlign w:val="superscript"/>
          <w:lang w:val="en-GB"/>
        </w:rPr>
        <w:t xml:space="preserve">* </w:t>
      </w:r>
      <w:r w:rsidRPr="007D1924">
        <w:rPr>
          <w:rFonts w:eastAsia="Garamond" w:cs="Garamond"/>
          <w:lang w:val="en-GB"/>
        </w:rPr>
        <w:tab/>
      </w:r>
      <w:r>
        <w:rPr>
          <w:rFonts w:eastAsia="Garamond" w:cs="Garamond"/>
          <w:lang w:val="en-GB"/>
        </w:rPr>
        <w:t>Correspondence to Annette Becker</w:t>
      </w:r>
      <w:r w:rsidRPr="00464AC0">
        <w:rPr>
          <w:rFonts w:eastAsia="Garamond" w:cs="Garamond"/>
          <w:lang w:val="en-GB"/>
        </w:rPr>
        <w:t>, Department of General Practice/Family Medicine, University of Marburg, Karl-von-Frisch-Str. 4,</w:t>
      </w:r>
      <w:r>
        <w:rPr>
          <w:rFonts w:eastAsia="Garamond" w:cs="Garamond"/>
          <w:lang w:val="en-GB"/>
        </w:rPr>
        <w:t xml:space="preserve"> </w:t>
      </w:r>
      <w:r w:rsidRPr="00464AC0">
        <w:rPr>
          <w:rFonts w:eastAsia="Garamond" w:cs="Garamond"/>
          <w:lang w:val="en-GB"/>
        </w:rPr>
        <w:t xml:space="preserve">35043 Marburg, Germany; E-mail: </w:t>
      </w:r>
      <w:hyperlink r:id="rId6" w:history="1">
        <w:r w:rsidRPr="00D25314">
          <w:rPr>
            <w:rStyle w:val="Hyperlink"/>
            <w:rFonts w:eastAsia="Garamond" w:cs="Garamond"/>
            <w:lang w:val="en-GB"/>
          </w:rPr>
          <w:t>Annette.Becker@staff.uni-marburg.de</w:t>
        </w:r>
      </w:hyperlink>
    </w:p>
    <w:p w14:paraId="1DE8CA06" w14:textId="77777777" w:rsidR="00912EC8" w:rsidRDefault="00912EC8" w:rsidP="00912EC8">
      <w:pPr>
        <w:rPr>
          <w:lang w:val="en-GB"/>
        </w:rPr>
      </w:pPr>
    </w:p>
    <w:p w14:paraId="069B0CAB" w14:textId="77777777" w:rsidR="00912EC8" w:rsidRDefault="00912EC8" w:rsidP="00912EC8">
      <w:pPr>
        <w:pStyle w:val="berschrift2"/>
        <w:rPr>
          <w:lang w:val="en-GB"/>
        </w:rPr>
      </w:pPr>
    </w:p>
    <w:p w14:paraId="0541B05A" w14:textId="77777777" w:rsidR="00912EC8" w:rsidRDefault="00912EC8" w:rsidP="00912EC8">
      <w:pPr>
        <w:pStyle w:val="berschrift2"/>
        <w:rPr>
          <w:lang w:val="en-GB"/>
        </w:rPr>
      </w:pPr>
    </w:p>
    <w:p w14:paraId="0124B0A2" w14:textId="77777777" w:rsidR="00912EC8" w:rsidRDefault="00912EC8" w:rsidP="00912EC8">
      <w:pPr>
        <w:pStyle w:val="berschrift2"/>
      </w:pPr>
      <w:r>
        <w:rPr>
          <w:lang w:val="en-GB"/>
        </w:rPr>
        <w:t xml:space="preserve">Additional </w:t>
      </w:r>
      <w:r>
        <w:t xml:space="preserve">File 3: </w:t>
      </w:r>
    </w:p>
    <w:p w14:paraId="100CBBE6" w14:textId="53911D7A" w:rsidR="00912EC8" w:rsidRPr="00F843D3" w:rsidRDefault="00912EC8" w:rsidP="00912EC8">
      <w:pPr>
        <w:spacing w:line="480" w:lineRule="auto"/>
        <w:rPr>
          <w:rFonts w:cs="Times New Roman"/>
          <w:lang w:val="en-GB"/>
        </w:rPr>
      </w:pPr>
      <w:r w:rsidRPr="00F843D3">
        <w:rPr>
          <w:rFonts w:cs="Times New Roman"/>
          <w:lang w:val="en-GB"/>
        </w:rPr>
        <w:t>Title: Overview: Quality, risk of bias and clinical heterogeneity of included studies</w:t>
      </w:r>
    </w:p>
    <w:p w14:paraId="441710F6" w14:textId="61BC4E17" w:rsidR="00912EC8" w:rsidRPr="00F843D3" w:rsidRDefault="00912EC8" w:rsidP="00912EC8">
      <w:pPr>
        <w:pStyle w:val="berschrift2"/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</w:pPr>
    </w:p>
    <w:p w14:paraId="43F283E9" w14:textId="77777777" w:rsidR="00912EC8" w:rsidRDefault="00912EC8" w:rsidP="00912EC8">
      <w:pPr>
        <w:pStyle w:val="Textbody"/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</w:pPr>
    </w:p>
    <w:p w14:paraId="0335FFBC" w14:textId="77777777" w:rsidR="00912EC8" w:rsidRDefault="00912EC8">
      <w:pPr>
        <w:rPr>
          <w:sz w:val="20"/>
          <w:szCs w:val="20"/>
          <w:lang w:val="en-GB"/>
        </w:rPr>
      </w:pPr>
    </w:p>
    <w:p w14:paraId="2F582580" w14:textId="77777777" w:rsidR="00912EC8" w:rsidRDefault="00912EC8">
      <w:pPr>
        <w:rPr>
          <w:sz w:val="20"/>
          <w:szCs w:val="20"/>
          <w:lang w:val="en-GB"/>
        </w:rPr>
      </w:pPr>
    </w:p>
    <w:p w14:paraId="0EDACE28" w14:textId="77777777" w:rsidR="00912EC8" w:rsidRDefault="00912EC8">
      <w:pPr>
        <w:rPr>
          <w:sz w:val="20"/>
          <w:szCs w:val="20"/>
          <w:lang w:val="en-GB"/>
        </w:rPr>
      </w:pPr>
    </w:p>
    <w:p w14:paraId="1C033376" w14:textId="77777777" w:rsidR="00912EC8" w:rsidRDefault="00912EC8">
      <w:pPr>
        <w:rPr>
          <w:sz w:val="20"/>
          <w:szCs w:val="20"/>
          <w:lang w:val="en-GB"/>
        </w:rPr>
      </w:pPr>
    </w:p>
    <w:p w14:paraId="64ADAF07" w14:textId="77777777" w:rsidR="00912EC8" w:rsidRDefault="00912EC8">
      <w:pPr>
        <w:rPr>
          <w:sz w:val="20"/>
          <w:szCs w:val="20"/>
          <w:lang w:val="en-GB"/>
        </w:rPr>
      </w:pPr>
    </w:p>
    <w:p w14:paraId="5B724182" w14:textId="77777777" w:rsidR="00912EC8" w:rsidRDefault="00912EC8">
      <w:pPr>
        <w:rPr>
          <w:sz w:val="20"/>
          <w:szCs w:val="20"/>
          <w:lang w:val="en-GB"/>
        </w:rPr>
      </w:pPr>
    </w:p>
    <w:p w14:paraId="690FBCFB" w14:textId="77777777" w:rsidR="00912EC8" w:rsidRDefault="00912EC8">
      <w:pPr>
        <w:rPr>
          <w:sz w:val="20"/>
          <w:szCs w:val="20"/>
          <w:lang w:val="en-GB"/>
        </w:rPr>
      </w:pPr>
    </w:p>
    <w:p w14:paraId="5EBF8EF7" w14:textId="77777777" w:rsidR="00912EC8" w:rsidRDefault="00912EC8">
      <w:pPr>
        <w:rPr>
          <w:sz w:val="20"/>
          <w:szCs w:val="20"/>
          <w:lang w:val="en-GB"/>
        </w:rPr>
      </w:pPr>
    </w:p>
    <w:p w14:paraId="24D77EE3" w14:textId="77777777" w:rsidR="00912EC8" w:rsidRDefault="00912EC8">
      <w:pPr>
        <w:rPr>
          <w:sz w:val="20"/>
          <w:szCs w:val="20"/>
          <w:lang w:val="en-GB"/>
        </w:rPr>
      </w:pPr>
    </w:p>
    <w:p w14:paraId="7334C514" w14:textId="77777777" w:rsidR="00912EC8" w:rsidRDefault="00912EC8">
      <w:pPr>
        <w:rPr>
          <w:sz w:val="20"/>
          <w:szCs w:val="20"/>
          <w:lang w:val="en-GB"/>
        </w:rPr>
      </w:pPr>
    </w:p>
    <w:p w14:paraId="35321722" w14:textId="77777777" w:rsidR="00912EC8" w:rsidRDefault="00912EC8">
      <w:pPr>
        <w:rPr>
          <w:sz w:val="20"/>
          <w:szCs w:val="20"/>
          <w:lang w:val="en-GB"/>
        </w:rPr>
      </w:pPr>
    </w:p>
    <w:p w14:paraId="02E84192" w14:textId="77777777" w:rsidR="00912EC8" w:rsidRDefault="00912EC8">
      <w:pPr>
        <w:rPr>
          <w:sz w:val="20"/>
          <w:szCs w:val="20"/>
          <w:lang w:val="en-GB"/>
        </w:rPr>
      </w:pPr>
    </w:p>
    <w:p w14:paraId="595C36FA" w14:textId="77777777" w:rsidR="00912EC8" w:rsidRDefault="00912EC8">
      <w:pPr>
        <w:rPr>
          <w:sz w:val="20"/>
          <w:szCs w:val="20"/>
          <w:lang w:val="en-GB"/>
        </w:rPr>
      </w:pPr>
    </w:p>
    <w:p w14:paraId="7EF5B402" w14:textId="77777777" w:rsidR="00912EC8" w:rsidRDefault="00912EC8">
      <w:pPr>
        <w:rPr>
          <w:sz w:val="20"/>
          <w:szCs w:val="20"/>
          <w:lang w:val="en-GB"/>
        </w:rPr>
      </w:pPr>
    </w:p>
    <w:p w14:paraId="46808A36" w14:textId="77777777" w:rsidR="00912EC8" w:rsidRDefault="00912EC8">
      <w:pPr>
        <w:rPr>
          <w:sz w:val="20"/>
          <w:szCs w:val="20"/>
          <w:lang w:val="en-GB"/>
        </w:rPr>
      </w:pPr>
    </w:p>
    <w:p w14:paraId="44D55B19" w14:textId="77777777" w:rsidR="00912EC8" w:rsidRDefault="00912EC8">
      <w:pPr>
        <w:rPr>
          <w:sz w:val="20"/>
          <w:szCs w:val="20"/>
          <w:lang w:val="en-GB"/>
        </w:rPr>
      </w:pPr>
    </w:p>
    <w:p w14:paraId="5B21BE6A" w14:textId="77777777" w:rsidR="00912EC8" w:rsidRDefault="00912EC8">
      <w:pPr>
        <w:rPr>
          <w:sz w:val="20"/>
          <w:szCs w:val="20"/>
          <w:lang w:val="en-GB"/>
        </w:rPr>
      </w:pPr>
    </w:p>
    <w:p w14:paraId="730B2CEC" w14:textId="77777777" w:rsidR="00912EC8" w:rsidRDefault="00912EC8">
      <w:pPr>
        <w:rPr>
          <w:sz w:val="20"/>
          <w:szCs w:val="20"/>
          <w:lang w:val="en-GB"/>
        </w:rPr>
      </w:pPr>
    </w:p>
    <w:p w14:paraId="0DD2A065" w14:textId="77777777" w:rsidR="00912EC8" w:rsidRDefault="00912EC8">
      <w:pPr>
        <w:rPr>
          <w:sz w:val="20"/>
          <w:szCs w:val="20"/>
          <w:lang w:val="en-GB"/>
        </w:rPr>
      </w:pPr>
    </w:p>
    <w:p w14:paraId="1D817603" w14:textId="77777777" w:rsidR="00912EC8" w:rsidRDefault="00912EC8">
      <w:pPr>
        <w:rPr>
          <w:sz w:val="20"/>
          <w:szCs w:val="20"/>
          <w:lang w:val="en-GB"/>
        </w:rPr>
        <w:sectPr w:rsidR="00912EC8" w:rsidSect="00912EC8">
          <w:pgSz w:w="11906" w:h="16838"/>
          <w:pgMar w:top="992" w:right="1134" w:bottom="1134" w:left="1134" w:header="720" w:footer="720" w:gutter="0"/>
          <w:cols w:space="720"/>
          <w:docGrid w:linePitch="326"/>
        </w:sectPr>
      </w:pPr>
    </w:p>
    <w:tbl>
      <w:tblPr>
        <w:tblStyle w:val="Tabellenraster"/>
        <w:tblW w:w="15021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567"/>
        <w:gridCol w:w="567"/>
        <w:gridCol w:w="567"/>
        <w:gridCol w:w="425"/>
        <w:gridCol w:w="567"/>
        <w:gridCol w:w="1134"/>
        <w:gridCol w:w="851"/>
        <w:gridCol w:w="709"/>
        <w:gridCol w:w="850"/>
        <w:gridCol w:w="567"/>
        <w:gridCol w:w="567"/>
        <w:gridCol w:w="567"/>
        <w:gridCol w:w="567"/>
        <w:gridCol w:w="709"/>
        <w:gridCol w:w="709"/>
        <w:gridCol w:w="567"/>
        <w:gridCol w:w="567"/>
        <w:gridCol w:w="708"/>
        <w:gridCol w:w="709"/>
        <w:gridCol w:w="709"/>
        <w:gridCol w:w="567"/>
      </w:tblGrid>
      <w:tr w:rsidR="00C74913" w:rsidRPr="00C74913" w14:paraId="3077689A" w14:textId="77777777" w:rsidTr="00A622D9">
        <w:trPr>
          <w:trHeight w:val="460"/>
          <w:jc w:val="center"/>
        </w:trPr>
        <w:tc>
          <w:tcPr>
            <w:tcW w:w="1271" w:type="dxa"/>
            <w:shd w:val="clear" w:color="auto" w:fill="FAF9F9" w:themeFill="background2" w:themeFillTint="33"/>
            <w:vAlign w:val="center"/>
          </w:tcPr>
          <w:p w14:paraId="6C6EF61A" w14:textId="00659A64" w:rsidR="00C74913" w:rsidRPr="00C74913" w:rsidRDefault="00C74913" w:rsidP="00A622D9">
            <w:pPr>
              <w:jc w:val="right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lastRenderedPageBreak/>
              <w:t>Domain</w:t>
            </w:r>
          </w:p>
        </w:tc>
        <w:tc>
          <w:tcPr>
            <w:tcW w:w="5387" w:type="dxa"/>
            <w:gridSpan w:val="8"/>
            <w:shd w:val="clear" w:color="auto" w:fill="FAF9F9" w:themeFill="background2" w:themeFillTint="33"/>
            <w:vAlign w:val="center"/>
          </w:tcPr>
          <w:p w14:paraId="77E429DF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A: </w:t>
            </w:r>
            <w:r w:rsidRPr="00C74913">
              <w:rPr>
                <w:rFonts w:ascii="Arial" w:hAnsi="Arial" w:cs="Arial"/>
                <w:b/>
                <w:bCs/>
                <w:sz w:val="14"/>
                <w:szCs w:val="14"/>
                <w:highlight w:val="lightGray"/>
                <w:lang w:val="en-GB"/>
              </w:rPr>
              <w:t>Selection of patients and GPs</w:t>
            </w: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 (assessed for all included studies)</w:t>
            </w:r>
          </w:p>
        </w:tc>
        <w:tc>
          <w:tcPr>
            <w:tcW w:w="2551" w:type="dxa"/>
            <w:gridSpan w:val="4"/>
            <w:shd w:val="clear" w:color="auto" w:fill="FAF9F9" w:themeFill="background2" w:themeFillTint="33"/>
            <w:vAlign w:val="center"/>
          </w:tcPr>
          <w:p w14:paraId="0727358B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B: </w:t>
            </w:r>
            <w:r w:rsidRPr="00C74913">
              <w:rPr>
                <w:rFonts w:ascii="Arial" w:hAnsi="Arial" w:cs="Arial"/>
                <w:b/>
                <w:bCs/>
                <w:sz w:val="14"/>
                <w:szCs w:val="14"/>
                <w:highlight w:val="lightGray"/>
                <w:lang w:val="en-GB"/>
              </w:rPr>
              <w:t>Data collection and patient flow</w:t>
            </w: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 (assessed for all included studies)</w:t>
            </w:r>
          </w:p>
        </w:tc>
        <w:tc>
          <w:tcPr>
            <w:tcW w:w="2552" w:type="dxa"/>
            <w:gridSpan w:val="4"/>
            <w:shd w:val="clear" w:color="auto" w:fill="FAF9F9" w:themeFill="background2" w:themeFillTint="33"/>
            <w:vAlign w:val="center"/>
          </w:tcPr>
          <w:p w14:paraId="063DCDC5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C: </w:t>
            </w:r>
            <w:r w:rsidRPr="00C74913">
              <w:rPr>
                <w:rFonts w:ascii="Arial" w:hAnsi="Arial" w:cs="Arial"/>
                <w:b/>
                <w:bCs/>
                <w:sz w:val="14"/>
                <w:szCs w:val="14"/>
                <w:highlight w:val="lightGray"/>
                <w:lang w:val="en-GB"/>
              </w:rPr>
              <w:t>Determination of the underlying aetiology of the symptom</w:t>
            </w: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 </w:t>
            </w:r>
          </w:p>
          <w:p w14:paraId="0C0BC1DB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(assessed for 4 studies including aetiologic outcomes)</w:t>
            </w:r>
          </w:p>
        </w:tc>
        <w:tc>
          <w:tcPr>
            <w:tcW w:w="3260" w:type="dxa"/>
            <w:gridSpan w:val="5"/>
            <w:shd w:val="clear" w:color="auto" w:fill="FAF9F9" w:themeFill="background2" w:themeFillTint="33"/>
            <w:vAlign w:val="center"/>
          </w:tcPr>
          <w:p w14:paraId="3A18A662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D: </w:t>
            </w:r>
            <w:r w:rsidRPr="00C74913">
              <w:rPr>
                <w:rFonts w:ascii="Arial" w:hAnsi="Arial" w:cs="Arial"/>
                <w:b/>
                <w:bCs/>
                <w:sz w:val="14"/>
                <w:szCs w:val="14"/>
                <w:highlight w:val="lightGray"/>
                <w:lang w:val="en-GB"/>
              </w:rPr>
              <w:t>Determination of the prognosis</w:t>
            </w: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 </w:t>
            </w:r>
          </w:p>
          <w:p w14:paraId="5EB3BD70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(assessed for 1 study including prognostic outcomes)</w:t>
            </w:r>
          </w:p>
        </w:tc>
      </w:tr>
      <w:tr w:rsidR="00C74913" w:rsidRPr="00C74913" w14:paraId="16C647C6" w14:textId="77777777" w:rsidTr="00A622D9">
        <w:trPr>
          <w:cantSplit/>
          <w:trHeight w:val="213"/>
          <w:jc w:val="center"/>
        </w:trPr>
        <w:tc>
          <w:tcPr>
            <w:tcW w:w="1271" w:type="dxa"/>
            <w:shd w:val="clear" w:color="auto" w:fill="FAF9F9" w:themeFill="background2" w:themeFillTint="33"/>
            <w:vAlign w:val="center"/>
          </w:tcPr>
          <w:p w14:paraId="6FF49989" w14:textId="77777777" w:rsidR="00C74913" w:rsidRPr="00C74913" w:rsidRDefault="00C74913" w:rsidP="00A622D9">
            <w:pPr>
              <w:jc w:val="right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Item</w:t>
            </w:r>
          </w:p>
        </w:tc>
        <w:tc>
          <w:tcPr>
            <w:tcW w:w="567" w:type="dxa"/>
            <w:shd w:val="clear" w:color="auto" w:fill="FAF9F9" w:themeFill="background2" w:themeFillTint="33"/>
            <w:vAlign w:val="center"/>
          </w:tcPr>
          <w:p w14:paraId="15B30273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1</w:t>
            </w:r>
          </w:p>
        </w:tc>
        <w:tc>
          <w:tcPr>
            <w:tcW w:w="567" w:type="dxa"/>
            <w:shd w:val="clear" w:color="auto" w:fill="FAF9F9" w:themeFill="background2" w:themeFillTint="33"/>
            <w:vAlign w:val="center"/>
          </w:tcPr>
          <w:p w14:paraId="0F71BBFD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2</w:t>
            </w:r>
          </w:p>
        </w:tc>
        <w:tc>
          <w:tcPr>
            <w:tcW w:w="567" w:type="dxa"/>
            <w:shd w:val="clear" w:color="auto" w:fill="FAF9F9" w:themeFill="background2" w:themeFillTint="33"/>
            <w:vAlign w:val="center"/>
          </w:tcPr>
          <w:p w14:paraId="194593F5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3</w:t>
            </w:r>
          </w:p>
        </w:tc>
        <w:tc>
          <w:tcPr>
            <w:tcW w:w="425" w:type="dxa"/>
            <w:shd w:val="clear" w:color="auto" w:fill="FAF9F9" w:themeFill="background2" w:themeFillTint="33"/>
            <w:vAlign w:val="center"/>
          </w:tcPr>
          <w:p w14:paraId="1D49D694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4</w:t>
            </w:r>
          </w:p>
        </w:tc>
        <w:tc>
          <w:tcPr>
            <w:tcW w:w="567" w:type="dxa"/>
            <w:shd w:val="clear" w:color="auto" w:fill="FAF9F9" w:themeFill="background2" w:themeFillTint="33"/>
            <w:vAlign w:val="center"/>
          </w:tcPr>
          <w:p w14:paraId="34B9A490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</w:tc>
        <w:tc>
          <w:tcPr>
            <w:tcW w:w="1134" w:type="dxa"/>
            <w:shd w:val="clear" w:color="auto" w:fill="FAF9F9" w:themeFill="background2" w:themeFillTint="33"/>
            <w:vAlign w:val="center"/>
          </w:tcPr>
          <w:p w14:paraId="50EAF603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5</w:t>
            </w:r>
          </w:p>
        </w:tc>
        <w:tc>
          <w:tcPr>
            <w:tcW w:w="851" w:type="dxa"/>
            <w:shd w:val="clear" w:color="auto" w:fill="FAF9F9" w:themeFill="background2" w:themeFillTint="33"/>
            <w:vAlign w:val="center"/>
          </w:tcPr>
          <w:p w14:paraId="60ECB8CA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6</w:t>
            </w:r>
          </w:p>
        </w:tc>
        <w:tc>
          <w:tcPr>
            <w:tcW w:w="709" w:type="dxa"/>
            <w:shd w:val="clear" w:color="auto" w:fill="FAF9F9" w:themeFill="background2" w:themeFillTint="33"/>
            <w:vAlign w:val="center"/>
          </w:tcPr>
          <w:p w14:paraId="747A0634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</w:tc>
        <w:tc>
          <w:tcPr>
            <w:tcW w:w="850" w:type="dxa"/>
            <w:shd w:val="clear" w:color="auto" w:fill="FAF9F9" w:themeFill="background2" w:themeFillTint="33"/>
            <w:vAlign w:val="center"/>
          </w:tcPr>
          <w:p w14:paraId="084CFD84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7</w:t>
            </w:r>
          </w:p>
        </w:tc>
        <w:tc>
          <w:tcPr>
            <w:tcW w:w="567" w:type="dxa"/>
            <w:shd w:val="clear" w:color="auto" w:fill="FAF9F9" w:themeFill="background2" w:themeFillTint="33"/>
            <w:vAlign w:val="center"/>
          </w:tcPr>
          <w:p w14:paraId="0CA677EA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8</w:t>
            </w:r>
          </w:p>
        </w:tc>
        <w:tc>
          <w:tcPr>
            <w:tcW w:w="567" w:type="dxa"/>
            <w:shd w:val="clear" w:color="auto" w:fill="FAF9F9" w:themeFill="background2" w:themeFillTint="33"/>
            <w:vAlign w:val="center"/>
          </w:tcPr>
          <w:p w14:paraId="69530001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9</w:t>
            </w:r>
          </w:p>
        </w:tc>
        <w:tc>
          <w:tcPr>
            <w:tcW w:w="567" w:type="dxa"/>
            <w:shd w:val="clear" w:color="auto" w:fill="FAF9F9" w:themeFill="background2" w:themeFillTint="33"/>
            <w:vAlign w:val="center"/>
          </w:tcPr>
          <w:p w14:paraId="303428D1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</w:tc>
        <w:tc>
          <w:tcPr>
            <w:tcW w:w="567" w:type="dxa"/>
            <w:shd w:val="clear" w:color="auto" w:fill="FAF9F9" w:themeFill="background2" w:themeFillTint="33"/>
            <w:vAlign w:val="center"/>
          </w:tcPr>
          <w:p w14:paraId="5C0E9677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10</w:t>
            </w:r>
          </w:p>
        </w:tc>
        <w:tc>
          <w:tcPr>
            <w:tcW w:w="709" w:type="dxa"/>
            <w:shd w:val="clear" w:color="auto" w:fill="FAF9F9" w:themeFill="background2" w:themeFillTint="33"/>
            <w:vAlign w:val="center"/>
          </w:tcPr>
          <w:p w14:paraId="36AF4A71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11</w:t>
            </w:r>
          </w:p>
        </w:tc>
        <w:tc>
          <w:tcPr>
            <w:tcW w:w="709" w:type="dxa"/>
            <w:shd w:val="clear" w:color="auto" w:fill="FAF9F9" w:themeFill="background2" w:themeFillTint="33"/>
            <w:vAlign w:val="center"/>
          </w:tcPr>
          <w:p w14:paraId="7DC7AA83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12</w:t>
            </w:r>
          </w:p>
        </w:tc>
        <w:tc>
          <w:tcPr>
            <w:tcW w:w="567" w:type="dxa"/>
            <w:shd w:val="clear" w:color="auto" w:fill="FAF9F9" w:themeFill="background2" w:themeFillTint="33"/>
            <w:vAlign w:val="center"/>
          </w:tcPr>
          <w:p w14:paraId="6FE55F25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</w:tc>
        <w:tc>
          <w:tcPr>
            <w:tcW w:w="567" w:type="dxa"/>
            <w:shd w:val="clear" w:color="auto" w:fill="FAF9F9" w:themeFill="background2" w:themeFillTint="33"/>
            <w:vAlign w:val="center"/>
          </w:tcPr>
          <w:p w14:paraId="4D7FFC83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13</w:t>
            </w:r>
          </w:p>
        </w:tc>
        <w:tc>
          <w:tcPr>
            <w:tcW w:w="708" w:type="dxa"/>
            <w:shd w:val="clear" w:color="auto" w:fill="FAF9F9" w:themeFill="background2" w:themeFillTint="33"/>
            <w:vAlign w:val="center"/>
          </w:tcPr>
          <w:p w14:paraId="420700FC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14</w:t>
            </w:r>
          </w:p>
        </w:tc>
        <w:tc>
          <w:tcPr>
            <w:tcW w:w="709" w:type="dxa"/>
            <w:shd w:val="clear" w:color="auto" w:fill="FAF9F9" w:themeFill="background2" w:themeFillTint="33"/>
            <w:vAlign w:val="center"/>
          </w:tcPr>
          <w:p w14:paraId="21BDA3C2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15</w:t>
            </w:r>
          </w:p>
        </w:tc>
        <w:tc>
          <w:tcPr>
            <w:tcW w:w="709" w:type="dxa"/>
            <w:shd w:val="clear" w:color="auto" w:fill="FAF9F9" w:themeFill="background2" w:themeFillTint="33"/>
            <w:vAlign w:val="center"/>
          </w:tcPr>
          <w:p w14:paraId="034005A6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16</w:t>
            </w:r>
          </w:p>
        </w:tc>
        <w:tc>
          <w:tcPr>
            <w:tcW w:w="567" w:type="dxa"/>
            <w:shd w:val="clear" w:color="auto" w:fill="FAF9F9" w:themeFill="background2" w:themeFillTint="33"/>
            <w:vAlign w:val="center"/>
          </w:tcPr>
          <w:p w14:paraId="4A255F4F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</w:tc>
      </w:tr>
      <w:tr w:rsidR="00C74913" w:rsidRPr="00C74913" w14:paraId="3019F5C7" w14:textId="77777777" w:rsidTr="00A622D9">
        <w:trPr>
          <w:cantSplit/>
          <w:trHeight w:val="2736"/>
          <w:jc w:val="center"/>
        </w:trPr>
        <w:tc>
          <w:tcPr>
            <w:tcW w:w="1271" w:type="dxa"/>
            <w:shd w:val="clear" w:color="auto" w:fill="FAF9F9" w:themeFill="background2" w:themeFillTint="33"/>
            <w:vAlign w:val="center"/>
          </w:tcPr>
          <w:p w14:paraId="4FBC3AE4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+ Yes</w:t>
            </w:r>
          </w:p>
          <w:p w14:paraId="032C0D01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- No</w:t>
            </w:r>
          </w:p>
          <w:p w14:paraId="4BFBA07A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? Unclear</w:t>
            </w:r>
          </w:p>
          <w:p w14:paraId="0F483C3F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613BF1C9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53B78F00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43F5CAD1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47728945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1008F1A3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422ABE53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7CD45442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78B16D92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49C57525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372BF711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2CB20CDC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</w:p>
          <w:p w14:paraId="45A42AEA" w14:textId="77777777" w:rsidR="00C74913" w:rsidRPr="00C74913" w:rsidRDefault="00C74913" w:rsidP="00A622D9">
            <w:pPr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Studies</w:t>
            </w:r>
          </w:p>
        </w:tc>
        <w:tc>
          <w:tcPr>
            <w:tcW w:w="567" w:type="dxa"/>
            <w:shd w:val="clear" w:color="auto" w:fill="FAF9F9" w:themeFill="background2" w:themeFillTint="33"/>
            <w:textDirection w:val="btLr"/>
            <w:vAlign w:val="center"/>
          </w:tcPr>
          <w:p w14:paraId="460F286D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Was the symptom to be investigated clearly described? </w:t>
            </w:r>
          </w:p>
        </w:tc>
        <w:tc>
          <w:tcPr>
            <w:tcW w:w="567" w:type="dxa"/>
            <w:shd w:val="clear" w:color="auto" w:fill="FAF9F9" w:themeFill="background2" w:themeFillTint="33"/>
            <w:textDirection w:val="btLr"/>
            <w:vAlign w:val="center"/>
          </w:tcPr>
          <w:p w14:paraId="4E8EBA22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Were the selection criteria of the patients clearly described? </w:t>
            </w:r>
          </w:p>
        </w:tc>
        <w:tc>
          <w:tcPr>
            <w:tcW w:w="567" w:type="dxa"/>
            <w:shd w:val="clear" w:color="auto" w:fill="FAF9F9" w:themeFill="background2" w:themeFillTint="33"/>
            <w:textDirection w:val="btLr"/>
            <w:vAlign w:val="center"/>
          </w:tcPr>
          <w:p w14:paraId="548790B4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Was a consecutive or random sample of patients enrolled? </w:t>
            </w:r>
          </w:p>
        </w:tc>
        <w:tc>
          <w:tcPr>
            <w:tcW w:w="425" w:type="dxa"/>
            <w:shd w:val="clear" w:color="auto" w:fill="FAF9F9" w:themeFill="background2" w:themeFillTint="33"/>
            <w:textDirection w:val="btLr"/>
            <w:vAlign w:val="center"/>
          </w:tcPr>
          <w:p w14:paraId="6FC727DF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Was it a multi-centre study? </w:t>
            </w:r>
          </w:p>
        </w:tc>
        <w:tc>
          <w:tcPr>
            <w:tcW w:w="567" w:type="dxa"/>
            <w:shd w:val="clear" w:color="auto" w:fill="FAF9F9" w:themeFill="background2" w:themeFillTint="33"/>
            <w:textDirection w:val="btLr"/>
            <w:vAlign w:val="center"/>
          </w:tcPr>
          <w:p w14:paraId="46519816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Risk that the selection of patients introduced bias</w:t>
            </w:r>
          </w:p>
        </w:tc>
        <w:tc>
          <w:tcPr>
            <w:tcW w:w="1134" w:type="dxa"/>
            <w:shd w:val="clear" w:color="auto" w:fill="FAF9F9" w:themeFill="background2" w:themeFillTint="33"/>
            <w:textDirection w:val="btLr"/>
            <w:vAlign w:val="center"/>
          </w:tcPr>
          <w:p w14:paraId="43446A6B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Did the selection criteria of the patients permit the study population to represent the full spectrum of those presenting with the symptom in the respective setting/ addressed in the review question?</w:t>
            </w:r>
          </w:p>
        </w:tc>
        <w:tc>
          <w:tcPr>
            <w:tcW w:w="851" w:type="dxa"/>
            <w:shd w:val="clear" w:color="auto" w:fill="FAF9F9" w:themeFill="background2" w:themeFillTint="33"/>
            <w:textDirection w:val="btLr"/>
            <w:vAlign w:val="center"/>
          </w:tcPr>
          <w:p w14:paraId="32B37053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Were the participating health care professionals/ institutions representative for setting to be investigated in the review?</w:t>
            </w:r>
          </w:p>
        </w:tc>
        <w:tc>
          <w:tcPr>
            <w:tcW w:w="709" w:type="dxa"/>
            <w:shd w:val="clear" w:color="auto" w:fill="FAF9F9" w:themeFill="background2" w:themeFillTint="33"/>
            <w:textDirection w:val="btLr"/>
            <w:vAlign w:val="center"/>
          </w:tcPr>
          <w:p w14:paraId="28E8F7BF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Concern that the selection of patients and GPs introduced substantial variation or clinical heterogeneity</w:t>
            </w:r>
          </w:p>
        </w:tc>
        <w:tc>
          <w:tcPr>
            <w:tcW w:w="850" w:type="dxa"/>
            <w:shd w:val="clear" w:color="auto" w:fill="FAF9F9" w:themeFill="background2" w:themeFillTint="33"/>
            <w:textDirection w:val="btLr"/>
            <w:vAlign w:val="center"/>
          </w:tcPr>
          <w:p w14:paraId="0C751AD4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Were data about the symptom und the inclusion criteria collected directly from the patients (as opposed to a proxy like a register, routine documentation)?</w:t>
            </w:r>
          </w:p>
        </w:tc>
        <w:tc>
          <w:tcPr>
            <w:tcW w:w="567" w:type="dxa"/>
            <w:shd w:val="clear" w:color="auto" w:fill="FAF9F9" w:themeFill="background2" w:themeFillTint="33"/>
            <w:textDirection w:val="btLr"/>
            <w:vAlign w:val="center"/>
          </w:tcPr>
          <w:p w14:paraId="0392F296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Was the same mode of data collection used for all patients? </w:t>
            </w:r>
          </w:p>
        </w:tc>
        <w:tc>
          <w:tcPr>
            <w:tcW w:w="567" w:type="dxa"/>
            <w:shd w:val="clear" w:color="auto" w:fill="FAF9F9" w:themeFill="background2" w:themeFillTint="33"/>
            <w:textDirection w:val="btLr"/>
            <w:vAlign w:val="center"/>
          </w:tcPr>
          <w:p w14:paraId="3771277B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Was the number of non-responders/ dropouts unlikely to affect the results? </w:t>
            </w:r>
          </w:p>
        </w:tc>
        <w:tc>
          <w:tcPr>
            <w:tcW w:w="567" w:type="dxa"/>
            <w:shd w:val="clear" w:color="auto" w:fill="FAF9F9" w:themeFill="background2" w:themeFillTint="33"/>
            <w:textDirection w:val="btLr"/>
            <w:vAlign w:val="center"/>
          </w:tcPr>
          <w:p w14:paraId="0B045C00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Risk that the mode of data collection and/ or patient flow introduced bias</w:t>
            </w:r>
          </w:p>
        </w:tc>
        <w:tc>
          <w:tcPr>
            <w:tcW w:w="567" w:type="dxa"/>
            <w:shd w:val="clear" w:color="auto" w:fill="FAF9F9" w:themeFill="background2" w:themeFillTint="33"/>
            <w:textDirection w:val="btLr"/>
            <w:vAlign w:val="center"/>
          </w:tcPr>
          <w:p w14:paraId="414A15F6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Was the aetiologic category clearly defined? </w:t>
            </w:r>
          </w:p>
        </w:tc>
        <w:tc>
          <w:tcPr>
            <w:tcW w:w="709" w:type="dxa"/>
            <w:shd w:val="clear" w:color="auto" w:fill="FAF9F9" w:themeFill="background2" w:themeFillTint="33"/>
            <w:textDirection w:val="btLr"/>
            <w:vAlign w:val="center"/>
          </w:tcPr>
          <w:p w14:paraId="52394D6A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Was the diagnostic work up likely to correctly classify the respective aetiology? </w:t>
            </w:r>
          </w:p>
        </w:tc>
        <w:tc>
          <w:tcPr>
            <w:tcW w:w="709" w:type="dxa"/>
            <w:shd w:val="clear" w:color="auto" w:fill="FAF9F9" w:themeFill="background2" w:themeFillTint="33"/>
            <w:textDirection w:val="btLr"/>
            <w:vAlign w:val="center"/>
          </w:tcPr>
          <w:p w14:paraId="7B5BCD8C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Did every patient receive the same diagnostic work up to detect the respective aetiology?</w:t>
            </w:r>
          </w:p>
        </w:tc>
        <w:tc>
          <w:tcPr>
            <w:tcW w:w="567" w:type="dxa"/>
            <w:shd w:val="clear" w:color="auto" w:fill="FAF9F9" w:themeFill="background2" w:themeFillTint="33"/>
            <w:textDirection w:val="btLr"/>
            <w:vAlign w:val="center"/>
          </w:tcPr>
          <w:p w14:paraId="0BE95F3C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Risk that the diagnostic work up introduce bias</w:t>
            </w:r>
          </w:p>
        </w:tc>
        <w:tc>
          <w:tcPr>
            <w:tcW w:w="567" w:type="dxa"/>
            <w:shd w:val="clear" w:color="auto" w:fill="FAF9F9" w:themeFill="background2" w:themeFillTint="33"/>
            <w:textDirection w:val="btLr"/>
            <w:vAlign w:val="center"/>
          </w:tcPr>
          <w:p w14:paraId="12F73F84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Was the prognostic outcome clearly defined?  </w:t>
            </w:r>
          </w:p>
        </w:tc>
        <w:tc>
          <w:tcPr>
            <w:tcW w:w="708" w:type="dxa"/>
            <w:shd w:val="clear" w:color="auto" w:fill="FAF9F9" w:themeFill="background2" w:themeFillTint="33"/>
            <w:textDirection w:val="btLr"/>
            <w:vAlign w:val="center"/>
          </w:tcPr>
          <w:p w14:paraId="324C5FB4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Did the study design include a comparison group without the symptom? </w:t>
            </w:r>
          </w:p>
        </w:tc>
        <w:tc>
          <w:tcPr>
            <w:tcW w:w="709" w:type="dxa"/>
            <w:shd w:val="clear" w:color="auto" w:fill="FAF9F9" w:themeFill="background2" w:themeFillTint="33"/>
            <w:textDirection w:val="btLr"/>
          </w:tcPr>
          <w:p w14:paraId="3700516F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 xml:space="preserve">Was the work up/ measurement likely to correctly classify the respective prognostic outcome?  </w:t>
            </w:r>
          </w:p>
        </w:tc>
        <w:tc>
          <w:tcPr>
            <w:tcW w:w="709" w:type="dxa"/>
            <w:shd w:val="clear" w:color="auto" w:fill="FAF9F9" w:themeFill="background2" w:themeFillTint="33"/>
            <w:textDirection w:val="btLr"/>
          </w:tcPr>
          <w:p w14:paraId="2240EF62" w14:textId="77777777" w:rsidR="00C74913" w:rsidRPr="00C74913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Did every patient receive the same work up/ mode of data collection to verify the respective prognostic outcome?</w:t>
            </w:r>
          </w:p>
        </w:tc>
        <w:tc>
          <w:tcPr>
            <w:tcW w:w="567" w:type="dxa"/>
            <w:shd w:val="clear" w:color="auto" w:fill="FAF9F9" w:themeFill="background2" w:themeFillTint="33"/>
            <w:textDirection w:val="btLr"/>
          </w:tcPr>
          <w:p w14:paraId="302C5732" w14:textId="77777777" w:rsidR="00C74913" w:rsidRPr="00A561BB" w:rsidRDefault="00C74913" w:rsidP="00A622D9">
            <w:pPr>
              <w:ind w:left="113" w:right="113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C74913">
              <w:rPr>
                <w:rFonts w:ascii="Arial" w:hAnsi="Arial" w:cs="Arial"/>
                <w:sz w:val="14"/>
                <w:szCs w:val="14"/>
                <w:highlight w:val="lightGray"/>
                <w:lang w:val="en-GB"/>
              </w:rPr>
              <w:t>Risk that the prognostic work up introduce bias</w:t>
            </w:r>
          </w:p>
        </w:tc>
      </w:tr>
      <w:tr w:rsidR="00C74913" w:rsidRPr="00A561BB" w14:paraId="11067D2A" w14:textId="77777777" w:rsidTr="00A622D9">
        <w:trPr>
          <w:jc w:val="center"/>
        </w:trPr>
        <w:tc>
          <w:tcPr>
            <w:tcW w:w="1271" w:type="dxa"/>
            <w:vAlign w:val="center"/>
          </w:tcPr>
          <w:p w14:paraId="6EF69A3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Boyce 2019</w:t>
            </w:r>
          </w:p>
        </w:tc>
        <w:tc>
          <w:tcPr>
            <w:tcW w:w="567" w:type="dxa"/>
            <w:vAlign w:val="center"/>
          </w:tcPr>
          <w:p w14:paraId="0588639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5C625A4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442DF9E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425" w:type="dxa"/>
            <w:vAlign w:val="center"/>
          </w:tcPr>
          <w:p w14:paraId="32D9284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4FE9F97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1134" w:type="dxa"/>
            <w:vAlign w:val="center"/>
          </w:tcPr>
          <w:p w14:paraId="5E14186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851" w:type="dxa"/>
            <w:vAlign w:val="center"/>
          </w:tcPr>
          <w:p w14:paraId="43F82C6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709" w:type="dxa"/>
            <w:vAlign w:val="center"/>
          </w:tcPr>
          <w:p w14:paraId="22CBA21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high</w:t>
            </w:r>
          </w:p>
        </w:tc>
        <w:tc>
          <w:tcPr>
            <w:tcW w:w="850" w:type="dxa"/>
            <w:vAlign w:val="center"/>
          </w:tcPr>
          <w:p w14:paraId="7915205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3A85C1D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3869CC5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4DD0F5C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567" w:type="dxa"/>
            <w:vAlign w:val="center"/>
          </w:tcPr>
          <w:p w14:paraId="6471BAC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7A16EB7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C54DEA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3EEF323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7967527B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0BD43059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664F7CF4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12798671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5B2762CF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3A45E184" w14:textId="77777777" w:rsidTr="00A622D9">
        <w:trPr>
          <w:jc w:val="center"/>
        </w:trPr>
        <w:tc>
          <w:tcPr>
            <w:tcW w:w="1271" w:type="dxa"/>
            <w:vAlign w:val="center"/>
          </w:tcPr>
          <w:p w14:paraId="40FC5F3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Cazzato 2001</w:t>
            </w:r>
          </w:p>
        </w:tc>
        <w:tc>
          <w:tcPr>
            <w:tcW w:w="567" w:type="dxa"/>
            <w:vAlign w:val="center"/>
          </w:tcPr>
          <w:p w14:paraId="2CDCB7B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2A80A3F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567" w:type="dxa"/>
            <w:vAlign w:val="center"/>
          </w:tcPr>
          <w:p w14:paraId="241E6B2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425" w:type="dxa"/>
            <w:vAlign w:val="center"/>
          </w:tcPr>
          <w:p w14:paraId="3E01BB1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637442B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1134" w:type="dxa"/>
            <w:vAlign w:val="center"/>
          </w:tcPr>
          <w:p w14:paraId="7E3057F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851" w:type="dxa"/>
            <w:vAlign w:val="center"/>
          </w:tcPr>
          <w:p w14:paraId="1FACB29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709" w:type="dxa"/>
            <w:vAlign w:val="center"/>
          </w:tcPr>
          <w:p w14:paraId="3F4C4CD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high</w:t>
            </w:r>
          </w:p>
        </w:tc>
        <w:tc>
          <w:tcPr>
            <w:tcW w:w="850" w:type="dxa"/>
            <w:vAlign w:val="center"/>
          </w:tcPr>
          <w:p w14:paraId="6D2D4D0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7DF07C0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0DD2EFD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7047AFB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567" w:type="dxa"/>
            <w:vAlign w:val="center"/>
          </w:tcPr>
          <w:p w14:paraId="092E056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45924A8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1841545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D4E464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  <w:vAlign w:val="center"/>
          </w:tcPr>
          <w:p w14:paraId="5EEB1178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7B0A1636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4D030BDB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8EA9C51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2B7B750B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C74913" w:rsidRPr="00A561BB" w14:paraId="016772B6" w14:textId="77777777" w:rsidTr="00A622D9">
        <w:trPr>
          <w:jc w:val="center"/>
        </w:trPr>
        <w:tc>
          <w:tcPr>
            <w:tcW w:w="1271" w:type="dxa"/>
            <w:vAlign w:val="center"/>
          </w:tcPr>
          <w:p w14:paraId="25E9597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Giannattasio 2014</w:t>
            </w:r>
          </w:p>
        </w:tc>
        <w:tc>
          <w:tcPr>
            <w:tcW w:w="567" w:type="dxa"/>
            <w:vAlign w:val="center"/>
          </w:tcPr>
          <w:p w14:paraId="041A4C9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7FF97B0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567" w:type="dxa"/>
            <w:vAlign w:val="center"/>
          </w:tcPr>
          <w:p w14:paraId="20F16F2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425" w:type="dxa"/>
            <w:vAlign w:val="center"/>
          </w:tcPr>
          <w:p w14:paraId="6942A44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3CA61C7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1134" w:type="dxa"/>
            <w:vAlign w:val="center"/>
          </w:tcPr>
          <w:p w14:paraId="4B9E58F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851" w:type="dxa"/>
            <w:vAlign w:val="center"/>
          </w:tcPr>
          <w:p w14:paraId="14C8F3B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709" w:type="dxa"/>
            <w:vAlign w:val="center"/>
          </w:tcPr>
          <w:p w14:paraId="7C3AC5D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850" w:type="dxa"/>
            <w:vAlign w:val="center"/>
          </w:tcPr>
          <w:p w14:paraId="75C3B2F2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6FB4EDD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0B14472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23FAE0D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567" w:type="dxa"/>
            <w:vAlign w:val="center"/>
          </w:tcPr>
          <w:p w14:paraId="6A8F5B22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18A823C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5728AB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640C2D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4D7F473C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26DCAB2E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7A9FCA24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F1ABD63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FE077FA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20B2D385" w14:textId="77777777" w:rsidTr="00A622D9">
        <w:trPr>
          <w:jc w:val="center"/>
        </w:trPr>
        <w:tc>
          <w:tcPr>
            <w:tcW w:w="1271" w:type="dxa"/>
            <w:vAlign w:val="center"/>
          </w:tcPr>
          <w:p w14:paraId="78A86F2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Hall 2017</w:t>
            </w:r>
          </w:p>
        </w:tc>
        <w:tc>
          <w:tcPr>
            <w:tcW w:w="567" w:type="dxa"/>
            <w:vAlign w:val="center"/>
          </w:tcPr>
          <w:p w14:paraId="70BC3BF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0055B5E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7330D8F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425" w:type="dxa"/>
            <w:vAlign w:val="center"/>
          </w:tcPr>
          <w:p w14:paraId="33FFE7A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7B66BFD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high</w:t>
            </w:r>
          </w:p>
        </w:tc>
        <w:tc>
          <w:tcPr>
            <w:tcW w:w="1134" w:type="dxa"/>
            <w:vAlign w:val="center"/>
          </w:tcPr>
          <w:p w14:paraId="2FD9A01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851" w:type="dxa"/>
            <w:vAlign w:val="center"/>
          </w:tcPr>
          <w:p w14:paraId="4ADEC92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709" w:type="dxa"/>
            <w:vAlign w:val="center"/>
          </w:tcPr>
          <w:p w14:paraId="5FD7A53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high</w:t>
            </w:r>
          </w:p>
        </w:tc>
        <w:tc>
          <w:tcPr>
            <w:tcW w:w="850" w:type="dxa"/>
            <w:vAlign w:val="center"/>
          </w:tcPr>
          <w:p w14:paraId="6EEB580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559DAF5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1D5D1E9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186B22E2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567" w:type="dxa"/>
            <w:vAlign w:val="center"/>
          </w:tcPr>
          <w:p w14:paraId="6125E90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669A2D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1D98B7C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06CFCE9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6D3593FA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3B7ADA34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7311C472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BAA352A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BC64787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5B900C4B" w14:textId="77777777" w:rsidTr="00A622D9">
        <w:trPr>
          <w:jc w:val="center"/>
        </w:trPr>
        <w:tc>
          <w:tcPr>
            <w:tcW w:w="1271" w:type="dxa"/>
            <w:vAlign w:val="center"/>
          </w:tcPr>
          <w:p w14:paraId="0769681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Harnden 2006</w:t>
            </w:r>
          </w:p>
        </w:tc>
        <w:tc>
          <w:tcPr>
            <w:tcW w:w="567" w:type="dxa"/>
            <w:vAlign w:val="center"/>
          </w:tcPr>
          <w:p w14:paraId="71CBEF5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37AA798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2206346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425" w:type="dxa"/>
            <w:vAlign w:val="center"/>
          </w:tcPr>
          <w:p w14:paraId="6314F18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567" w:type="dxa"/>
            <w:vAlign w:val="center"/>
          </w:tcPr>
          <w:p w14:paraId="358315B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1134" w:type="dxa"/>
            <w:vAlign w:val="center"/>
          </w:tcPr>
          <w:p w14:paraId="00E524D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851" w:type="dxa"/>
            <w:vAlign w:val="center"/>
          </w:tcPr>
          <w:p w14:paraId="71C2FC4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709" w:type="dxa"/>
            <w:vAlign w:val="center"/>
          </w:tcPr>
          <w:p w14:paraId="60554E7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high</w:t>
            </w:r>
          </w:p>
        </w:tc>
        <w:tc>
          <w:tcPr>
            <w:tcW w:w="850" w:type="dxa"/>
            <w:vAlign w:val="center"/>
          </w:tcPr>
          <w:p w14:paraId="43B1123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7B1484A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5D32994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567" w:type="dxa"/>
            <w:vAlign w:val="center"/>
          </w:tcPr>
          <w:p w14:paraId="792EBD5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567" w:type="dxa"/>
            <w:vAlign w:val="center"/>
          </w:tcPr>
          <w:p w14:paraId="112375B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709" w:type="dxa"/>
            <w:vAlign w:val="center"/>
          </w:tcPr>
          <w:p w14:paraId="1867107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709" w:type="dxa"/>
            <w:vAlign w:val="center"/>
          </w:tcPr>
          <w:p w14:paraId="44F0A20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5E84510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567" w:type="dxa"/>
            <w:vAlign w:val="center"/>
          </w:tcPr>
          <w:p w14:paraId="1525C174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A561BB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708" w:type="dxa"/>
            <w:vAlign w:val="center"/>
          </w:tcPr>
          <w:p w14:paraId="647B4A4B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A561BB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709" w:type="dxa"/>
            <w:vAlign w:val="center"/>
          </w:tcPr>
          <w:p w14:paraId="68DE0033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A561BB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709" w:type="dxa"/>
            <w:vAlign w:val="center"/>
          </w:tcPr>
          <w:p w14:paraId="27BAA661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A561BB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3E8DA8C3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</w:tr>
      <w:tr w:rsidR="00C74913" w:rsidRPr="00A561BB" w14:paraId="59057B57" w14:textId="77777777" w:rsidTr="00A622D9">
        <w:trPr>
          <w:jc w:val="center"/>
        </w:trPr>
        <w:tc>
          <w:tcPr>
            <w:tcW w:w="1271" w:type="dxa"/>
            <w:vAlign w:val="center"/>
          </w:tcPr>
          <w:p w14:paraId="40346FB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Krishnan 2019</w:t>
            </w:r>
          </w:p>
        </w:tc>
        <w:tc>
          <w:tcPr>
            <w:tcW w:w="567" w:type="dxa"/>
            <w:vAlign w:val="center"/>
          </w:tcPr>
          <w:p w14:paraId="36AE8A7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61038A1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5FD491E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425" w:type="dxa"/>
            <w:vAlign w:val="center"/>
          </w:tcPr>
          <w:p w14:paraId="78EE420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6768E59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high</w:t>
            </w:r>
          </w:p>
        </w:tc>
        <w:tc>
          <w:tcPr>
            <w:tcW w:w="1134" w:type="dxa"/>
            <w:vAlign w:val="center"/>
          </w:tcPr>
          <w:p w14:paraId="3E3C5E8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851" w:type="dxa"/>
            <w:vAlign w:val="center"/>
          </w:tcPr>
          <w:p w14:paraId="2D02E28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709" w:type="dxa"/>
            <w:vAlign w:val="center"/>
          </w:tcPr>
          <w:p w14:paraId="62B9BA3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850" w:type="dxa"/>
            <w:vAlign w:val="center"/>
          </w:tcPr>
          <w:p w14:paraId="0A2AF53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2D0E92F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567" w:type="dxa"/>
            <w:vAlign w:val="center"/>
          </w:tcPr>
          <w:p w14:paraId="23286F2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567" w:type="dxa"/>
            <w:vAlign w:val="center"/>
          </w:tcPr>
          <w:p w14:paraId="613D4D8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567" w:type="dxa"/>
            <w:vAlign w:val="center"/>
          </w:tcPr>
          <w:p w14:paraId="07D4723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709" w:type="dxa"/>
            <w:vAlign w:val="center"/>
          </w:tcPr>
          <w:p w14:paraId="7C2E5B9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709" w:type="dxa"/>
            <w:vAlign w:val="center"/>
          </w:tcPr>
          <w:p w14:paraId="197D28E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567" w:type="dxa"/>
            <w:vAlign w:val="center"/>
          </w:tcPr>
          <w:p w14:paraId="7197908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567" w:type="dxa"/>
            <w:vAlign w:val="center"/>
          </w:tcPr>
          <w:p w14:paraId="5E900D4A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575ABB1B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4EC8D1E0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9285AC4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6C2EC341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2E33ACB9" w14:textId="77777777" w:rsidTr="00A622D9">
        <w:trPr>
          <w:jc w:val="center"/>
        </w:trPr>
        <w:tc>
          <w:tcPr>
            <w:tcW w:w="1271" w:type="dxa"/>
            <w:vAlign w:val="center"/>
          </w:tcPr>
          <w:p w14:paraId="425993A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Leconte 2011</w:t>
            </w:r>
          </w:p>
        </w:tc>
        <w:tc>
          <w:tcPr>
            <w:tcW w:w="567" w:type="dxa"/>
            <w:vAlign w:val="center"/>
          </w:tcPr>
          <w:p w14:paraId="0181EF0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70BB50A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5D112B12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425" w:type="dxa"/>
            <w:vAlign w:val="center"/>
          </w:tcPr>
          <w:p w14:paraId="76AE3D3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156F1B22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1134" w:type="dxa"/>
            <w:vAlign w:val="center"/>
          </w:tcPr>
          <w:p w14:paraId="6270AB0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851" w:type="dxa"/>
            <w:vAlign w:val="center"/>
          </w:tcPr>
          <w:p w14:paraId="175D6CC2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709" w:type="dxa"/>
            <w:vAlign w:val="center"/>
          </w:tcPr>
          <w:p w14:paraId="7621F9B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850" w:type="dxa"/>
            <w:vAlign w:val="center"/>
          </w:tcPr>
          <w:p w14:paraId="10758D8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08C3B97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57AF6F0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0044885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567" w:type="dxa"/>
            <w:vAlign w:val="center"/>
          </w:tcPr>
          <w:p w14:paraId="602E342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6794E81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698634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2F25084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3ABBB787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4E7C9C2B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1D800D91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4953563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7B2DFC44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39AFBF5E" w14:textId="77777777" w:rsidTr="00A622D9">
        <w:trPr>
          <w:jc w:val="center"/>
        </w:trPr>
        <w:tc>
          <w:tcPr>
            <w:tcW w:w="1271" w:type="dxa"/>
            <w:vAlign w:val="center"/>
          </w:tcPr>
          <w:p w14:paraId="0F75FDF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kern w:val="0"/>
                <w:sz w:val="14"/>
                <w:szCs w:val="14"/>
              </w:rPr>
              <w:t>Mash 2012</w:t>
            </w:r>
          </w:p>
        </w:tc>
        <w:tc>
          <w:tcPr>
            <w:tcW w:w="567" w:type="dxa"/>
            <w:vAlign w:val="center"/>
          </w:tcPr>
          <w:p w14:paraId="3C9CAE8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kern w:val="0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61DFEA3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kern w:val="0"/>
                <w:sz w:val="14"/>
                <w:szCs w:val="14"/>
              </w:rPr>
              <w:t>?</w:t>
            </w:r>
          </w:p>
        </w:tc>
        <w:tc>
          <w:tcPr>
            <w:tcW w:w="567" w:type="dxa"/>
            <w:vAlign w:val="center"/>
          </w:tcPr>
          <w:p w14:paraId="6629789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kern w:val="0"/>
                <w:sz w:val="14"/>
                <w:szCs w:val="14"/>
              </w:rPr>
              <w:t>+</w:t>
            </w:r>
          </w:p>
        </w:tc>
        <w:tc>
          <w:tcPr>
            <w:tcW w:w="425" w:type="dxa"/>
            <w:vAlign w:val="center"/>
          </w:tcPr>
          <w:p w14:paraId="60049B5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kern w:val="0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2BC91C72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1134" w:type="dxa"/>
            <w:vAlign w:val="center"/>
          </w:tcPr>
          <w:p w14:paraId="5D551D3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851" w:type="dxa"/>
            <w:vAlign w:val="center"/>
          </w:tcPr>
          <w:p w14:paraId="254E1AE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709" w:type="dxa"/>
            <w:vAlign w:val="center"/>
          </w:tcPr>
          <w:p w14:paraId="406BB11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high</w:t>
            </w:r>
          </w:p>
        </w:tc>
        <w:tc>
          <w:tcPr>
            <w:tcW w:w="850" w:type="dxa"/>
            <w:vAlign w:val="center"/>
          </w:tcPr>
          <w:p w14:paraId="7E74B12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5DBC955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26BAB7D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642AE57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567" w:type="dxa"/>
            <w:vAlign w:val="center"/>
          </w:tcPr>
          <w:p w14:paraId="5CB272A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44E4674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959D72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569F789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3EE10926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5A28D2AA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6B26B81E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47725A79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0905AC4D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629C2E8D" w14:textId="77777777" w:rsidTr="00A622D9">
        <w:trPr>
          <w:jc w:val="center"/>
        </w:trPr>
        <w:tc>
          <w:tcPr>
            <w:tcW w:w="1271" w:type="dxa"/>
            <w:vAlign w:val="center"/>
            <w:hideMark/>
          </w:tcPr>
          <w:p w14:paraId="264D583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Molony 2016</w:t>
            </w:r>
          </w:p>
        </w:tc>
        <w:tc>
          <w:tcPr>
            <w:tcW w:w="567" w:type="dxa"/>
            <w:vAlign w:val="center"/>
            <w:hideMark/>
          </w:tcPr>
          <w:p w14:paraId="003EBC8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01D372D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  <w:hideMark/>
          </w:tcPr>
          <w:p w14:paraId="27EA70B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425" w:type="dxa"/>
            <w:vAlign w:val="center"/>
            <w:hideMark/>
          </w:tcPr>
          <w:p w14:paraId="67F3CC7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0EF754E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high</w:t>
            </w:r>
          </w:p>
        </w:tc>
        <w:tc>
          <w:tcPr>
            <w:tcW w:w="1134" w:type="dxa"/>
            <w:vAlign w:val="center"/>
            <w:hideMark/>
          </w:tcPr>
          <w:p w14:paraId="417FBF2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851" w:type="dxa"/>
            <w:vAlign w:val="center"/>
            <w:hideMark/>
          </w:tcPr>
          <w:p w14:paraId="5CD6558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709" w:type="dxa"/>
            <w:vAlign w:val="center"/>
          </w:tcPr>
          <w:p w14:paraId="259CD62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high</w:t>
            </w:r>
          </w:p>
        </w:tc>
        <w:tc>
          <w:tcPr>
            <w:tcW w:w="850" w:type="dxa"/>
            <w:vAlign w:val="center"/>
            <w:hideMark/>
          </w:tcPr>
          <w:p w14:paraId="0CD00DB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  <w:hideMark/>
          </w:tcPr>
          <w:p w14:paraId="24AA781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  <w:hideMark/>
          </w:tcPr>
          <w:p w14:paraId="3ACD47E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704BF19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567" w:type="dxa"/>
            <w:vAlign w:val="center"/>
          </w:tcPr>
          <w:p w14:paraId="2C80CA3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63DA39A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45E3ADA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4A8A2A5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31877F23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36251D49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48E13C81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3DB098B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0509C376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5574CCC4" w14:textId="77777777" w:rsidTr="00A622D9">
        <w:trPr>
          <w:jc w:val="center"/>
        </w:trPr>
        <w:tc>
          <w:tcPr>
            <w:tcW w:w="1271" w:type="dxa"/>
            <w:vAlign w:val="center"/>
          </w:tcPr>
          <w:p w14:paraId="1CB2C94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Morrell 1971/1972</w:t>
            </w:r>
          </w:p>
        </w:tc>
        <w:tc>
          <w:tcPr>
            <w:tcW w:w="567" w:type="dxa"/>
            <w:vAlign w:val="center"/>
          </w:tcPr>
          <w:p w14:paraId="11DFFAB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58A1FD1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5978626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425" w:type="dxa"/>
            <w:vAlign w:val="center"/>
          </w:tcPr>
          <w:p w14:paraId="7A6408F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6AB80B9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high</w:t>
            </w:r>
          </w:p>
        </w:tc>
        <w:tc>
          <w:tcPr>
            <w:tcW w:w="1134" w:type="dxa"/>
            <w:vAlign w:val="center"/>
          </w:tcPr>
          <w:p w14:paraId="31A1C4C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851" w:type="dxa"/>
            <w:vAlign w:val="center"/>
          </w:tcPr>
          <w:p w14:paraId="2606B1C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709" w:type="dxa"/>
            <w:vAlign w:val="center"/>
          </w:tcPr>
          <w:p w14:paraId="69DDFA1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high</w:t>
            </w:r>
          </w:p>
        </w:tc>
        <w:tc>
          <w:tcPr>
            <w:tcW w:w="850" w:type="dxa"/>
            <w:vAlign w:val="center"/>
          </w:tcPr>
          <w:p w14:paraId="03CF974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4DEA3EC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+</w:t>
            </w:r>
          </w:p>
        </w:tc>
        <w:tc>
          <w:tcPr>
            <w:tcW w:w="567" w:type="dxa"/>
            <w:vAlign w:val="center"/>
          </w:tcPr>
          <w:p w14:paraId="2E76370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567" w:type="dxa"/>
            <w:vAlign w:val="center"/>
          </w:tcPr>
          <w:p w14:paraId="082AA56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567" w:type="dxa"/>
            <w:vAlign w:val="center"/>
          </w:tcPr>
          <w:p w14:paraId="6717EBF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1BC3EEC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46ACC4F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6D0C8AF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53D47FC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6AFF3F06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D21B706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7177461B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07C96D5A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102FDA2A" w14:textId="77777777" w:rsidTr="00A622D9">
        <w:trPr>
          <w:jc w:val="center"/>
        </w:trPr>
        <w:tc>
          <w:tcPr>
            <w:tcW w:w="1271" w:type="dxa"/>
            <w:vAlign w:val="center"/>
          </w:tcPr>
          <w:p w14:paraId="7CE06872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Movsowitz 1987</w:t>
            </w:r>
          </w:p>
        </w:tc>
        <w:tc>
          <w:tcPr>
            <w:tcW w:w="567" w:type="dxa"/>
            <w:vAlign w:val="center"/>
          </w:tcPr>
          <w:p w14:paraId="4813D72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3C32934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7B48813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425" w:type="dxa"/>
            <w:vAlign w:val="center"/>
          </w:tcPr>
          <w:p w14:paraId="2791782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12BAC53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high</w:t>
            </w:r>
          </w:p>
        </w:tc>
        <w:tc>
          <w:tcPr>
            <w:tcW w:w="1134" w:type="dxa"/>
            <w:vAlign w:val="center"/>
          </w:tcPr>
          <w:p w14:paraId="222D659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851" w:type="dxa"/>
            <w:vAlign w:val="center"/>
          </w:tcPr>
          <w:p w14:paraId="429E2C3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709" w:type="dxa"/>
            <w:vAlign w:val="center"/>
          </w:tcPr>
          <w:p w14:paraId="4912165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850" w:type="dxa"/>
            <w:vAlign w:val="center"/>
          </w:tcPr>
          <w:p w14:paraId="55EFC67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6A9DD2A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567" w:type="dxa"/>
            <w:vAlign w:val="center"/>
          </w:tcPr>
          <w:p w14:paraId="43A6D0B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71A2E9D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567" w:type="dxa"/>
            <w:vAlign w:val="center"/>
          </w:tcPr>
          <w:p w14:paraId="11F15DE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?/-*</w:t>
            </w:r>
          </w:p>
        </w:tc>
        <w:tc>
          <w:tcPr>
            <w:tcW w:w="709" w:type="dxa"/>
            <w:vAlign w:val="center"/>
          </w:tcPr>
          <w:p w14:paraId="73AD4D4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709" w:type="dxa"/>
            <w:vAlign w:val="center"/>
          </w:tcPr>
          <w:p w14:paraId="5A7B54A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486B177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high</w:t>
            </w:r>
          </w:p>
        </w:tc>
        <w:tc>
          <w:tcPr>
            <w:tcW w:w="567" w:type="dxa"/>
            <w:vAlign w:val="center"/>
          </w:tcPr>
          <w:p w14:paraId="4F70A5D8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2F973958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77FB1B2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8D0D380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5E4ECD89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286EB6E1" w14:textId="77777777" w:rsidTr="00A622D9">
        <w:trPr>
          <w:jc w:val="center"/>
        </w:trPr>
        <w:tc>
          <w:tcPr>
            <w:tcW w:w="1271" w:type="dxa"/>
            <w:vAlign w:val="center"/>
          </w:tcPr>
          <w:p w14:paraId="16D1251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NAMCS Schappert 1999</w:t>
            </w:r>
          </w:p>
        </w:tc>
        <w:tc>
          <w:tcPr>
            <w:tcW w:w="567" w:type="dxa"/>
            <w:vAlign w:val="center"/>
          </w:tcPr>
          <w:p w14:paraId="7089E20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74B07F6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567" w:type="dxa"/>
            <w:vAlign w:val="center"/>
          </w:tcPr>
          <w:p w14:paraId="32157FF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425" w:type="dxa"/>
            <w:vAlign w:val="center"/>
          </w:tcPr>
          <w:p w14:paraId="7DDC15C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7F3D543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1134" w:type="dxa"/>
            <w:vAlign w:val="center"/>
          </w:tcPr>
          <w:p w14:paraId="6ED43D1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851" w:type="dxa"/>
            <w:vAlign w:val="center"/>
          </w:tcPr>
          <w:p w14:paraId="5F393C8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709" w:type="dxa"/>
            <w:vAlign w:val="center"/>
          </w:tcPr>
          <w:p w14:paraId="31D2F8E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850" w:type="dxa"/>
            <w:vAlign w:val="center"/>
          </w:tcPr>
          <w:p w14:paraId="05A3A02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71445AD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665D3C3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21DD36C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567" w:type="dxa"/>
            <w:vAlign w:val="center"/>
          </w:tcPr>
          <w:p w14:paraId="3E8BF7E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1AB1C01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3024140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7320C47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4B1E7328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6A34A2AA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0514B7F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49CA04A7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66215960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78AAACBA" w14:textId="77777777" w:rsidTr="00A622D9">
        <w:trPr>
          <w:jc w:val="center"/>
        </w:trPr>
        <w:tc>
          <w:tcPr>
            <w:tcW w:w="1271" w:type="dxa"/>
            <w:vAlign w:val="center"/>
          </w:tcPr>
          <w:p w14:paraId="3A6AAB02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Nizami 1997</w:t>
            </w:r>
          </w:p>
        </w:tc>
        <w:tc>
          <w:tcPr>
            <w:tcW w:w="567" w:type="dxa"/>
            <w:vAlign w:val="center"/>
          </w:tcPr>
          <w:p w14:paraId="292F3A5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13DD70C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313B2D2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425" w:type="dxa"/>
            <w:vAlign w:val="center"/>
          </w:tcPr>
          <w:p w14:paraId="463EE10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754B3FB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high</w:t>
            </w:r>
          </w:p>
        </w:tc>
        <w:tc>
          <w:tcPr>
            <w:tcW w:w="1134" w:type="dxa"/>
            <w:vAlign w:val="center"/>
          </w:tcPr>
          <w:p w14:paraId="62D8A44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851" w:type="dxa"/>
            <w:vAlign w:val="center"/>
          </w:tcPr>
          <w:p w14:paraId="2C230C3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709" w:type="dxa"/>
            <w:vAlign w:val="center"/>
          </w:tcPr>
          <w:p w14:paraId="57994ED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high</w:t>
            </w:r>
          </w:p>
        </w:tc>
        <w:tc>
          <w:tcPr>
            <w:tcW w:w="850" w:type="dxa"/>
            <w:vAlign w:val="center"/>
          </w:tcPr>
          <w:p w14:paraId="2F7236F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4BB2952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1D114F6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3C1F6EB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567" w:type="dxa"/>
            <w:vAlign w:val="center"/>
          </w:tcPr>
          <w:p w14:paraId="1CE755F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71D8FB3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2C2AE9D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055A9EA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008423B7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685AD0CF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7F099147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2D1754AB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7317F1F8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492C5730" w14:textId="77777777" w:rsidTr="00A622D9">
        <w:trPr>
          <w:jc w:val="center"/>
        </w:trPr>
        <w:tc>
          <w:tcPr>
            <w:tcW w:w="1271" w:type="dxa"/>
            <w:vAlign w:val="center"/>
          </w:tcPr>
          <w:p w14:paraId="46B162A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Njalsson 1992</w:t>
            </w:r>
          </w:p>
        </w:tc>
        <w:tc>
          <w:tcPr>
            <w:tcW w:w="567" w:type="dxa"/>
            <w:vAlign w:val="center"/>
          </w:tcPr>
          <w:p w14:paraId="1E2300C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3FE1B72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513BF30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425" w:type="dxa"/>
            <w:vAlign w:val="center"/>
          </w:tcPr>
          <w:p w14:paraId="03E69B8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40E83612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1134" w:type="dxa"/>
            <w:vAlign w:val="center"/>
          </w:tcPr>
          <w:p w14:paraId="276F2FB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851" w:type="dxa"/>
            <w:vAlign w:val="center"/>
          </w:tcPr>
          <w:p w14:paraId="6F85B3B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709" w:type="dxa"/>
            <w:vAlign w:val="center"/>
          </w:tcPr>
          <w:p w14:paraId="774CCE4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850" w:type="dxa"/>
            <w:vAlign w:val="center"/>
          </w:tcPr>
          <w:p w14:paraId="589215E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775EAA2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05B2DB0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3989B0B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567" w:type="dxa"/>
            <w:vAlign w:val="center"/>
          </w:tcPr>
          <w:p w14:paraId="724D9BD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2660AA3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656F372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76A4BDD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29130086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5907E96C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1F92BEC9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BADE3BC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39067E69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09136A72" w14:textId="77777777" w:rsidTr="00A622D9">
        <w:trPr>
          <w:jc w:val="center"/>
        </w:trPr>
        <w:tc>
          <w:tcPr>
            <w:tcW w:w="1271" w:type="dxa"/>
            <w:vAlign w:val="center"/>
          </w:tcPr>
          <w:p w14:paraId="4519AC7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SESAM 2 Study Frese 2011</w:t>
            </w:r>
          </w:p>
        </w:tc>
        <w:tc>
          <w:tcPr>
            <w:tcW w:w="567" w:type="dxa"/>
            <w:vAlign w:val="center"/>
          </w:tcPr>
          <w:p w14:paraId="04FB58B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3987DA8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2BD7F3D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425" w:type="dxa"/>
            <w:vAlign w:val="center"/>
          </w:tcPr>
          <w:p w14:paraId="16B1734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30A0B9F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1134" w:type="dxa"/>
            <w:vAlign w:val="center"/>
          </w:tcPr>
          <w:p w14:paraId="210B420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851" w:type="dxa"/>
            <w:vAlign w:val="center"/>
          </w:tcPr>
          <w:p w14:paraId="47EFCAD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709" w:type="dxa"/>
            <w:vAlign w:val="center"/>
          </w:tcPr>
          <w:p w14:paraId="5545C04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850" w:type="dxa"/>
            <w:vAlign w:val="center"/>
          </w:tcPr>
          <w:p w14:paraId="6FEEF8C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3DCBBE7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4C56CDF2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39279A4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567" w:type="dxa"/>
            <w:vAlign w:val="center"/>
          </w:tcPr>
          <w:p w14:paraId="3F5655B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6E22D84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49CFAEE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3F7593A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CAF6A28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1088423F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66229D3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EEB73AC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79C15629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541C6E0D" w14:textId="77777777" w:rsidTr="00A622D9">
        <w:trPr>
          <w:jc w:val="center"/>
        </w:trPr>
        <w:tc>
          <w:tcPr>
            <w:tcW w:w="1271" w:type="dxa"/>
            <w:vAlign w:val="center"/>
          </w:tcPr>
          <w:p w14:paraId="48E73B2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TRANSITION Okkes 2002</w:t>
            </w:r>
          </w:p>
        </w:tc>
        <w:tc>
          <w:tcPr>
            <w:tcW w:w="567" w:type="dxa"/>
            <w:vAlign w:val="center"/>
          </w:tcPr>
          <w:p w14:paraId="69D539A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3411D0D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567" w:type="dxa"/>
            <w:vAlign w:val="center"/>
          </w:tcPr>
          <w:p w14:paraId="2A86077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425" w:type="dxa"/>
            <w:vAlign w:val="center"/>
          </w:tcPr>
          <w:p w14:paraId="72D9835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1D90D7B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1134" w:type="dxa"/>
            <w:vAlign w:val="center"/>
          </w:tcPr>
          <w:p w14:paraId="58B0F81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851" w:type="dxa"/>
            <w:vAlign w:val="center"/>
          </w:tcPr>
          <w:p w14:paraId="1829D44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709" w:type="dxa"/>
            <w:vAlign w:val="center"/>
          </w:tcPr>
          <w:p w14:paraId="17C0BC46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850" w:type="dxa"/>
            <w:vAlign w:val="center"/>
          </w:tcPr>
          <w:p w14:paraId="58038A2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1AD86B1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7B901DA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567" w:type="dxa"/>
            <w:vAlign w:val="center"/>
          </w:tcPr>
          <w:p w14:paraId="62CF600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567" w:type="dxa"/>
            <w:vAlign w:val="center"/>
          </w:tcPr>
          <w:p w14:paraId="48A3887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709" w:type="dxa"/>
            <w:vAlign w:val="center"/>
          </w:tcPr>
          <w:p w14:paraId="44B81A19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709" w:type="dxa"/>
            <w:vAlign w:val="center"/>
          </w:tcPr>
          <w:p w14:paraId="65CE002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2AE7E40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high</w:t>
            </w:r>
          </w:p>
        </w:tc>
        <w:tc>
          <w:tcPr>
            <w:tcW w:w="567" w:type="dxa"/>
            <w:vAlign w:val="center"/>
          </w:tcPr>
          <w:p w14:paraId="1D23CBEB" w14:textId="77777777" w:rsidR="00C74913" w:rsidRPr="00794D9E" w:rsidRDefault="00C74913" w:rsidP="00A622D9">
            <w:pPr>
              <w:rPr>
                <w:rFonts w:ascii="Arial" w:hAnsi="Arial" w:cs="Arial"/>
                <w:sz w:val="14"/>
                <w:szCs w:val="14"/>
                <w:highlight w:val="magenta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0152B504" w14:textId="77777777" w:rsidR="00C74913" w:rsidRPr="00794D9E" w:rsidRDefault="00C74913" w:rsidP="00A622D9">
            <w:pPr>
              <w:rPr>
                <w:rFonts w:ascii="Arial" w:hAnsi="Arial" w:cs="Arial"/>
                <w:sz w:val="14"/>
                <w:szCs w:val="14"/>
                <w:highlight w:val="magenta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CF7083C" w14:textId="77777777" w:rsidR="00C74913" w:rsidRPr="00794D9E" w:rsidRDefault="00C74913" w:rsidP="00A622D9">
            <w:pPr>
              <w:rPr>
                <w:rFonts w:ascii="Arial" w:hAnsi="Arial" w:cs="Arial"/>
                <w:sz w:val="14"/>
                <w:szCs w:val="14"/>
                <w:highlight w:val="magenta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C03BEF7" w14:textId="77777777" w:rsidR="00C74913" w:rsidRPr="00794D9E" w:rsidRDefault="00C74913" w:rsidP="00A622D9">
            <w:pPr>
              <w:rPr>
                <w:rFonts w:ascii="Arial" w:hAnsi="Arial" w:cs="Arial"/>
                <w:sz w:val="14"/>
                <w:szCs w:val="14"/>
                <w:highlight w:val="magenta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06C1CE85" w14:textId="77777777" w:rsidR="00C74913" w:rsidRPr="00794D9E" w:rsidRDefault="00C74913" w:rsidP="00A622D9">
            <w:pPr>
              <w:rPr>
                <w:rFonts w:ascii="Arial" w:hAnsi="Arial" w:cs="Arial"/>
                <w:sz w:val="14"/>
                <w:szCs w:val="14"/>
                <w:highlight w:val="magenta"/>
                <w:lang w:val="en-GB"/>
              </w:rPr>
            </w:pPr>
          </w:p>
        </w:tc>
      </w:tr>
      <w:tr w:rsidR="00C74913" w:rsidRPr="00A561BB" w14:paraId="096F9C83" w14:textId="77777777" w:rsidTr="00A622D9">
        <w:trPr>
          <w:jc w:val="center"/>
        </w:trPr>
        <w:tc>
          <w:tcPr>
            <w:tcW w:w="1271" w:type="dxa"/>
            <w:vAlign w:val="center"/>
          </w:tcPr>
          <w:p w14:paraId="61B6C93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Simoes 1997</w:t>
            </w:r>
          </w:p>
        </w:tc>
        <w:tc>
          <w:tcPr>
            <w:tcW w:w="567" w:type="dxa"/>
            <w:vAlign w:val="center"/>
          </w:tcPr>
          <w:p w14:paraId="3C52B47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4BE2703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48F76A7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425" w:type="dxa"/>
            <w:vAlign w:val="center"/>
          </w:tcPr>
          <w:p w14:paraId="56BBF61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03DD16F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1134" w:type="dxa"/>
            <w:vAlign w:val="center"/>
          </w:tcPr>
          <w:p w14:paraId="53C7D60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851" w:type="dxa"/>
            <w:vAlign w:val="center"/>
          </w:tcPr>
          <w:p w14:paraId="346BB16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709" w:type="dxa"/>
            <w:vAlign w:val="center"/>
          </w:tcPr>
          <w:p w14:paraId="228084F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high</w:t>
            </w:r>
          </w:p>
        </w:tc>
        <w:tc>
          <w:tcPr>
            <w:tcW w:w="850" w:type="dxa"/>
            <w:vAlign w:val="center"/>
          </w:tcPr>
          <w:p w14:paraId="377AEB4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01A1B97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34542767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1B785DDB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567" w:type="dxa"/>
            <w:vAlign w:val="center"/>
          </w:tcPr>
          <w:p w14:paraId="73B56BD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11F61D8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29D7E28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5A19C24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2940412B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2110DAC0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1EA4C035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316E7D88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76D2A0CC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113DDE0B" w14:textId="77777777" w:rsidTr="00A622D9">
        <w:trPr>
          <w:jc w:val="center"/>
        </w:trPr>
        <w:tc>
          <w:tcPr>
            <w:tcW w:w="1271" w:type="dxa"/>
            <w:vAlign w:val="center"/>
          </w:tcPr>
          <w:p w14:paraId="19D3FE5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Usherwood 1991</w:t>
            </w:r>
          </w:p>
        </w:tc>
        <w:tc>
          <w:tcPr>
            <w:tcW w:w="567" w:type="dxa"/>
            <w:vAlign w:val="center"/>
          </w:tcPr>
          <w:p w14:paraId="74D23F8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40DB0C28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567" w:type="dxa"/>
            <w:vAlign w:val="center"/>
          </w:tcPr>
          <w:p w14:paraId="2E6E41B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425" w:type="dxa"/>
            <w:vAlign w:val="center"/>
          </w:tcPr>
          <w:p w14:paraId="56DB9B2A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41DC6F00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high</w:t>
            </w:r>
          </w:p>
        </w:tc>
        <w:tc>
          <w:tcPr>
            <w:tcW w:w="1134" w:type="dxa"/>
            <w:vAlign w:val="center"/>
          </w:tcPr>
          <w:p w14:paraId="409B3D8C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851" w:type="dxa"/>
            <w:vAlign w:val="center"/>
          </w:tcPr>
          <w:p w14:paraId="1E9508F1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709" w:type="dxa"/>
            <w:vAlign w:val="center"/>
          </w:tcPr>
          <w:p w14:paraId="5684BA4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high</w:t>
            </w:r>
          </w:p>
        </w:tc>
        <w:tc>
          <w:tcPr>
            <w:tcW w:w="850" w:type="dxa"/>
            <w:vAlign w:val="center"/>
          </w:tcPr>
          <w:p w14:paraId="3CEBF10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428A0683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4428A42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B16B44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662F7BAF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B16B44"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567" w:type="dxa"/>
            <w:vAlign w:val="center"/>
          </w:tcPr>
          <w:p w14:paraId="46A8D5E5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6228C8E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0676FFAD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E3B4C64" w14:textId="77777777" w:rsidR="00C74913" w:rsidRPr="00B16B44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63EE692D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4C45BCD0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2A694CC2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24B2761C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6D69DC85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A561BB" w14:paraId="0B383FD6" w14:textId="77777777" w:rsidTr="00A622D9">
        <w:trPr>
          <w:jc w:val="center"/>
        </w:trPr>
        <w:tc>
          <w:tcPr>
            <w:tcW w:w="1271" w:type="dxa"/>
            <w:vAlign w:val="center"/>
          </w:tcPr>
          <w:p w14:paraId="0D7C0C10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A561BB">
              <w:rPr>
                <w:rFonts w:ascii="Arial" w:hAnsi="Arial" w:cs="Arial"/>
                <w:sz w:val="14"/>
                <w:szCs w:val="14"/>
              </w:rPr>
              <w:t>Vinson 1993</w:t>
            </w:r>
          </w:p>
        </w:tc>
        <w:tc>
          <w:tcPr>
            <w:tcW w:w="567" w:type="dxa"/>
            <w:vAlign w:val="center"/>
          </w:tcPr>
          <w:p w14:paraId="6AE780E6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A561BB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4E48F582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A561BB"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567" w:type="dxa"/>
            <w:vAlign w:val="center"/>
          </w:tcPr>
          <w:p w14:paraId="5FFF631A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A561BB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425" w:type="dxa"/>
            <w:vAlign w:val="center"/>
          </w:tcPr>
          <w:p w14:paraId="6389C558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A561BB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3764A633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1134" w:type="dxa"/>
            <w:vAlign w:val="center"/>
          </w:tcPr>
          <w:p w14:paraId="2B48B537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A561BB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851" w:type="dxa"/>
            <w:vAlign w:val="center"/>
          </w:tcPr>
          <w:p w14:paraId="1F5CCBC9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A561BB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709" w:type="dxa"/>
            <w:vAlign w:val="center"/>
          </w:tcPr>
          <w:p w14:paraId="46029877" w14:textId="77777777" w:rsidR="00C74913" w:rsidRPr="00A228C6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low</w:t>
            </w:r>
          </w:p>
        </w:tc>
        <w:tc>
          <w:tcPr>
            <w:tcW w:w="850" w:type="dxa"/>
            <w:vAlign w:val="center"/>
          </w:tcPr>
          <w:p w14:paraId="6C9FDAC7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A561BB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4B99046C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A561BB">
              <w:rPr>
                <w:rFonts w:ascii="Arial" w:hAnsi="Arial" w:cs="Arial"/>
                <w:sz w:val="14"/>
                <w:szCs w:val="14"/>
              </w:rPr>
              <w:t>+</w:t>
            </w:r>
          </w:p>
        </w:tc>
        <w:tc>
          <w:tcPr>
            <w:tcW w:w="567" w:type="dxa"/>
            <w:vAlign w:val="center"/>
          </w:tcPr>
          <w:p w14:paraId="484B6E16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</w:rPr>
            </w:pPr>
            <w:r w:rsidRPr="00A561BB">
              <w:rPr>
                <w:rFonts w:ascii="Arial" w:hAnsi="Arial" w:cs="Arial"/>
                <w:sz w:val="14"/>
                <w:szCs w:val="14"/>
              </w:rPr>
              <w:t>?</w:t>
            </w:r>
          </w:p>
        </w:tc>
        <w:tc>
          <w:tcPr>
            <w:tcW w:w="567" w:type="dxa"/>
            <w:vAlign w:val="center"/>
          </w:tcPr>
          <w:p w14:paraId="10CB2D71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>
              <w:rPr>
                <w:rFonts w:ascii="Arial" w:hAnsi="Arial" w:cs="Arial"/>
                <w:sz w:val="14"/>
                <w:szCs w:val="14"/>
                <w:lang w:val="en-GB"/>
              </w:rPr>
              <w:t>low</w:t>
            </w:r>
          </w:p>
        </w:tc>
        <w:tc>
          <w:tcPr>
            <w:tcW w:w="567" w:type="dxa"/>
            <w:vAlign w:val="center"/>
          </w:tcPr>
          <w:p w14:paraId="5D9B0DA8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A561BB">
              <w:rPr>
                <w:rFonts w:ascii="Arial" w:hAnsi="Arial" w:cs="Arial"/>
                <w:sz w:val="14"/>
                <w:szCs w:val="14"/>
                <w:lang w:val="en-GB"/>
              </w:rPr>
              <w:t>?/-</w:t>
            </w:r>
            <w:r>
              <w:rPr>
                <w:rFonts w:ascii="Arial" w:hAnsi="Arial" w:cs="Arial"/>
                <w:sz w:val="14"/>
                <w:szCs w:val="14"/>
                <w:lang w:val="en-GB"/>
              </w:rPr>
              <w:t>*</w:t>
            </w:r>
          </w:p>
        </w:tc>
        <w:tc>
          <w:tcPr>
            <w:tcW w:w="709" w:type="dxa"/>
            <w:vAlign w:val="center"/>
          </w:tcPr>
          <w:p w14:paraId="2067DC6C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A561BB">
              <w:rPr>
                <w:rFonts w:ascii="Arial" w:hAnsi="Arial" w:cs="Arial"/>
                <w:sz w:val="14"/>
                <w:szCs w:val="14"/>
                <w:lang w:val="en-GB"/>
              </w:rPr>
              <w:t>?</w:t>
            </w:r>
          </w:p>
        </w:tc>
        <w:tc>
          <w:tcPr>
            <w:tcW w:w="709" w:type="dxa"/>
            <w:vAlign w:val="center"/>
          </w:tcPr>
          <w:p w14:paraId="4B7FCE69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A561BB">
              <w:rPr>
                <w:rFonts w:ascii="Arial" w:hAnsi="Arial" w:cs="Arial"/>
                <w:sz w:val="14"/>
                <w:szCs w:val="14"/>
                <w:lang w:val="en-GB"/>
              </w:rPr>
              <w:t>-</w:t>
            </w:r>
          </w:p>
        </w:tc>
        <w:tc>
          <w:tcPr>
            <w:tcW w:w="567" w:type="dxa"/>
            <w:vAlign w:val="center"/>
          </w:tcPr>
          <w:p w14:paraId="011E6E4F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  <w:r>
              <w:rPr>
                <w:rFonts w:ascii="Arial" w:hAnsi="Arial" w:cs="Arial"/>
                <w:sz w:val="14"/>
                <w:szCs w:val="14"/>
                <w:lang w:val="en-GB"/>
              </w:rPr>
              <w:t>high</w:t>
            </w:r>
          </w:p>
        </w:tc>
        <w:tc>
          <w:tcPr>
            <w:tcW w:w="567" w:type="dxa"/>
            <w:vAlign w:val="center"/>
          </w:tcPr>
          <w:p w14:paraId="077A9037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8" w:type="dxa"/>
            <w:vAlign w:val="center"/>
          </w:tcPr>
          <w:p w14:paraId="03FB3459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713F94F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34502C05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02B59596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  <w:tr w:rsidR="00C74913" w:rsidRPr="00C74913" w14:paraId="76D02EAB" w14:textId="77777777" w:rsidTr="00A622D9">
        <w:trPr>
          <w:jc w:val="center"/>
        </w:trPr>
        <w:tc>
          <w:tcPr>
            <w:tcW w:w="15021" w:type="dxa"/>
            <w:gridSpan w:val="22"/>
          </w:tcPr>
          <w:p w14:paraId="07F5ABE5" w14:textId="77777777" w:rsidR="00C74913" w:rsidRPr="00A561BB" w:rsidRDefault="00C74913" w:rsidP="00A622D9">
            <w:pPr>
              <w:rPr>
                <w:rFonts w:ascii="Arial" w:hAnsi="Arial" w:cs="Arial"/>
                <w:sz w:val="14"/>
                <w:szCs w:val="14"/>
                <w:vertAlign w:val="superscript"/>
                <w:lang w:val="en-GB"/>
              </w:rPr>
            </w:pPr>
            <w:r w:rsidRPr="0080291C">
              <w:rPr>
                <w:rFonts w:ascii="Arial" w:hAnsi="Arial" w:cs="Arial"/>
                <w:sz w:val="14"/>
                <w:szCs w:val="14"/>
                <w:lang w:val="en-GB"/>
              </w:rPr>
              <w:t>*=varying assessments for different aetiologic categories</w:t>
            </w:r>
          </w:p>
        </w:tc>
      </w:tr>
      <w:tr w:rsidR="009B4488" w:rsidRPr="00C74913" w14:paraId="007272EA" w14:textId="77777777" w:rsidTr="00A622D9">
        <w:trPr>
          <w:jc w:val="center"/>
        </w:trPr>
        <w:tc>
          <w:tcPr>
            <w:tcW w:w="15021" w:type="dxa"/>
            <w:gridSpan w:val="22"/>
          </w:tcPr>
          <w:p w14:paraId="4B07AC86" w14:textId="77777777" w:rsidR="009B4488" w:rsidRPr="0080291C" w:rsidRDefault="009B4488" w:rsidP="00A622D9">
            <w:pPr>
              <w:rPr>
                <w:rFonts w:ascii="Arial" w:hAnsi="Arial" w:cs="Arial"/>
                <w:sz w:val="14"/>
                <w:szCs w:val="14"/>
                <w:lang w:val="en-GB"/>
              </w:rPr>
            </w:pPr>
          </w:p>
        </w:tc>
      </w:tr>
    </w:tbl>
    <w:p w14:paraId="49C46C14" w14:textId="0F731508" w:rsidR="00C74913" w:rsidRPr="00C74913" w:rsidRDefault="00C74913" w:rsidP="009B4488">
      <w:pPr>
        <w:pStyle w:val="Textbody"/>
        <w:spacing w:line="360" w:lineRule="auto"/>
        <w:rPr>
          <w:rFonts w:ascii="Helvetica" w:hAnsi="Helvetica" w:cs="Helvetica"/>
          <w:sz w:val="18"/>
          <w:szCs w:val="18"/>
          <w:lang w:val="en-GB"/>
        </w:rPr>
      </w:pPr>
    </w:p>
    <w:sectPr w:rsidR="00C74913" w:rsidRPr="00C74913" w:rsidSect="00912EC8">
      <w:pgSz w:w="16838" w:h="11906" w:orient="landscape"/>
      <w:pgMar w:top="1134" w:right="1134" w:bottom="1134" w:left="992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D4069" w14:textId="77777777" w:rsidR="0054498A" w:rsidRDefault="0054498A">
      <w:r>
        <w:separator/>
      </w:r>
    </w:p>
  </w:endnote>
  <w:endnote w:type="continuationSeparator" w:id="0">
    <w:p w14:paraId="6E00B4DE" w14:textId="77777777" w:rsidR="0054498A" w:rsidRDefault="00544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B88398" w14:textId="77777777" w:rsidR="0054498A" w:rsidRDefault="0054498A">
      <w:r>
        <w:rPr>
          <w:color w:val="000000"/>
        </w:rPr>
        <w:separator/>
      </w:r>
    </w:p>
  </w:footnote>
  <w:footnote w:type="continuationSeparator" w:id="0">
    <w:p w14:paraId="3FA5D7E1" w14:textId="77777777" w:rsidR="0054498A" w:rsidRDefault="005449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167"/>
    <w:rsid w:val="00025249"/>
    <w:rsid w:val="00026DCD"/>
    <w:rsid w:val="000965AB"/>
    <w:rsid w:val="000A1D7E"/>
    <w:rsid w:val="000A2995"/>
    <w:rsid w:val="000A51F7"/>
    <w:rsid w:val="000E72F0"/>
    <w:rsid w:val="000F5DBA"/>
    <w:rsid w:val="001258BA"/>
    <w:rsid w:val="00140F7D"/>
    <w:rsid w:val="00181564"/>
    <w:rsid w:val="00184CC5"/>
    <w:rsid w:val="001A1C6B"/>
    <w:rsid w:val="001D2D38"/>
    <w:rsid w:val="001E78A2"/>
    <w:rsid w:val="001F78DB"/>
    <w:rsid w:val="00245843"/>
    <w:rsid w:val="002B39D5"/>
    <w:rsid w:val="002B4167"/>
    <w:rsid w:val="002E0E98"/>
    <w:rsid w:val="00351E33"/>
    <w:rsid w:val="0037217F"/>
    <w:rsid w:val="0039387A"/>
    <w:rsid w:val="003B7A47"/>
    <w:rsid w:val="003D52E4"/>
    <w:rsid w:val="003E219A"/>
    <w:rsid w:val="003F1BBC"/>
    <w:rsid w:val="004164CB"/>
    <w:rsid w:val="00434770"/>
    <w:rsid w:val="004472B5"/>
    <w:rsid w:val="004625B0"/>
    <w:rsid w:val="004A1A7D"/>
    <w:rsid w:val="004D5B56"/>
    <w:rsid w:val="004F39DE"/>
    <w:rsid w:val="00541347"/>
    <w:rsid w:val="0054498A"/>
    <w:rsid w:val="00554CB8"/>
    <w:rsid w:val="005850FF"/>
    <w:rsid w:val="005A0B03"/>
    <w:rsid w:val="005C66EF"/>
    <w:rsid w:val="005E1B56"/>
    <w:rsid w:val="00627E97"/>
    <w:rsid w:val="00632B6F"/>
    <w:rsid w:val="00634D5C"/>
    <w:rsid w:val="00680FF9"/>
    <w:rsid w:val="006E4F72"/>
    <w:rsid w:val="006F4A4C"/>
    <w:rsid w:val="0072140F"/>
    <w:rsid w:val="00750A82"/>
    <w:rsid w:val="007B79CD"/>
    <w:rsid w:val="007D5844"/>
    <w:rsid w:val="00860D14"/>
    <w:rsid w:val="008E1FD5"/>
    <w:rsid w:val="00912EC8"/>
    <w:rsid w:val="0091720A"/>
    <w:rsid w:val="00933B8B"/>
    <w:rsid w:val="0094702A"/>
    <w:rsid w:val="009A576A"/>
    <w:rsid w:val="009B405A"/>
    <w:rsid w:val="009B4488"/>
    <w:rsid w:val="009C2D80"/>
    <w:rsid w:val="00A04E5B"/>
    <w:rsid w:val="00A311A9"/>
    <w:rsid w:val="00A34315"/>
    <w:rsid w:val="00A56A02"/>
    <w:rsid w:val="00A5767C"/>
    <w:rsid w:val="00A622D9"/>
    <w:rsid w:val="00A84212"/>
    <w:rsid w:val="00AC1B1B"/>
    <w:rsid w:val="00AF221E"/>
    <w:rsid w:val="00B277A5"/>
    <w:rsid w:val="00B60AAB"/>
    <w:rsid w:val="00B81EE6"/>
    <w:rsid w:val="00B9186F"/>
    <w:rsid w:val="00BA1D4B"/>
    <w:rsid w:val="00BC7FB8"/>
    <w:rsid w:val="00BE0639"/>
    <w:rsid w:val="00C04E57"/>
    <w:rsid w:val="00C12EB7"/>
    <w:rsid w:val="00C43D3A"/>
    <w:rsid w:val="00C522AC"/>
    <w:rsid w:val="00C74913"/>
    <w:rsid w:val="00C75CD0"/>
    <w:rsid w:val="00C805CD"/>
    <w:rsid w:val="00C86F7E"/>
    <w:rsid w:val="00CC7DBA"/>
    <w:rsid w:val="00D006E3"/>
    <w:rsid w:val="00D01D7C"/>
    <w:rsid w:val="00D061EB"/>
    <w:rsid w:val="00D25D70"/>
    <w:rsid w:val="00D71916"/>
    <w:rsid w:val="00D736AD"/>
    <w:rsid w:val="00D775EE"/>
    <w:rsid w:val="00D77FFA"/>
    <w:rsid w:val="00D83DBA"/>
    <w:rsid w:val="00D95E83"/>
    <w:rsid w:val="00DA2A84"/>
    <w:rsid w:val="00DD427F"/>
    <w:rsid w:val="00DE1F62"/>
    <w:rsid w:val="00E158B2"/>
    <w:rsid w:val="00E22A8C"/>
    <w:rsid w:val="00E25654"/>
    <w:rsid w:val="00E335EF"/>
    <w:rsid w:val="00E50B1B"/>
    <w:rsid w:val="00E61B5A"/>
    <w:rsid w:val="00EF510E"/>
    <w:rsid w:val="00F205E6"/>
    <w:rsid w:val="00F73150"/>
    <w:rsid w:val="00F758C6"/>
    <w:rsid w:val="00F90490"/>
    <w:rsid w:val="00FA17DC"/>
    <w:rsid w:val="00FC4B90"/>
    <w:rsid w:val="00FD0CAA"/>
    <w:rsid w:val="00FF4C82"/>
    <w:rsid w:val="00FF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53C9B"/>
  <w15:docId w15:val="{4885FF23-0651-4C16-BB7F-478279E27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12EC8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12EC8"/>
    <w:pPr>
      <w:keepNext/>
      <w:keepLines/>
      <w:spacing w:before="40"/>
      <w:outlineLvl w:val="1"/>
    </w:pPr>
    <w:rPr>
      <w:rFonts w:asciiTheme="majorHAnsi" w:eastAsiaTheme="majorEastAsia" w:hAnsiTheme="majorHAnsi"/>
      <w:color w:val="2F5496" w:themeColor="accent1" w:themeShade="BF"/>
      <w:sz w:val="26"/>
      <w:szCs w:val="23"/>
    </w:rPr>
  </w:style>
  <w:style w:type="paragraph" w:styleId="berschrift4">
    <w:name w:val="heading 4"/>
    <w:basedOn w:val="Standard"/>
    <w:next w:val="Textbody"/>
    <w:uiPriority w:val="9"/>
    <w:unhideWhenUsed/>
    <w:qFormat/>
    <w:pPr>
      <w:keepNext/>
      <w:keepLines/>
      <w:spacing w:before="200"/>
      <w:outlineLvl w:val="3"/>
    </w:pPr>
    <w:rPr>
      <w:rFonts w:ascii="Cambria" w:hAnsi="Cambria"/>
      <w:b/>
      <w:bCs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Beschriftung">
    <w:name w:val="caption"/>
    <w:aliases w:val="Beschriftung Tabelle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3D3A"/>
    <w:rPr>
      <w:rFonts w:ascii="Segoe UI" w:hAnsi="Segoe UI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3D3A"/>
    <w:rPr>
      <w:rFonts w:ascii="Segoe UI" w:hAnsi="Segoe UI"/>
      <w:sz w:val="18"/>
      <w:szCs w:val="16"/>
    </w:rPr>
  </w:style>
  <w:style w:type="table" w:styleId="Tabellenraster">
    <w:name w:val="Table Grid"/>
    <w:basedOn w:val="NormaleTabelle"/>
    <w:uiPriority w:val="39"/>
    <w:rsid w:val="003721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HellesRaster-Akzent21">
    <w:name w:val="Helles Raster - Akzent 21"/>
    <w:basedOn w:val="NormaleTabelle"/>
    <w:next w:val="HellesRaster-Akzent2"/>
    <w:uiPriority w:val="62"/>
    <w:rsid w:val="00D736AD"/>
    <w:pPr>
      <w:widowControl/>
      <w:suppressAutoHyphens w:val="0"/>
      <w:autoSpaceDN/>
      <w:ind w:left="851" w:hanging="851"/>
      <w:textAlignment w:val="auto"/>
    </w:pPr>
    <w:rPr>
      <w:rFonts w:asciiTheme="minorHAnsi" w:eastAsiaTheme="minorHAnsi" w:hAnsiTheme="minorHAnsi" w:cs="Times New Roman"/>
      <w:kern w:val="0"/>
      <w:sz w:val="22"/>
      <w:szCs w:val="22"/>
      <w:lang w:val="en-US" w:eastAsia="en-US" w:bidi="en-US"/>
    </w:rPr>
    <w:tblPr>
      <w:tblStyleRowBandSize w:val="1"/>
      <w:tblStyleColBandSize w:val="1"/>
      <w:tblBorders>
        <w:top w:val="single" w:sz="8" w:space="0" w:color="B2B2B2"/>
        <w:left w:val="single" w:sz="8" w:space="0" w:color="B2B2B2"/>
        <w:bottom w:val="single" w:sz="8" w:space="0" w:color="B2B2B2"/>
        <w:right w:val="single" w:sz="8" w:space="0" w:color="B2B2B2"/>
        <w:insideH w:val="single" w:sz="8" w:space="0" w:color="B2B2B2"/>
        <w:insideV w:val="single" w:sz="8" w:space="0" w:color="B2B2B2"/>
      </w:tblBorders>
    </w:tblPr>
    <w:tblStylePr w:type="firstRow">
      <w:pPr>
        <w:spacing w:before="0" w:after="0" w:line="240" w:lineRule="auto"/>
      </w:pPr>
      <w:rPr>
        <w:rFonts w:ascii="Arial" w:eastAsia="Times New Roman" w:hAnsi="Arial" w:cs="Times New Roman"/>
        <w:b/>
        <w:bCs/>
      </w:rPr>
      <w:tblPr/>
      <w:tcPr>
        <w:tcBorders>
          <w:top w:val="single" w:sz="8" w:space="0" w:color="B2B2B2"/>
          <w:left w:val="single" w:sz="8" w:space="0" w:color="B2B2B2"/>
          <w:bottom w:val="single" w:sz="18" w:space="0" w:color="B2B2B2"/>
          <w:right w:val="single" w:sz="8" w:space="0" w:color="B2B2B2"/>
          <w:insideH w:val="nil"/>
          <w:insideV w:val="single" w:sz="8" w:space="0" w:color="B2B2B2"/>
        </w:tcBorders>
      </w:tcPr>
    </w:tblStylePr>
    <w:tblStylePr w:type="lastRow">
      <w:pPr>
        <w:spacing w:before="0" w:after="0" w:line="240" w:lineRule="auto"/>
      </w:pPr>
      <w:rPr>
        <w:rFonts w:ascii="Arial" w:eastAsia="Times New Roman" w:hAnsi="Arial" w:cs="Times New Roman"/>
        <w:b/>
        <w:bCs/>
      </w:rPr>
      <w:tblPr/>
      <w:tcPr>
        <w:tcBorders>
          <w:top w:val="double" w:sz="6" w:space="0" w:color="B2B2B2"/>
          <w:left w:val="single" w:sz="8" w:space="0" w:color="B2B2B2"/>
          <w:bottom w:val="single" w:sz="8" w:space="0" w:color="B2B2B2"/>
          <w:right w:val="single" w:sz="8" w:space="0" w:color="B2B2B2"/>
          <w:insideH w:val="nil"/>
          <w:insideV w:val="single" w:sz="8" w:space="0" w:color="B2B2B2"/>
        </w:tcBorders>
      </w:tcPr>
    </w:tblStylePr>
    <w:tblStylePr w:type="firstCol">
      <w:rPr>
        <w:rFonts w:ascii="Arial" w:eastAsia="Times New Roman" w:hAnsi="Arial" w:cs="Times New Roman"/>
        <w:b/>
        <w:bCs/>
      </w:rPr>
    </w:tblStylePr>
    <w:tblStylePr w:type="lastCol">
      <w:rPr>
        <w:rFonts w:ascii="Arial" w:eastAsia="Times New Roman" w:hAnsi="Arial" w:cs="Times New Roman"/>
        <w:b/>
        <w:bCs/>
      </w:rPr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</w:tcBorders>
      </w:tcPr>
    </w:tblStylePr>
    <w:tblStylePr w:type="band1Vert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</w:tcBorders>
        <w:shd w:val="clear" w:color="auto" w:fill="EBEBEB"/>
      </w:tcPr>
    </w:tblStylePr>
    <w:tblStylePr w:type="band1Horz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  <w:insideV w:val="single" w:sz="8" w:space="0" w:color="B2B2B2"/>
        </w:tcBorders>
        <w:shd w:val="clear" w:color="auto" w:fill="EBEBEB"/>
      </w:tcPr>
    </w:tblStylePr>
    <w:tblStylePr w:type="band2Horz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  <w:insideV w:val="single" w:sz="8" w:space="0" w:color="B2B2B2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D736AD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258BA"/>
    <w:rPr>
      <w:sz w:val="20"/>
      <w:szCs w:val="18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258BA"/>
    <w:rPr>
      <w:sz w:val="20"/>
      <w:szCs w:val="18"/>
    </w:rPr>
  </w:style>
  <w:style w:type="character" w:styleId="Kommentarzeichen">
    <w:name w:val="annotation reference"/>
    <w:semiHidden/>
    <w:rsid w:val="001258BA"/>
    <w:rPr>
      <w:sz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2B39D5"/>
    <w:pPr>
      <w:widowControl/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D427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D427F"/>
    <w:rPr>
      <w:b/>
      <w:bCs/>
      <w:sz w:val="20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12EC8"/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12EC8"/>
    <w:rPr>
      <w:rFonts w:asciiTheme="majorHAnsi" w:eastAsiaTheme="majorEastAsia" w:hAnsiTheme="majorHAnsi"/>
      <w:color w:val="2F5496" w:themeColor="accent1" w:themeShade="BF"/>
      <w:sz w:val="26"/>
      <w:szCs w:val="23"/>
    </w:rPr>
  </w:style>
  <w:style w:type="character" w:styleId="Hyperlink">
    <w:name w:val="Hyperlink"/>
    <w:basedOn w:val="Absatz-Standardschriftart"/>
    <w:uiPriority w:val="99"/>
    <w:unhideWhenUsed/>
    <w:rsid w:val="00912E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nette.Becker@staff.uni-marburg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560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 Ciliani</dc:creator>
  <cp:lastModifiedBy>Annette Becker</cp:lastModifiedBy>
  <cp:revision>5</cp:revision>
  <cp:lastPrinted>2020-11-27T16:43:00Z</cp:lastPrinted>
  <dcterms:created xsi:type="dcterms:W3CDTF">2021-02-02T14:58:00Z</dcterms:created>
  <dcterms:modified xsi:type="dcterms:W3CDTF">2021-02-02T17:59:00Z</dcterms:modified>
</cp:coreProperties>
</file>