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rPr>
          <w:rFonts w:ascii="Times New Roman" w:hAnsi="Times New Roman" w:eastAsia="Lato-Bold"/>
          <w:b/>
          <w:bCs/>
          <w:kern w:val="0"/>
          <w:sz w:val="20"/>
          <w:szCs w:val="20"/>
        </w:rPr>
      </w:pPr>
      <w:r>
        <w:rPr>
          <w:rFonts w:hint="eastAsia" w:ascii="Times New Roman" w:hAnsi="Times New Roman"/>
          <w:b/>
          <w:bCs/>
          <w:kern w:val="0"/>
          <w:sz w:val="20"/>
          <w:szCs w:val="20"/>
          <w:lang w:val="en-US" w:eastAsia="zh-CN"/>
        </w:rPr>
        <w:t xml:space="preserve">Title: </w:t>
      </w:r>
      <w:r>
        <w:rPr>
          <w:rFonts w:ascii="Times New Roman" w:hAnsi="Times New Roman" w:eastAsia="Lato-Bold"/>
          <w:b/>
          <w:bCs/>
          <w:kern w:val="0"/>
          <w:sz w:val="20"/>
          <w:szCs w:val="20"/>
        </w:rPr>
        <w:t>The effects of birth spacing after cesarean delivery on pregnancy outcomes:</w:t>
      </w:r>
      <w:r>
        <w:rPr>
          <w:rFonts w:ascii="Times New Roman" w:hAnsi="Times New Roman"/>
          <w:sz w:val="20"/>
          <w:szCs w:val="20"/>
        </w:rPr>
        <w:t xml:space="preserve"> </w:t>
      </w:r>
      <w:r>
        <w:rPr>
          <w:rFonts w:ascii="Times New Roman" w:hAnsi="Times New Roman" w:eastAsia="Lato-Bold"/>
          <w:b/>
          <w:bCs/>
          <w:kern w:val="0"/>
          <w:sz w:val="20"/>
          <w:szCs w:val="20"/>
        </w:rPr>
        <w:t>a retrospective cohort study</w:t>
      </w:r>
    </w:p>
    <w:p>
      <w:pPr>
        <w:autoSpaceDE w:val="0"/>
        <w:autoSpaceDN w:val="0"/>
        <w:adjustRightInd w:val="0"/>
        <w:rPr>
          <w:rFonts w:ascii="Times New Roman" w:hAnsi="Times New Roman"/>
          <w:sz w:val="20"/>
          <w:szCs w:val="20"/>
          <w:vertAlign w:val="superscript"/>
        </w:rPr>
      </w:pPr>
      <w:r>
        <w:rPr>
          <w:rFonts w:ascii="Times New Roman" w:hAnsi="Times New Roman"/>
          <w:sz w:val="20"/>
          <w:szCs w:val="20"/>
        </w:rPr>
        <w:t>Q</w:t>
      </w:r>
      <w:r>
        <w:rPr>
          <w:rFonts w:hint="eastAsia" w:ascii="Times New Roman" w:hAnsi="Times New Roman"/>
          <w:sz w:val="20"/>
          <w:szCs w:val="20"/>
        </w:rPr>
        <w:t>in</w:t>
      </w:r>
      <w:r>
        <w:rPr>
          <w:rFonts w:ascii="Times New Roman" w:hAnsi="Times New Roman"/>
          <w:sz w:val="20"/>
          <w:szCs w:val="20"/>
        </w:rPr>
        <w:t xml:space="preserve"> Xu </w:t>
      </w:r>
      <w:r>
        <w:rPr>
          <w:rFonts w:ascii="Times New Roman" w:hAnsi="Times New Roman"/>
          <w:sz w:val="20"/>
          <w:szCs w:val="20"/>
          <w:vertAlign w:val="superscript"/>
        </w:rPr>
        <w:t>1</w:t>
      </w:r>
      <w:r>
        <w:rPr>
          <w:rFonts w:ascii="Times New Roman" w:hAnsi="Times New Roman"/>
          <w:sz w:val="20"/>
          <w:szCs w:val="20"/>
        </w:rPr>
        <w:t>, L</w:t>
      </w:r>
      <w:r>
        <w:rPr>
          <w:rFonts w:hint="eastAsia" w:ascii="Times New Roman" w:hAnsi="Times New Roman"/>
          <w:sz w:val="20"/>
          <w:szCs w:val="20"/>
        </w:rPr>
        <w:t>ei</w:t>
      </w:r>
      <w:r>
        <w:rPr>
          <w:rFonts w:ascii="Times New Roman" w:hAnsi="Times New Roman"/>
          <w:sz w:val="20"/>
          <w:szCs w:val="20"/>
        </w:rPr>
        <w:t xml:space="preserve"> Ye </w:t>
      </w:r>
      <w:r>
        <w:rPr>
          <w:rFonts w:ascii="Times New Roman" w:hAnsi="Times New Roman"/>
          <w:sz w:val="20"/>
          <w:szCs w:val="20"/>
          <w:vertAlign w:val="superscript"/>
        </w:rPr>
        <w:t>2</w:t>
      </w:r>
      <w:r>
        <w:rPr>
          <w:rFonts w:ascii="Times New Roman" w:hAnsi="Times New Roman"/>
          <w:sz w:val="20"/>
          <w:szCs w:val="20"/>
        </w:rPr>
        <w:t>, Q</w:t>
      </w:r>
      <w:r>
        <w:rPr>
          <w:rFonts w:hint="eastAsia" w:ascii="Times New Roman" w:hAnsi="Times New Roman"/>
          <w:sz w:val="20"/>
          <w:szCs w:val="20"/>
        </w:rPr>
        <w:t>ilin</w:t>
      </w:r>
      <w:r>
        <w:rPr>
          <w:rFonts w:ascii="Times New Roman" w:hAnsi="Times New Roman"/>
          <w:sz w:val="20"/>
          <w:szCs w:val="20"/>
        </w:rPr>
        <w:t xml:space="preserve"> Wang </w:t>
      </w:r>
      <w:r>
        <w:rPr>
          <w:rFonts w:ascii="Times New Roman" w:hAnsi="Times New Roman"/>
          <w:sz w:val="20"/>
          <w:szCs w:val="20"/>
          <w:vertAlign w:val="superscript"/>
        </w:rPr>
        <w:t>1</w:t>
      </w:r>
      <w:r>
        <w:rPr>
          <w:rFonts w:ascii="Times New Roman" w:hAnsi="Times New Roman"/>
          <w:sz w:val="20"/>
          <w:szCs w:val="20"/>
        </w:rPr>
        <w:t>, W</w:t>
      </w:r>
      <w:r>
        <w:rPr>
          <w:rFonts w:hint="eastAsia" w:ascii="Times New Roman" w:hAnsi="Times New Roman"/>
          <w:sz w:val="20"/>
          <w:szCs w:val="20"/>
        </w:rPr>
        <w:t>ei</w:t>
      </w:r>
      <w:r>
        <w:rPr>
          <w:rFonts w:ascii="Times New Roman" w:hAnsi="Times New Roman"/>
          <w:sz w:val="20"/>
          <w:szCs w:val="20"/>
        </w:rPr>
        <w:t xml:space="preserve"> Xia </w:t>
      </w:r>
      <w:r>
        <w:rPr>
          <w:rFonts w:ascii="Times New Roman" w:hAnsi="Times New Roman"/>
          <w:sz w:val="20"/>
          <w:szCs w:val="20"/>
          <w:vertAlign w:val="superscript"/>
        </w:rPr>
        <w:t>1</w:t>
      </w:r>
      <w:r>
        <w:rPr>
          <w:rFonts w:ascii="Times New Roman" w:hAnsi="Times New Roman"/>
          <w:sz w:val="20"/>
          <w:szCs w:val="20"/>
        </w:rPr>
        <w:t>, X</w:t>
      </w:r>
      <w:r>
        <w:rPr>
          <w:rFonts w:hint="eastAsia" w:ascii="Times New Roman" w:hAnsi="Times New Roman"/>
          <w:sz w:val="20"/>
          <w:szCs w:val="20"/>
        </w:rPr>
        <w:t>iaohong</w:t>
      </w:r>
      <w:r>
        <w:rPr>
          <w:rFonts w:ascii="Times New Roman" w:hAnsi="Times New Roman"/>
          <w:sz w:val="20"/>
          <w:szCs w:val="20"/>
        </w:rPr>
        <w:t xml:space="preserve"> Wei</w:t>
      </w:r>
      <w:r>
        <w:rPr>
          <w:rFonts w:hint="eastAsia" w:ascii="Times New Roman" w:hAnsi="Times New Roman"/>
          <w:sz w:val="20"/>
          <w:szCs w:val="20"/>
        </w:rPr>
        <w:t xml:space="preserve"> </w:t>
      </w:r>
      <w:r>
        <w:rPr>
          <w:rFonts w:ascii="Times New Roman" w:hAnsi="Times New Roman"/>
          <w:sz w:val="20"/>
          <w:szCs w:val="20"/>
          <w:vertAlign w:val="superscript"/>
        </w:rPr>
        <w:t>1</w:t>
      </w:r>
      <w:r>
        <w:rPr>
          <w:rFonts w:ascii="Times New Roman" w:hAnsi="Times New Roman"/>
          <w:sz w:val="20"/>
          <w:szCs w:val="20"/>
        </w:rPr>
        <w:t>, R</w:t>
      </w:r>
      <w:r>
        <w:rPr>
          <w:rFonts w:hint="eastAsia" w:ascii="Times New Roman" w:hAnsi="Times New Roman"/>
          <w:sz w:val="20"/>
          <w:szCs w:val="20"/>
        </w:rPr>
        <w:t>ong</w:t>
      </w:r>
      <w:r>
        <w:rPr>
          <w:rFonts w:ascii="Times New Roman" w:hAnsi="Times New Roman"/>
          <w:sz w:val="20"/>
          <w:szCs w:val="20"/>
        </w:rPr>
        <w:t xml:space="preserve"> Zhou </w:t>
      </w:r>
      <w:r>
        <w:rPr>
          <w:rFonts w:ascii="Times New Roman" w:hAnsi="Times New Roman"/>
          <w:sz w:val="20"/>
          <w:szCs w:val="20"/>
          <w:vertAlign w:val="superscript"/>
        </w:rPr>
        <w:t>1, *</w:t>
      </w:r>
    </w:p>
    <w:p/>
    <w:p>
      <w:pPr>
        <w:widowControl/>
        <w:suppressLineNumbers/>
        <w:shd w:val="clear" w:color="auto" w:fill="FFFFFF"/>
        <w:spacing w:before="100" w:beforeAutospacing="1" w:after="100" w:afterAutospacing="1"/>
        <w:rPr>
          <w:rFonts w:ascii="Times New Roman" w:hAnsi="Times New Roman"/>
          <w:i/>
          <w:iCs/>
          <w:sz w:val="20"/>
          <w:szCs w:val="20"/>
        </w:rPr>
      </w:pPr>
      <w:r>
        <w:rPr>
          <w:rFonts w:ascii="Times New Roman" w:hAnsi="Times New Roman"/>
          <w:i/>
          <w:iCs/>
          <w:sz w:val="20"/>
          <w:szCs w:val="20"/>
          <w:vertAlign w:val="superscript"/>
        </w:rPr>
        <w:t>1</w:t>
      </w:r>
      <w:r>
        <w:rPr>
          <w:rFonts w:ascii="Times New Roman" w:hAnsi="Times New Roman"/>
          <w:i/>
          <w:iCs/>
          <w:sz w:val="20"/>
          <w:szCs w:val="20"/>
        </w:rPr>
        <w:t xml:space="preserve"> Department of Obstetrics and Gynecology, Center for Translational Medicine, Key Laboratory of Birth Defects and Related Diseases of Women and Children (Sichuan University) of Ministry of Education, West China Second University Hospital, Sichuan University.</w:t>
      </w:r>
    </w:p>
    <w:p>
      <w:pPr>
        <w:widowControl/>
        <w:suppressLineNumbers/>
        <w:shd w:val="clear" w:color="auto" w:fill="FFFFFF"/>
        <w:spacing w:before="100" w:beforeAutospacing="1" w:after="100" w:afterAutospacing="1"/>
        <w:rPr>
          <w:rFonts w:ascii="Times New Roman" w:hAnsi="Times New Roman"/>
          <w:i/>
          <w:iCs/>
          <w:sz w:val="20"/>
          <w:szCs w:val="20"/>
        </w:rPr>
      </w:pPr>
      <w:r>
        <w:rPr>
          <w:rFonts w:ascii="Times New Roman" w:hAnsi="Times New Roman"/>
          <w:i/>
          <w:iCs/>
          <w:sz w:val="20"/>
          <w:szCs w:val="20"/>
          <w:vertAlign w:val="superscript"/>
        </w:rPr>
        <w:t>2</w:t>
      </w:r>
      <w:r>
        <w:rPr>
          <w:rFonts w:ascii="Times New Roman" w:hAnsi="Times New Roman"/>
          <w:i/>
          <w:iCs/>
          <w:sz w:val="20"/>
          <w:szCs w:val="20"/>
        </w:rPr>
        <w:t xml:space="preserve"> Radiological Department, West China Hospital, Sichuan University, Chengdu, China.</w:t>
      </w:r>
    </w:p>
    <w:p>
      <w:pPr>
        <w:widowControl/>
        <w:suppressLineNumbers/>
        <w:shd w:val="clear" w:color="auto" w:fill="FFFFFF"/>
        <w:spacing w:before="100" w:beforeAutospacing="1" w:after="100" w:afterAutospacing="1"/>
        <w:rPr>
          <w:rFonts w:ascii="Times New Roman" w:hAnsi="Times New Roman"/>
          <w:i/>
          <w:iCs/>
          <w:sz w:val="20"/>
          <w:szCs w:val="20"/>
        </w:rPr>
      </w:pPr>
      <w:r>
        <w:rPr>
          <w:rFonts w:ascii="Times New Roman" w:hAnsi="Times New Roman"/>
          <w:i/>
          <w:iCs/>
          <w:sz w:val="20"/>
          <w:szCs w:val="20"/>
          <w:vertAlign w:val="superscript"/>
        </w:rPr>
        <w:t>*</w:t>
      </w:r>
      <w:r>
        <w:rPr>
          <w:rFonts w:ascii="Times New Roman" w:hAnsi="Times New Roman"/>
          <w:i/>
          <w:iCs/>
          <w:sz w:val="20"/>
          <w:szCs w:val="20"/>
        </w:rPr>
        <w:t xml:space="preserve"> Corresponding author: R Zhou, Department of Obstetrics and Gynecology, Center for Translational Medicine, Key Laboratory of Birth Defects and Related Diseases of Women and Children (Sichuan University) of Ministry of Education, West China Second University Hospital, Sichuan University, No. 20, Section 3, Renmin South Road, Chengdu, Sichuan, 610041, PR China. Tel: 8618180609085. Email: zhourong_hx@scu.edu.cn.</w:t>
      </w:r>
    </w:p>
    <w:p>
      <w:pPr>
        <w:sectPr>
          <w:pgSz w:w="11906" w:h="16838"/>
          <w:pgMar w:top="1440" w:right="1800" w:bottom="1440" w:left="1800" w:header="851" w:footer="992" w:gutter="0"/>
          <w:cols w:space="720" w:num="1"/>
          <w:docGrid w:type="lines" w:linePitch="312" w:charSpace="0"/>
        </w:sect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sz w:val="20"/>
          <w:szCs w:val="20"/>
          <w:lang w:val="en-US" w:eastAsia="zh-CN"/>
        </w:rPr>
      </w:pPr>
    </w:p>
    <w:tbl>
      <w:tblPr>
        <w:tblStyle w:val="4"/>
        <w:tblpPr w:leftFromText="180" w:rightFromText="180" w:vertAnchor="text" w:horzAnchor="page" w:tblpX="560" w:tblpY="1118"/>
        <w:tblOverlap w:val="never"/>
        <w:tblW w:w="10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32"/>
        <w:gridCol w:w="848"/>
        <w:gridCol w:w="1947"/>
        <w:gridCol w:w="1926"/>
        <w:gridCol w:w="1863"/>
        <w:gridCol w:w="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32" w:type="dxa"/>
            <w:vMerge w:val="restart"/>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848" w:type="dxa"/>
            <w:vMerge w:val="restart"/>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Index</w:t>
            </w:r>
          </w:p>
        </w:tc>
        <w:tc>
          <w:tcPr>
            <w:tcW w:w="1947" w:type="dxa"/>
            <w:tcBorders>
              <w:top w:val="single" w:color="auto" w:sz="18"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b/>
                <w:sz w:val="18"/>
                <w:szCs w:val="18"/>
              </w:rPr>
            </w:pPr>
            <w:r>
              <w:rPr>
                <w:rFonts w:hint="default" w:ascii="Times New Roman" w:hAnsi="Times New Roman" w:eastAsia="宋体" w:cs="Times New Roman"/>
                <w:b/>
                <w:sz w:val="18"/>
                <w:szCs w:val="18"/>
                <w:lang w:bidi="ar"/>
              </w:rPr>
              <w:t xml:space="preserve">  IPI of &lt;24 mon</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 xml:space="preserve">    (n = 121)</w:t>
            </w:r>
          </w:p>
        </w:tc>
        <w:tc>
          <w:tcPr>
            <w:tcW w:w="1926" w:type="dxa"/>
            <w:tcBorders>
              <w:top w:val="single" w:color="auto" w:sz="18" w:space="0"/>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8"/>
                <w:szCs w:val="18"/>
              </w:rPr>
            </w:pPr>
            <w:r>
              <w:rPr>
                <w:rFonts w:hint="default" w:ascii="Times New Roman" w:hAnsi="Times New Roman" w:eastAsia="宋体" w:cs="Times New Roman"/>
                <w:b/>
                <w:sz w:val="18"/>
                <w:szCs w:val="18"/>
                <w:lang w:bidi="ar"/>
              </w:rPr>
              <w:t>IPI of 60-119 mon</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(n = 712)</w:t>
            </w:r>
          </w:p>
        </w:tc>
        <w:tc>
          <w:tcPr>
            <w:tcW w:w="1863" w:type="dxa"/>
            <w:tcBorders>
              <w:top w:val="single" w:color="auto" w:sz="18" w:space="0"/>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8"/>
                <w:szCs w:val="18"/>
              </w:rPr>
            </w:pPr>
            <w:r>
              <w:rPr>
                <w:rFonts w:hint="default" w:ascii="Times New Roman" w:hAnsi="Times New Roman" w:eastAsia="宋体" w:cs="Times New Roman"/>
                <w:b/>
                <w:sz w:val="18"/>
                <w:szCs w:val="18"/>
                <w:lang w:bidi="ar"/>
              </w:rPr>
              <w:t>IPI of ≥ 120 mon</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(n = 246)</w:t>
            </w:r>
          </w:p>
        </w:tc>
        <w:tc>
          <w:tcPr>
            <w:tcW w:w="963" w:type="dxa"/>
            <w:vMerge w:val="restart"/>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P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3332" w:type="dxa"/>
            <w:vMerge w:val="continue"/>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等线" w:cs="Times New Roman"/>
                <w:sz w:val="18"/>
                <w:szCs w:val="18"/>
              </w:rPr>
            </w:pPr>
          </w:p>
        </w:tc>
        <w:tc>
          <w:tcPr>
            <w:tcW w:w="848" w:type="dxa"/>
            <w:vMerge w:val="continue"/>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等线" w:cs="Times New Roman"/>
                <w:sz w:val="18"/>
                <w:szCs w:val="18"/>
              </w:rPr>
            </w:pPr>
          </w:p>
        </w:tc>
        <w:tc>
          <w:tcPr>
            <w:tcW w:w="1947" w:type="dxa"/>
            <w:tcBorders>
              <w:top w:val="nil"/>
              <w:left w:val="nil"/>
              <w:bottom w:val="single" w:color="auto" w:sz="12"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8"/>
                <w:szCs w:val="18"/>
              </w:rPr>
            </w:pPr>
            <w:r>
              <w:rPr>
                <w:rFonts w:hint="default" w:ascii="Times New Roman" w:hAnsi="Times New Roman" w:eastAsia="宋体" w:cs="Times New Roman"/>
                <w:b/>
                <w:color w:val="000000"/>
                <w:sz w:val="18"/>
                <w:szCs w:val="18"/>
                <w:lang w:bidi="ar"/>
              </w:rPr>
              <w:t>aOR (95% CI)</w:t>
            </w:r>
          </w:p>
        </w:tc>
        <w:tc>
          <w:tcPr>
            <w:tcW w:w="1926" w:type="dxa"/>
            <w:tcBorders>
              <w:top w:val="nil"/>
              <w:left w:val="nil"/>
              <w:bottom w:val="single" w:color="auto" w:sz="12"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8"/>
                <w:szCs w:val="18"/>
              </w:rPr>
            </w:pPr>
            <w:r>
              <w:rPr>
                <w:rFonts w:hint="default" w:ascii="Times New Roman" w:hAnsi="Times New Roman" w:eastAsia="宋体" w:cs="Times New Roman"/>
                <w:b/>
                <w:color w:val="000000"/>
                <w:sz w:val="18"/>
                <w:szCs w:val="18"/>
                <w:lang w:bidi="ar"/>
              </w:rPr>
              <w:t>aOR (95% CI)</w:t>
            </w:r>
          </w:p>
        </w:tc>
        <w:tc>
          <w:tcPr>
            <w:tcW w:w="1863" w:type="dxa"/>
            <w:tcBorders>
              <w:top w:val="nil"/>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8"/>
                <w:szCs w:val="18"/>
              </w:rPr>
            </w:pPr>
            <w:r>
              <w:rPr>
                <w:rFonts w:hint="default" w:ascii="Times New Roman" w:hAnsi="Times New Roman" w:eastAsia="宋体" w:cs="Times New Roman"/>
                <w:b/>
                <w:color w:val="000000"/>
                <w:sz w:val="18"/>
                <w:szCs w:val="18"/>
                <w:lang w:bidi="ar"/>
              </w:rPr>
              <w:t>aOR (95% CI)</w:t>
            </w:r>
          </w:p>
        </w:tc>
        <w:tc>
          <w:tcPr>
            <w:tcW w:w="963" w:type="dxa"/>
            <w:vMerge w:val="continue"/>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等线"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32" w:type="dxa"/>
            <w:tcBorders>
              <w:top w:val="single" w:color="auto" w:sz="12" w:space="0"/>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vertAlign w:val="superscript"/>
              </w:rPr>
            </w:pPr>
            <w:r>
              <w:rPr>
                <w:rFonts w:hint="default" w:ascii="Times New Roman" w:hAnsi="Times New Roman" w:eastAsia="宋体" w:cs="Times New Roman"/>
                <w:sz w:val="18"/>
                <w:szCs w:val="18"/>
                <w:lang w:bidi="ar"/>
              </w:rPr>
              <w:t>Abnormal placental position</w:t>
            </w:r>
          </w:p>
        </w:tc>
        <w:tc>
          <w:tcPr>
            <w:tcW w:w="848"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0.071</w:t>
            </w:r>
          </w:p>
        </w:tc>
        <w:tc>
          <w:tcPr>
            <w:tcW w:w="1947"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0.93 (0.75-1.16)</w:t>
            </w:r>
          </w:p>
        </w:tc>
        <w:tc>
          <w:tcPr>
            <w:tcW w:w="1926"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1.07 (0.87-1.33)</w:t>
            </w:r>
          </w:p>
        </w:tc>
        <w:tc>
          <w:tcPr>
            <w:tcW w:w="1863"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8"/>
                <w:szCs w:val="18"/>
              </w:rPr>
            </w:pPr>
            <w:r>
              <w:rPr>
                <w:rFonts w:hint="default" w:ascii="Times New Roman" w:hAnsi="Times New Roman" w:eastAsia="宋体" w:cs="Times New Roman"/>
                <w:color w:val="000000"/>
                <w:sz w:val="18"/>
                <w:szCs w:val="18"/>
                <w:lang w:bidi="ar"/>
              </w:rPr>
              <w:t>1.15 (0.75-1.78)</w:t>
            </w:r>
          </w:p>
        </w:tc>
        <w:tc>
          <w:tcPr>
            <w:tcW w:w="963"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8"/>
                <w:szCs w:val="18"/>
              </w:rPr>
            </w:pPr>
            <w:r>
              <w:rPr>
                <w:rFonts w:hint="default" w:ascii="Times New Roman" w:hAnsi="Times New Roman" w:eastAsia="宋体" w:cs="Times New Roman"/>
                <w:color w:val="000000"/>
                <w:sz w:val="18"/>
                <w:szCs w:val="18"/>
                <w:lang w:bidi="ar"/>
              </w:rPr>
              <w:t>0.518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32" w:type="dxa"/>
            <w:tcBorders>
              <w:top w:val="nil"/>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vertAlign w:val="superscript"/>
              </w:rPr>
            </w:pPr>
            <w:r>
              <w:rPr>
                <w:rFonts w:hint="default" w:ascii="Times New Roman" w:hAnsi="Times New Roman" w:eastAsia="宋体" w:cs="Times New Roman"/>
                <w:sz w:val="18"/>
                <w:szCs w:val="18"/>
                <w:lang w:bidi="ar"/>
              </w:rPr>
              <w:t xml:space="preserve">Pernicious placenta with or without </w:t>
            </w:r>
            <w:r>
              <w:rPr>
                <w:rFonts w:hint="default" w:ascii="Times New Roman" w:hAnsi="Times New Roman" w:eastAsia="宋体" w:cs="Times New Roman"/>
                <w:kern w:val="0"/>
                <w:sz w:val="18"/>
                <w:szCs w:val="18"/>
                <w:lang w:bidi="ar"/>
              </w:rPr>
              <w:t>placenta accreta</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0.043</w:t>
            </w:r>
          </w:p>
        </w:tc>
        <w:tc>
          <w:tcPr>
            <w:tcW w:w="194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0.96 (0.73-1.26)</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1.04 (0.8-1.37)</w:t>
            </w:r>
          </w:p>
        </w:tc>
        <w:tc>
          <w:tcPr>
            <w:tcW w:w="18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1.09 (0.63-1.88)</w:t>
            </w:r>
          </w:p>
        </w:tc>
        <w:tc>
          <w:tcPr>
            <w:tcW w:w="9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32" w:type="dxa"/>
            <w:tcBorders>
              <w:top w:val="nil"/>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FF0000"/>
                <w:sz w:val="18"/>
                <w:szCs w:val="18"/>
              </w:rPr>
            </w:pPr>
            <w:r>
              <w:rPr>
                <w:rFonts w:hint="default" w:ascii="Times New Roman" w:hAnsi="Times New Roman" w:eastAsia="宋体" w:cs="Times New Roman"/>
                <w:sz w:val="18"/>
                <w:szCs w:val="18"/>
                <w:lang w:bidi="ar"/>
              </w:rPr>
              <w:t>PROM</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0.031</w:t>
            </w:r>
          </w:p>
        </w:tc>
        <w:tc>
          <w:tcPr>
            <w:tcW w:w="194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0.97 (0.78-1.2)</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8"/>
                <w:szCs w:val="18"/>
              </w:rPr>
            </w:pPr>
            <w:r>
              <w:rPr>
                <w:rFonts w:hint="default" w:ascii="Times New Roman" w:hAnsi="Times New Roman" w:eastAsia="宋体" w:cs="Times New Roman"/>
                <w:color w:val="000000"/>
                <w:sz w:val="18"/>
                <w:szCs w:val="18"/>
                <w:lang w:bidi="ar"/>
              </w:rPr>
              <w:t>1.03 (0.84-1.28)</w:t>
            </w:r>
          </w:p>
        </w:tc>
        <w:tc>
          <w:tcPr>
            <w:tcW w:w="18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1.06 (0.7-1.63)</w:t>
            </w:r>
          </w:p>
        </w:tc>
        <w:tc>
          <w:tcPr>
            <w:tcW w:w="9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32" w:type="dxa"/>
            <w:tcBorders>
              <w:top w:val="nil"/>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vertAlign w:val="superscript"/>
              </w:rPr>
            </w:pPr>
            <w:r>
              <w:rPr>
                <w:rFonts w:hint="default" w:ascii="Times New Roman" w:hAnsi="Times New Roman" w:eastAsia="宋体" w:cs="Times New Roman"/>
                <w:sz w:val="18"/>
                <w:szCs w:val="18"/>
                <w:lang w:bidi="ar"/>
              </w:rPr>
              <w:t>Uterine rupture</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-0.3</w:t>
            </w:r>
          </w:p>
        </w:tc>
        <w:tc>
          <w:tcPr>
            <w:tcW w:w="194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1.35 (1-1.82)</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0.74 (0.55-1)</w:t>
            </w:r>
          </w:p>
        </w:tc>
        <w:tc>
          <w:tcPr>
            <w:tcW w:w="18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0.55 (0.3-0.99)</w:t>
            </w:r>
          </w:p>
        </w:tc>
        <w:tc>
          <w:tcPr>
            <w:tcW w:w="9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32" w:type="dxa"/>
            <w:tcBorders>
              <w:top w:val="nil"/>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vertAlign w:val="superscript"/>
              </w:rPr>
            </w:pPr>
            <w:r>
              <w:rPr>
                <w:rFonts w:hint="default" w:ascii="Times New Roman" w:hAnsi="Times New Roman" w:eastAsia="宋体" w:cs="Times New Roman"/>
                <w:sz w:val="18"/>
                <w:szCs w:val="18"/>
                <w:lang w:bidi="ar"/>
              </w:rPr>
              <w:t>Postpartum hemorrhage</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0.010</w:t>
            </w:r>
          </w:p>
        </w:tc>
        <w:tc>
          <w:tcPr>
            <w:tcW w:w="194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0.99 (0.72-1.35)</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1.01 (0.74-1.38)</w:t>
            </w:r>
          </w:p>
        </w:tc>
        <w:tc>
          <w:tcPr>
            <w:tcW w:w="18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1.02 (0.55-1.72)</w:t>
            </w:r>
          </w:p>
        </w:tc>
        <w:tc>
          <w:tcPr>
            <w:tcW w:w="9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32"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18"/>
                <w:szCs w:val="18"/>
                <w:lang w:bidi="ar"/>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 xml:space="preserve">Hysterectomy </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-0.013</w:t>
            </w:r>
          </w:p>
        </w:tc>
        <w:tc>
          <w:tcPr>
            <w:tcW w:w="194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1.01 (0.76-1.34)</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0.99 (0.74-1.31)</w:t>
            </w:r>
          </w:p>
        </w:tc>
        <w:tc>
          <w:tcPr>
            <w:tcW w:w="18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0.97(0.55-1.72)</w:t>
            </w:r>
          </w:p>
        </w:tc>
        <w:tc>
          <w:tcPr>
            <w:tcW w:w="9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32" w:type="dxa"/>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1-min Apgar score &lt;10</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-0.106</w:t>
            </w:r>
          </w:p>
        </w:tc>
        <w:tc>
          <w:tcPr>
            <w:tcW w:w="194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1.11 (0.45-2.85)</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0.90 (0.35-2.44)</w:t>
            </w:r>
          </w:p>
        </w:tc>
        <w:tc>
          <w:tcPr>
            <w:tcW w:w="18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0.81 (0.12-5)</w:t>
            </w:r>
          </w:p>
        </w:tc>
        <w:tc>
          <w:tcPr>
            <w:tcW w:w="963"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32" w:type="dxa"/>
            <w:tcBorders>
              <w:top w:val="nil"/>
              <w:left w:val="nil"/>
              <w:bottom w:val="single" w:color="auto" w:sz="18"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NICU admission</w:t>
            </w:r>
          </w:p>
        </w:tc>
        <w:tc>
          <w:tcPr>
            <w:tcW w:w="848"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-0.028</w:t>
            </w:r>
          </w:p>
        </w:tc>
        <w:tc>
          <w:tcPr>
            <w:tcW w:w="1947"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1.03 (0.25-4.44)</w:t>
            </w:r>
          </w:p>
        </w:tc>
        <w:tc>
          <w:tcPr>
            <w:tcW w:w="1926"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0.97 (0.23-3.93)</w:t>
            </w:r>
          </w:p>
        </w:tc>
        <w:tc>
          <w:tcPr>
            <w:tcW w:w="1863"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0.94 (0.05-15.44)</w:t>
            </w:r>
          </w:p>
        </w:tc>
        <w:tc>
          <w:tcPr>
            <w:tcW w:w="963"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0.827</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
          <w:sz w:val="20"/>
          <w:szCs w:val="20"/>
          <w:lang w:val="en-US" w:eastAsia="zh-CN" w:bidi="ar"/>
        </w:rPr>
      </w:pPr>
      <w:r>
        <w:rPr>
          <w:rFonts w:hint="eastAsia" w:ascii="Times New Roman" w:hAnsi="Times New Roman" w:cs="Times New Roman"/>
          <w:b/>
          <w:sz w:val="20"/>
          <w:szCs w:val="20"/>
          <w:lang w:val="en-US" w:eastAsia="zh-CN" w:bidi="ar"/>
        </w:rPr>
        <w:t>Supplementary Tables</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18"/>
          <w:szCs w:val="18"/>
          <w:lang w:bidi="ar"/>
        </w:rPr>
      </w:pPr>
      <w:r>
        <w:rPr>
          <w:rFonts w:hint="default" w:ascii="Times New Roman" w:hAnsi="Times New Roman" w:eastAsia="宋体" w:cs="Times New Roman"/>
          <w:b/>
          <w:sz w:val="20"/>
          <w:szCs w:val="20"/>
          <w:lang w:bidi="ar"/>
        </w:rPr>
        <w:t xml:space="preserve">Table </w:t>
      </w:r>
      <w:r>
        <w:rPr>
          <w:rFonts w:hint="eastAsia" w:ascii="Times New Roman" w:hAnsi="Times New Roman" w:cs="Times New Roman"/>
          <w:b/>
          <w:sz w:val="20"/>
          <w:szCs w:val="20"/>
          <w:lang w:val="en-US" w:eastAsia="zh-CN" w:bidi="ar"/>
        </w:rPr>
        <w:t>S1</w:t>
      </w:r>
      <w:r>
        <w:rPr>
          <w:rFonts w:hint="default" w:ascii="Times New Roman" w:hAnsi="Times New Roman" w:eastAsia="宋体" w:cs="Times New Roman"/>
          <w:b/>
          <w:sz w:val="20"/>
          <w:szCs w:val="20"/>
          <w:lang w:bidi="ar"/>
        </w:rPr>
        <w:t>.</w:t>
      </w:r>
      <w:r>
        <w:rPr>
          <w:rFonts w:hint="default" w:ascii="Times New Roman" w:hAnsi="Times New Roman" w:eastAsia="宋体" w:cs="Times New Roman"/>
          <w:sz w:val="20"/>
          <w:szCs w:val="20"/>
          <w:lang w:bidi="ar"/>
        </w:rPr>
        <w:t xml:space="preserve"> Association between IPI and other Perinatal Outcomes in Women with Selective Cesarean Section.</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0"/>
          <w:szCs w:val="20"/>
          <w:lang w:bidi="ar"/>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0"/>
          <w:szCs w:val="20"/>
          <w:vertAlign w:val="superscript"/>
        </w:rPr>
      </w:pPr>
      <w:r>
        <w:rPr>
          <w:rFonts w:hint="default" w:ascii="Times New Roman" w:hAnsi="Times New Roman" w:eastAsia="宋体" w:cs="Times New Roman"/>
          <w:sz w:val="20"/>
          <w:szCs w:val="20"/>
          <w:lang w:bidi="ar"/>
        </w:rPr>
        <w:t>IPI, interpregnancy interval.</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0"/>
          <w:szCs w:val="20"/>
        </w:rPr>
      </w:pPr>
      <w:r>
        <w:rPr>
          <w:rFonts w:hint="default" w:ascii="Times New Roman" w:hAnsi="Times New Roman" w:eastAsia="宋体" w:cs="Times New Roman"/>
          <w:sz w:val="20"/>
          <w:szCs w:val="20"/>
          <w:lang w:bidi="ar"/>
        </w:rPr>
        <w:t xml:space="preserve">aOR, adjusted odds ratio; CI, confidential index; PROM, premature rupture of membrane.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18"/>
          <w:szCs w:val="18"/>
        </w:rPr>
      </w:pPr>
      <w:r>
        <w:rPr>
          <w:rFonts w:hint="default" w:ascii="Times New Roman" w:hAnsi="Times New Roman" w:eastAsia="宋体" w:cs="Times New Roman"/>
          <w:sz w:val="20"/>
          <w:szCs w:val="20"/>
          <w:lang w:bidi="ar"/>
        </w:rPr>
        <w:t>Abnormal placental position, including low placenta, partial and complete placenta previa.</w:t>
      </w:r>
      <w:r>
        <w:rPr>
          <w:rFonts w:hint="default" w:ascii="Times New Roman" w:hAnsi="Times New Roman" w:cs="Times New Roman"/>
          <w:sz w:val="18"/>
          <w:szCs w:val="18"/>
        </w:rPr>
        <w:br w:type="page"/>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0"/>
          <w:szCs w:val="20"/>
        </w:rPr>
      </w:pPr>
      <w:r>
        <w:rPr>
          <w:rFonts w:hint="default" w:ascii="Times New Roman" w:hAnsi="Times New Roman" w:eastAsia="宋体" w:cs="Times New Roman"/>
          <w:b/>
          <w:sz w:val="20"/>
          <w:szCs w:val="20"/>
          <w:lang w:bidi="ar"/>
        </w:rPr>
        <w:t xml:space="preserve">Table </w:t>
      </w:r>
      <w:r>
        <w:rPr>
          <w:rFonts w:hint="eastAsia" w:ascii="Times New Roman" w:hAnsi="Times New Roman" w:cs="Times New Roman"/>
          <w:b/>
          <w:sz w:val="20"/>
          <w:szCs w:val="20"/>
          <w:lang w:val="en-US" w:eastAsia="zh-CN" w:bidi="ar"/>
        </w:rPr>
        <w:t>S2</w:t>
      </w:r>
      <w:r>
        <w:rPr>
          <w:rFonts w:hint="default" w:ascii="Times New Roman" w:hAnsi="Times New Roman" w:eastAsia="宋体" w:cs="Times New Roman"/>
          <w:b/>
          <w:sz w:val="20"/>
          <w:szCs w:val="20"/>
          <w:lang w:bidi="ar"/>
        </w:rPr>
        <w:t xml:space="preserve">. </w:t>
      </w:r>
      <w:r>
        <w:rPr>
          <w:rFonts w:hint="default" w:ascii="Times New Roman" w:hAnsi="Times New Roman" w:eastAsia="宋体" w:cs="Times New Roman"/>
          <w:sz w:val="20"/>
          <w:szCs w:val="20"/>
          <w:lang w:bidi="ar"/>
        </w:rPr>
        <w:t>Association between IPI and other Perinatal Outcomes in Women with Selective Cesarean Section.</w:t>
      </w:r>
    </w:p>
    <w:tbl>
      <w:tblPr>
        <w:tblStyle w:val="4"/>
        <w:tblpPr w:leftFromText="180" w:rightFromText="180" w:vertAnchor="text" w:horzAnchor="page" w:tblpX="639" w:tblpY="160"/>
        <w:tblOverlap w:val="never"/>
        <w:tblW w:w="109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7"/>
        <w:gridCol w:w="848"/>
        <w:gridCol w:w="1837"/>
        <w:gridCol w:w="1926"/>
        <w:gridCol w:w="1974"/>
        <w:gridCol w:w="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7" w:type="dxa"/>
            <w:vMerge w:val="restart"/>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tc>
        <w:tc>
          <w:tcPr>
            <w:tcW w:w="848" w:type="dxa"/>
            <w:vMerge w:val="restart"/>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Index</w:t>
            </w:r>
          </w:p>
        </w:tc>
        <w:tc>
          <w:tcPr>
            <w:tcW w:w="1837" w:type="dxa"/>
            <w:tcBorders>
              <w:top w:val="single" w:color="auto" w:sz="18"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b/>
                <w:sz w:val="18"/>
                <w:szCs w:val="18"/>
              </w:rPr>
            </w:pPr>
            <w:r>
              <w:rPr>
                <w:rFonts w:hint="default" w:ascii="Times New Roman" w:hAnsi="Times New Roman" w:eastAsia="宋体" w:cs="Times New Roman"/>
                <w:b/>
                <w:sz w:val="18"/>
                <w:szCs w:val="18"/>
                <w:lang w:bidi="ar"/>
              </w:rPr>
              <w:t xml:space="preserve">  IPI of &lt;24 mon</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 xml:space="preserve">    (n = 121)</w:t>
            </w:r>
          </w:p>
        </w:tc>
        <w:tc>
          <w:tcPr>
            <w:tcW w:w="1926" w:type="dxa"/>
            <w:tcBorders>
              <w:top w:val="single" w:color="auto" w:sz="18" w:space="0"/>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8"/>
                <w:szCs w:val="18"/>
              </w:rPr>
            </w:pPr>
            <w:r>
              <w:rPr>
                <w:rFonts w:hint="default" w:ascii="Times New Roman" w:hAnsi="Times New Roman" w:eastAsia="宋体" w:cs="Times New Roman"/>
                <w:b/>
                <w:sz w:val="18"/>
                <w:szCs w:val="18"/>
                <w:lang w:bidi="ar"/>
              </w:rPr>
              <w:t>IPI of 60-119 mon</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(n = 712)</w:t>
            </w:r>
          </w:p>
        </w:tc>
        <w:tc>
          <w:tcPr>
            <w:tcW w:w="1974" w:type="dxa"/>
            <w:tcBorders>
              <w:top w:val="single" w:color="auto" w:sz="18" w:space="0"/>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sz w:val="18"/>
                <w:szCs w:val="18"/>
              </w:rPr>
            </w:pPr>
            <w:r>
              <w:rPr>
                <w:rFonts w:hint="default" w:ascii="Times New Roman" w:hAnsi="Times New Roman" w:eastAsia="宋体" w:cs="Times New Roman"/>
                <w:b/>
                <w:sz w:val="18"/>
                <w:szCs w:val="18"/>
                <w:lang w:bidi="ar"/>
              </w:rPr>
              <w:t>IPI of ≥ 120 mon</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(n = 246)</w:t>
            </w:r>
          </w:p>
        </w:tc>
        <w:tc>
          <w:tcPr>
            <w:tcW w:w="995" w:type="dxa"/>
            <w:vMerge w:val="restart"/>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b/>
                <w:sz w:val="18"/>
                <w:szCs w:val="18"/>
                <w:lang w:bidi="ar"/>
              </w:rPr>
              <w:t>P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3347" w:type="dxa"/>
            <w:vMerge w:val="continue"/>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等线" w:cs="Times New Roman"/>
                <w:sz w:val="18"/>
                <w:szCs w:val="18"/>
              </w:rPr>
            </w:pPr>
          </w:p>
        </w:tc>
        <w:tc>
          <w:tcPr>
            <w:tcW w:w="848" w:type="dxa"/>
            <w:vMerge w:val="continue"/>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等线" w:cs="Times New Roman"/>
                <w:sz w:val="18"/>
                <w:szCs w:val="18"/>
              </w:rPr>
            </w:pPr>
          </w:p>
        </w:tc>
        <w:tc>
          <w:tcPr>
            <w:tcW w:w="1837" w:type="dxa"/>
            <w:tcBorders>
              <w:top w:val="nil"/>
              <w:left w:val="nil"/>
              <w:bottom w:val="single" w:color="auto" w:sz="12"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8"/>
                <w:szCs w:val="18"/>
              </w:rPr>
            </w:pPr>
            <w:r>
              <w:rPr>
                <w:rFonts w:hint="default" w:ascii="Times New Roman" w:hAnsi="Times New Roman" w:eastAsia="宋体" w:cs="Times New Roman"/>
                <w:b/>
                <w:color w:val="000000"/>
                <w:sz w:val="18"/>
                <w:szCs w:val="18"/>
                <w:lang w:bidi="ar"/>
              </w:rPr>
              <w:t>aOR (95% CI)</w:t>
            </w:r>
          </w:p>
        </w:tc>
        <w:tc>
          <w:tcPr>
            <w:tcW w:w="1926" w:type="dxa"/>
            <w:tcBorders>
              <w:top w:val="nil"/>
              <w:left w:val="nil"/>
              <w:bottom w:val="single" w:color="auto" w:sz="12"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8"/>
                <w:szCs w:val="18"/>
              </w:rPr>
            </w:pPr>
            <w:r>
              <w:rPr>
                <w:rFonts w:hint="default" w:ascii="Times New Roman" w:hAnsi="Times New Roman" w:eastAsia="宋体" w:cs="Times New Roman"/>
                <w:b/>
                <w:color w:val="000000"/>
                <w:sz w:val="18"/>
                <w:szCs w:val="18"/>
                <w:lang w:bidi="ar"/>
              </w:rPr>
              <w:t>aOR (95% CI)</w:t>
            </w:r>
          </w:p>
        </w:tc>
        <w:tc>
          <w:tcPr>
            <w:tcW w:w="1974" w:type="dxa"/>
            <w:tcBorders>
              <w:top w:val="nil"/>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000000"/>
                <w:sz w:val="18"/>
                <w:szCs w:val="18"/>
              </w:rPr>
            </w:pPr>
            <w:r>
              <w:rPr>
                <w:rFonts w:hint="default" w:ascii="Times New Roman" w:hAnsi="Times New Roman" w:eastAsia="宋体" w:cs="Times New Roman"/>
                <w:b/>
                <w:color w:val="000000"/>
                <w:sz w:val="18"/>
                <w:szCs w:val="18"/>
                <w:lang w:bidi="ar"/>
              </w:rPr>
              <w:t>aOR (95% CI)</w:t>
            </w:r>
          </w:p>
        </w:tc>
        <w:tc>
          <w:tcPr>
            <w:tcW w:w="995" w:type="dxa"/>
            <w:vMerge w:val="continue"/>
            <w:tcBorders>
              <w:top w:val="single" w:color="auto" w:sz="18" w:space="0"/>
              <w:left w:val="nil"/>
              <w:bottom w:val="single" w:color="auto" w:sz="12"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等线"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47" w:type="dxa"/>
            <w:tcBorders>
              <w:top w:val="single" w:color="auto" w:sz="12" w:space="0"/>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vertAlign w:val="superscript"/>
              </w:rPr>
            </w:pPr>
            <w:r>
              <w:rPr>
                <w:rFonts w:hint="default" w:ascii="Times New Roman" w:hAnsi="Times New Roman" w:eastAsia="宋体" w:cs="Times New Roman"/>
                <w:sz w:val="18"/>
                <w:szCs w:val="18"/>
                <w:lang w:bidi="ar"/>
              </w:rPr>
              <w:t>Abnormal placental position</w:t>
            </w:r>
          </w:p>
        </w:tc>
        <w:tc>
          <w:tcPr>
            <w:tcW w:w="848"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0.121</w:t>
            </w:r>
          </w:p>
        </w:tc>
        <w:tc>
          <w:tcPr>
            <w:tcW w:w="1837"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0.89 (0.7-1.12)</w:t>
            </w:r>
          </w:p>
        </w:tc>
        <w:tc>
          <w:tcPr>
            <w:tcW w:w="1926"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1.13 (0.89-1.44)</w:t>
            </w:r>
          </w:p>
        </w:tc>
        <w:tc>
          <w:tcPr>
            <w:tcW w:w="1974"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8"/>
                <w:szCs w:val="18"/>
              </w:rPr>
            </w:pPr>
            <w:r>
              <w:rPr>
                <w:rFonts w:hint="default" w:ascii="Times New Roman" w:hAnsi="Times New Roman" w:eastAsia="宋体" w:cs="Times New Roman"/>
                <w:color w:val="000000"/>
                <w:sz w:val="18"/>
                <w:szCs w:val="18"/>
                <w:lang w:bidi="ar"/>
              </w:rPr>
              <w:t>1.27 (0.75-2.07)</w:t>
            </w:r>
          </w:p>
        </w:tc>
        <w:tc>
          <w:tcPr>
            <w:tcW w:w="995" w:type="dxa"/>
            <w:tcBorders>
              <w:top w:val="single" w:color="auto" w:sz="12" w:space="0"/>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8"/>
                <w:szCs w:val="18"/>
              </w:rPr>
            </w:pPr>
            <w:r>
              <w:rPr>
                <w:rFonts w:hint="default" w:ascii="Times New Roman" w:hAnsi="Times New Roman" w:eastAsia="宋体" w:cs="Times New Roman"/>
                <w:color w:val="000000"/>
                <w:sz w:val="18"/>
                <w:szCs w:val="18"/>
                <w:lang w:bidi="ar"/>
              </w:rPr>
              <w:t>0.322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47" w:type="dxa"/>
            <w:tcBorders>
              <w:top w:val="nil"/>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vertAlign w:val="superscript"/>
              </w:rPr>
            </w:pPr>
            <w:r>
              <w:rPr>
                <w:rFonts w:hint="default" w:ascii="Times New Roman" w:hAnsi="Times New Roman" w:eastAsia="宋体" w:cs="Times New Roman"/>
                <w:sz w:val="18"/>
                <w:szCs w:val="18"/>
                <w:lang w:bidi="ar"/>
              </w:rPr>
              <w:t xml:space="preserve">Pernicious placenta with or without </w:t>
            </w:r>
            <w:r>
              <w:rPr>
                <w:rFonts w:hint="default" w:ascii="Times New Roman" w:hAnsi="Times New Roman" w:eastAsia="宋体" w:cs="Times New Roman"/>
                <w:kern w:val="0"/>
                <w:sz w:val="18"/>
                <w:szCs w:val="18"/>
                <w:lang w:bidi="ar"/>
              </w:rPr>
              <w:t>placenta accreta</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0.111</w:t>
            </w:r>
          </w:p>
        </w:tc>
        <w:tc>
          <w:tcPr>
            <w:tcW w:w="183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0.90 (0.66-1.21)</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1.12 (0.83-1.52)</w:t>
            </w:r>
          </w:p>
        </w:tc>
        <w:tc>
          <w:tcPr>
            <w:tcW w:w="1974"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1.25 (0.63-2.3)</w:t>
            </w:r>
          </w:p>
        </w:tc>
        <w:tc>
          <w:tcPr>
            <w:tcW w:w="995"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0.473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47" w:type="dxa"/>
            <w:tcBorders>
              <w:top w:val="nil"/>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color w:val="FF0000"/>
                <w:sz w:val="18"/>
                <w:szCs w:val="18"/>
              </w:rPr>
            </w:pPr>
            <w:r>
              <w:rPr>
                <w:rFonts w:hint="default" w:ascii="Times New Roman" w:hAnsi="Times New Roman" w:eastAsia="宋体" w:cs="Times New Roman"/>
                <w:sz w:val="18"/>
                <w:szCs w:val="18"/>
                <w:lang w:bidi="ar"/>
              </w:rPr>
              <w:t>PROM</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0.040</w:t>
            </w:r>
          </w:p>
        </w:tc>
        <w:tc>
          <w:tcPr>
            <w:tcW w:w="183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0.96 (0.76-1.21)</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FF0000"/>
                <w:sz w:val="18"/>
                <w:szCs w:val="18"/>
              </w:rPr>
            </w:pPr>
            <w:r>
              <w:rPr>
                <w:rFonts w:hint="default" w:ascii="Times New Roman" w:hAnsi="Times New Roman" w:eastAsia="宋体" w:cs="Times New Roman"/>
                <w:color w:val="000000"/>
                <w:sz w:val="18"/>
                <w:szCs w:val="18"/>
                <w:lang w:bidi="ar"/>
              </w:rPr>
              <w:t>1.04 (0.82-1.32)</w:t>
            </w:r>
          </w:p>
        </w:tc>
        <w:tc>
          <w:tcPr>
            <w:tcW w:w="1974"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1.08 (0.7-1.74)</w:t>
            </w:r>
          </w:p>
        </w:tc>
        <w:tc>
          <w:tcPr>
            <w:tcW w:w="995"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47" w:type="dxa"/>
            <w:tcBorders>
              <w:top w:val="nil"/>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vertAlign w:val="superscript"/>
              </w:rPr>
            </w:pPr>
            <w:r>
              <w:rPr>
                <w:rFonts w:hint="default" w:ascii="Times New Roman" w:hAnsi="Times New Roman" w:eastAsia="宋体" w:cs="Times New Roman"/>
                <w:sz w:val="18"/>
                <w:szCs w:val="18"/>
                <w:lang w:bidi="ar"/>
              </w:rPr>
              <w:t>Uterine rupture</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-0.253</w:t>
            </w:r>
          </w:p>
        </w:tc>
        <w:tc>
          <w:tcPr>
            <w:tcW w:w="183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1.29 (0.93-1.79)</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0.78 (0.56-1.08)</w:t>
            </w:r>
          </w:p>
        </w:tc>
        <w:tc>
          <w:tcPr>
            <w:tcW w:w="1974"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0.60 (0.3-1.16)</w:t>
            </w:r>
          </w:p>
        </w:tc>
        <w:tc>
          <w:tcPr>
            <w:tcW w:w="995"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47" w:type="dxa"/>
            <w:tcBorders>
              <w:top w:val="nil"/>
              <w:left w:val="nil"/>
              <w:bottom w:val="nil"/>
              <w:right w:val="nil"/>
            </w:tcBorders>
            <w:noWrap w:val="0"/>
            <w:vAlign w:val="bottom"/>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sz w:val="18"/>
                <w:szCs w:val="18"/>
                <w:vertAlign w:val="superscript"/>
              </w:rPr>
            </w:pPr>
            <w:r>
              <w:rPr>
                <w:rFonts w:hint="default" w:ascii="Times New Roman" w:hAnsi="Times New Roman" w:eastAsia="宋体" w:cs="Times New Roman"/>
                <w:sz w:val="18"/>
                <w:szCs w:val="18"/>
                <w:lang w:bidi="ar"/>
              </w:rPr>
              <w:t>Postpartum hemorrhage</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0.155</w:t>
            </w:r>
          </w:p>
        </w:tc>
        <w:tc>
          <w:tcPr>
            <w:tcW w:w="183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0.86 (0.59-1.23)</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1.17 (0.81-1.69)</w:t>
            </w:r>
          </w:p>
        </w:tc>
        <w:tc>
          <w:tcPr>
            <w:tcW w:w="1974"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1.36 (0.55-2.84)</w:t>
            </w:r>
          </w:p>
        </w:tc>
        <w:tc>
          <w:tcPr>
            <w:tcW w:w="995"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4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18"/>
                <w:szCs w:val="18"/>
                <w:lang w:bidi="ar"/>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 xml:space="preserve">Hysterectomy </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0.14</w:t>
            </w:r>
          </w:p>
        </w:tc>
        <w:tc>
          <w:tcPr>
            <w:tcW w:w="183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0.87 (0.62-1.21)</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1.15 (0.83-1.61)</w:t>
            </w:r>
          </w:p>
        </w:tc>
        <w:tc>
          <w:tcPr>
            <w:tcW w:w="1974"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1.32 (0.55-2.58)</w:t>
            </w:r>
          </w:p>
        </w:tc>
        <w:tc>
          <w:tcPr>
            <w:tcW w:w="995"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47" w:type="dxa"/>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1-min Apgar score &lt;10</w:t>
            </w:r>
          </w:p>
        </w:tc>
        <w:tc>
          <w:tcPr>
            <w:tcW w:w="848"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-0.125</w:t>
            </w:r>
          </w:p>
        </w:tc>
        <w:tc>
          <w:tcPr>
            <w:tcW w:w="183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1.13 (0.41-3.3)</w:t>
            </w:r>
          </w:p>
        </w:tc>
        <w:tc>
          <w:tcPr>
            <w:tcW w:w="1926"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0.88 (0.3-2.43)</w:t>
            </w:r>
          </w:p>
        </w:tc>
        <w:tc>
          <w:tcPr>
            <w:tcW w:w="1974"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0.78 (0.12-5.89)</w:t>
            </w:r>
          </w:p>
        </w:tc>
        <w:tc>
          <w:tcPr>
            <w:tcW w:w="995"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47" w:type="dxa"/>
            <w:tcBorders>
              <w:top w:val="nil"/>
              <w:left w:val="nil"/>
              <w:bottom w:val="single" w:color="auto" w:sz="18"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NICU admission</w:t>
            </w:r>
          </w:p>
        </w:tc>
        <w:tc>
          <w:tcPr>
            <w:tcW w:w="848"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-0.015</w:t>
            </w:r>
          </w:p>
        </w:tc>
        <w:tc>
          <w:tcPr>
            <w:tcW w:w="1837"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1.30 (0.27-7.37)</w:t>
            </w:r>
          </w:p>
        </w:tc>
        <w:tc>
          <w:tcPr>
            <w:tcW w:w="1926"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0.77 (0.14-3.72)</w:t>
            </w:r>
          </w:p>
        </w:tc>
        <w:tc>
          <w:tcPr>
            <w:tcW w:w="1974"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0.59 (0.05-13.87)</w:t>
            </w:r>
          </w:p>
        </w:tc>
        <w:tc>
          <w:tcPr>
            <w:tcW w:w="995" w:type="dxa"/>
            <w:tcBorders>
              <w:top w:val="nil"/>
              <w:left w:val="nil"/>
              <w:bottom w:val="single" w:color="auto" w:sz="18" w:space="0"/>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18"/>
                <w:szCs w:val="18"/>
              </w:rPr>
            </w:pPr>
            <w:r>
              <w:rPr>
                <w:rFonts w:hint="default" w:ascii="Times New Roman" w:hAnsi="Times New Roman" w:eastAsia="宋体" w:cs="Times New Roman"/>
                <w:sz w:val="18"/>
                <w:szCs w:val="18"/>
                <w:lang w:bidi="ar"/>
              </w:rPr>
              <w:t>0.914</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0"/>
          <w:szCs w:val="20"/>
          <w:vertAlign w:val="superscript"/>
        </w:rPr>
      </w:pPr>
      <w:r>
        <w:rPr>
          <w:rFonts w:hint="default" w:ascii="Times New Roman" w:hAnsi="Times New Roman" w:eastAsia="宋体" w:cs="Times New Roman"/>
          <w:sz w:val="20"/>
          <w:szCs w:val="20"/>
          <w:lang w:bidi="ar"/>
        </w:rPr>
        <w:t>IPI, interpregnancy interval.</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0"/>
          <w:szCs w:val="20"/>
        </w:rPr>
      </w:pPr>
      <w:r>
        <w:rPr>
          <w:rFonts w:hint="default" w:ascii="Times New Roman" w:hAnsi="Times New Roman" w:eastAsia="宋体" w:cs="Times New Roman"/>
          <w:sz w:val="20"/>
          <w:szCs w:val="20"/>
          <w:lang w:bidi="ar"/>
        </w:rPr>
        <w:t xml:space="preserve">aOR, adjusted odds ratio; CI, confidential index; PROM, premature rupture of membrane.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sz w:val="20"/>
          <w:szCs w:val="20"/>
        </w:rPr>
      </w:pPr>
      <w:r>
        <w:rPr>
          <w:rFonts w:hint="default" w:ascii="Times New Roman" w:hAnsi="Times New Roman" w:eastAsia="宋体" w:cs="Times New Roman"/>
          <w:sz w:val="20"/>
          <w:szCs w:val="20"/>
          <w:lang w:bidi="ar"/>
        </w:rPr>
        <w:t>Abnormal placental position, including low placenta, partial and complete placenta previa.</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Adjusted for maternal age, maternal body mass index, education status, assisted reproductive technology, number of previous cesarean section, previous vaginal delivery.</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sz w:val="20"/>
          <w:szCs w:val="20"/>
          <w:lang w:val="en-US" w:eastAsia="zh-CN"/>
        </w:rPr>
        <w:sectPr>
          <w:pgSz w:w="11906" w:h="16838"/>
          <w:pgMar w:top="1440" w:right="1800" w:bottom="1440" w:left="1800"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auto"/>
        <w:textAlignment w:val="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Lato-Bold">
    <w:altName w:val="Segoe Print"/>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20DAC"/>
    <w:rsid w:val="16B20DAC"/>
    <w:rsid w:val="181818E8"/>
    <w:rsid w:val="1AA33518"/>
    <w:rsid w:val="1D1421D3"/>
    <w:rsid w:val="4EDA23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table" w:styleId="4">
    <w:name w:val="Table Grid"/>
    <w:basedOn w:val="3"/>
    <w:qFormat/>
    <w:uiPriority w:val="0"/>
    <w:rPr>
      <w:rFonts w:hint="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2021-01-24T15:32:00Z</dcterms:created>
  <dc:creator>琴柠</dc:creator>
  <cp:lastModifiedBy>琴柠</cp:lastModifiedBy>
  <dcterms:modified xsi:type="dcterms:W3CDTF">2021-01-27T13:14:30Z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