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C4A9F" w14:textId="347ABC8D" w:rsidR="001423AC" w:rsidRPr="006628C4" w:rsidRDefault="00263BF8" w:rsidP="00263BF8">
      <w:pPr>
        <w:jc w:val="center"/>
        <w:rPr>
          <w:rFonts w:ascii="Georgia" w:hAnsi="Georgia"/>
          <w:b/>
          <w:bCs/>
        </w:rPr>
      </w:pPr>
      <w:r w:rsidRPr="006628C4">
        <w:rPr>
          <w:rFonts w:ascii="Georgia" w:hAnsi="Georgia"/>
          <w:b/>
          <w:bCs/>
        </w:rPr>
        <w:t>Supplement</w:t>
      </w:r>
    </w:p>
    <w:p w14:paraId="3E08CCA3" w14:textId="6D0E4718" w:rsidR="00D249E4" w:rsidRPr="00D249E4" w:rsidRDefault="00D249E4">
      <w:pPr>
        <w:rPr>
          <w:rFonts w:ascii="Georgia" w:hAnsi="Georgia"/>
          <w:b/>
          <w:bCs/>
        </w:rPr>
      </w:pPr>
      <w:r>
        <w:rPr>
          <w:rFonts w:ascii="Georgia" w:hAnsi="Georgia"/>
          <w:b/>
          <w:bCs/>
        </w:rPr>
        <w:t>Supplementary m</w:t>
      </w:r>
      <w:r w:rsidRPr="00D249E4">
        <w:rPr>
          <w:rFonts w:ascii="Georgia" w:hAnsi="Georgia"/>
          <w:b/>
          <w:bCs/>
        </w:rPr>
        <w:t>ethods</w:t>
      </w:r>
    </w:p>
    <w:p w14:paraId="16947F59" w14:textId="37D33E46" w:rsidR="00166FD6" w:rsidRPr="006628C4" w:rsidRDefault="00166FD6">
      <w:pPr>
        <w:rPr>
          <w:rFonts w:ascii="Georgia" w:hAnsi="Georgia"/>
          <w:u w:val="single"/>
        </w:rPr>
      </w:pPr>
      <w:r w:rsidRPr="006628C4">
        <w:rPr>
          <w:rFonts w:ascii="Georgia" w:hAnsi="Georgia"/>
          <w:u w:val="single"/>
        </w:rPr>
        <w:t>Inclusion, exclusion criteria</w:t>
      </w:r>
    </w:p>
    <w:p w14:paraId="63A03AB2" w14:textId="7EB23B29" w:rsidR="00263BF8" w:rsidRPr="006628C4" w:rsidRDefault="00166FD6">
      <w:pPr>
        <w:rPr>
          <w:rFonts w:ascii="Georgia" w:hAnsi="Georgia"/>
        </w:rPr>
      </w:pPr>
      <w:r w:rsidRPr="006628C4">
        <w:rPr>
          <w:rFonts w:ascii="Georgia" w:hAnsi="Georgia"/>
        </w:rPr>
        <w:t>applicants aged between 18 and 35 years, BMI ≥ 18 and ≤ 25</w:t>
      </w:r>
    </w:p>
    <w:p w14:paraId="7A44FAE3" w14:textId="77777777" w:rsidR="00263BF8" w:rsidRPr="006628C4" w:rsidRDefault="00263BF8" w:rsidP="00263BF8">
      <w:pPr>
        <w:rPr>
          <w:rFonts w:ascii="Georgia" w:hAnsi="Georgia"/>
        </w:rPr>
      </w:pPr>
      <w:r w:rsidRPr="006628C4">
        <w:rPr>
          <w:rFonts w:ascii="Georgia" w:hAnsi="Georgia"/>
        </w:rPr>
        <w:t xml:space="preserve">non-shift workers, and without a history of transmeridian travels &lt;1 month prior to study, were screened according to the following exclusion criteria: </w:t>
      </w:r>
    </w:p>
    <w:p w14:paraId="4359D77E" w14:textId="77777777" w:rsidR="00263BF8" w:rsidRPr="006628C4" w:rsidRDefault="00263BF8" w:rsidP="00263BF8">
      <w:pPr>
        <w:pStyle w:val="ListParagraph"/>
        <w:numPr>
          <w:ilvl w:val="0"/>
          <w:numId w:val="1"/>
        </w:numPr>
        <w:rPr>
          <w:rFonts w:ascii="Georgia" w:hAnsi="Georgia"/>
        </w:rPr>
      </w:pPr>
      <w:r w:rsidRPr="006628C4">
        <w:rPr>
          <w:rFonts w:ascii="Georgia" w:hAnsi="Georgia"/>
        </w:rPr>
        <w:t xml:space="preserve">self-reported caffeine intake &lt;300 or &gt;600 mg/day (calculations were based on the (Bühler E et al. 2013), adapted according to a classification of Snel J and MM Lorist (2011)) to ensure the safety of caffeine intake and to exclude extreme response, </w:t>
      </w:r>
    </w:p>
    <w:p w14:paraId="68ACCE85" w14:textId="77777777" w:rsidR="00263BF8" w:rsidRPr="006628C4" w:rsidRDefault="00263BF8" w:rsidP="00263BF8">
      <w:pPr>
        <w:pStyle w:val="ListParagraph"/>
        <w:numPr>
          <w:ilvl w:val="0"/>
          <w:numId w:val="1"/>
        </w:numPr>
        <w:rPr>
          <w:rFonts w:ascii="Georgia" w:hAnsi="Georgia"/>
        </w:rPr>
      </w:pPr>
      <w:r w:rsidRPr="006628C4">
        <w:rPr>
          <w:rFonts w:ascii="Georgia" w:hAnsi="Georgia"/>
        </w:rPr>
        <w:t>bad sleep quality, i.e. PSQI&gt; 5 in the last four weeks assessed by the Pittsburg Sleep Quality Index (PSQI) to control for sleep disturbances</w:t>
      </w:r>
    </w:p>
    <w:p w14:paraId="487BA4AD" w14:textId="77777777" w:rsidR="00263BF8" w:rsidRPr="006628C4" w:rsidRDefault="00263BF8" w:rsidP="00263BF8">
      <w:pPr>
        <w:pStyle w:val="ListParagraph"/>
        <w:numPr>
          <w:ilvl w:val="0"/>
          <w:numId w:val="1"/>
        </w:numPr>
        <w:rPr>
          <w:rFonts w:ascii="Georgia" w:hAnsi="Georgia"/>
        </w:rPr>
      </w:pPr>
      <w:r w:rsidRPr="006628C4">
        <w:rPr>
          <w:rFonts w:ascii="Georgia" w:hAnsi="Georgia"/>
        </w:rPr>
        <w:t>extreme chronotype, as defined by Horne-Ostberg's Morningness-Eveningness Score (HOMES) ≤ 30 or ≥ 70 to prevent pronounced variance in circadian phase.</w:t>
      </w:r>
    </w:p>
    <w:p w14:paraId="4A694AF4" w14:textId="77777777" w:rsidR="00263BF8" w:rsidRPr="006628C4" w:rsidRDefault="00263BF8" w:rsidP="00263BF8">
      <w:pPr>
        <w:pStyle w:val="ListParagraph"/>
        <w:numPr>
          <w:ilvl w:val="0"/>
          <w:numId w:val="1"/>
        </w:numPr>
        <w:rPr>
          <w:rFonts w:ascii="Georgia" w:hAnsi="Georgia"/>
        </w:rPr>
      </w:pPr>
      <w:r w:rsidRPr="006628C4">
        <w:rPr>
          <w:rFonts w:ascii="Georgia" w:hAnsi="Georgia"/>
        </w:rPr>
        <w:t xml:space="preserve">self-reported regular substance use (including medication, nicotine, and drugs) and other major medical conditions. </w:t>
      </w:r>
    </w:p>
    <w:p w14:paraId="446D3EC5" w14:textId="77777777" w:rsidR="00263BF8" w:rsidRPr="006628C4" w:rsidRDefault="00263BF8" w:rsidP="00263BF8">
      <w:pPr>
        <w:rPr>
          <w:rFonts w:ascii="Georgia" w:hAnsi="Georgia"/>
        </w:rPr>
      </w:pPr>
      <w:r w:rsidRPr="006628C4">
        <w:rPr>
          <w:rFonts w:ascii="Georgia" w:hAnsi="Georgia"/>
        </w:rPr>
        <w:t>A habituation night in the laboratory was conducted to exclude poor sleep efficiency (SE &lt; 70%) and clinical sleep disturbances (apnea index &gt; 10, periodic leg movements &gt; 15/h). A toxicological screening right before each laboratory session served to exclude the influence of recent drug intake including cannabis, amphetamine, methamphetamine, cocaine, benzocaine and morphine.</w:t>
      </w:r>
    </w:p>
    <w:p w14:paraId="6405E26F" w14:textId="30374556" w:rsidR="00263BF8" w:rsidRDefault="00263BF8">
      <w:pPr>
        <w:rPr>
          <w:rFonts w:ascii="Georgia" w:hAnsi="Georgia"/>
        </w:rPr>
      </w:pPr>
      <w:r w:rsidRPr="006628C4">
        <w:rPr>
          <w:rFonts w:ascii="Georgia" w:hAnsi="Georgia"/>
        </w:rPr>
        <w:t>General physical health confirmed by laboratory physicians.</w:t>
      </w:r>
    </w:p>
    <w:p w14:paraId="08559EC3" w14:textId="77777777" w:rsidR="00D249E4" w:rsidRDefault="00D249E4" w:rsidP="00D249E4">
      <w:pPr>
        <w:rPr>
          <w:rFonts w:ascii="Georgia" w:hAnsi="Georgia"/>
          <w:b/>
          <w:bCs/>
        </w:rPr>
      </w:pPr>
    </w:p>
    <w:p w14:paraId="09EC8BF9" w14:textId="62DE61AA" w:rsidR="00D249E4" w:rsidRPr="00D249E4" w:rsidRDefault="00D249E4" w:rsidP="00D249E4">
      <w:pPr>
        <w:rPr>
          <w:rFonts w:ascii="Georgia" w:hAnsi="Georgia"/>
          <w:b/>
          <w:bCs/>
        </w:rPr>
      </w:pPr>
      <w:r>
        <w:rPr>
          <w:rFonts w:ascii="Georgia" w:hAnsi="Georgia"/>
          <w:b/>
          <w:bCs/>
        </w:rPr>
        <w:t xml:space="preserve">Supplementary </w:t>
      </w:r>
      <w:r>
        <w:rPr>
          <w:rFonts w:ascii="Georgia" w:hAnsi="Georgia"/>
          <w:b/>
          <w:bCs/>
        </w:rPr>
        <w:t>results</w:t>
      </w:r>
    </w:p>
    <w:p w14:paraId="536BB73A" w14:textId="13A7AEB0" w:rsidR="00D249E4" w:rsidRPr="00D249E4" w:rsidRDefault="00D249E4">
      <w:pPr>
        <w:rPr>
          <w:rFonts w:ascii="Georgia" w:hAnsi="Georgia"/>
          <w:u w:val="single"/>
        </w:rPr>
      </w:pPr>
      <w:r w:rsidRPr="00D249E4">
        <w:rPr>
          <w:rFonts w:ascii="Georgia" w:hAnsi="Georgia" w:cs="Arial"/>
          <w:u w:val="single"/>
        </w:rPr>
        <w:t xml:space="preserve">Salivary caffeine concentration </w:t>
      </w:r>
      <w:r>
        <w:rPr>
          <w:rFonts w:ascii="Georgia" w:hAnsi="Georgia" w:cs="Arial"/>
          <w:u w:val="single"/>
        </w:rPr>
        <w:t>in each</w:t>
      </w:r>
      <w:r w:rsidRPr="00D249E4">
        <w:rPr>
          <w:rFonts w:ascii="Georgia" w:hAnsi="Georgia" w:cs="Arial"/>
          <w:u w:val="single"/>
        </w:rPr>
        <w:t xml:space="preserve"> condition</w:t>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5"/>
        <w:gridCol w:w="1895"/>
        <w:gridCol w:w="2308"/>
        <w:gridCol w:w="2308"/>
        <w:gridCol w:w="2309"/>
      </w:tblGrid>
      <w:tr w:rsidR="00D249E4" w:rsidRPr="00CE0EE5" w14:paraId="7AC1694C" w14:textId="77777777" w:rsidTr="007662D7">
        <w:tc>
          <w:tcPr>
            <w:tcW w:w="9265" w:type="dxa"/>
            <w:gridSpan w:val="5"/>
          </w:tcPr>
          <w:p w14:paraId="19AC1C2B" w14:textId="78F281AE" w:rsidR="00D249E4" w:rsidRPr="00CE0EE5" w:rsidRDefault="00D249E4" w:rsidP="007662D7">
            <w:pPr>
              <w:spacing w:line="276" w:lineRule="auto"/>
              <w:jc w:val="both"/>
              <w:rPr>
                <w:rFonts w:ascii="Georgia" w:hAnsi="Georgia" w:cs="Arial"/>
              </w:rPr>
            </w:pPr>
            <w:r w:rsidRPr="00CE0EE5">
              <w:rPr>
                <w:rFonts w:ascii="Georgia" w:hAnsi="Georgia" w:cs="Arial"/>
                <w:b/>
                <w:bCs/>
              </w:rPr>
              <w:t xml:space="preserve">Table </w:t>
            </w:r>
            <w:r>
              <w:rPr>
                <w:rFonts w:ascii="Georgia" w:hAnsi="Georgia" w:cs="Arial"/>
                <w:b/>
                <w:bCs/>
              </w:rPr>
              <w:t>S</w:t>
            </w:r>
            <w:r w:rsidRPr="00CE0EE5">
              <w:rPr>
                <w:rFonts w:ascii="Georgia" w:hAnsi="Georgia" w:cs="Arial"/>
                <w:b/>
                <w:bCs/>
              </w:rPr>
              <w:t>1. Salivary caffeine concentration (µg/ml)</w:t>
            </w:r>
            <w:r w:rsidRPr="00CE0EE5">
              <w:rPr>
                <w:rFonts w:ascii="Georgia" w:hAnsi="Georgia" w:cs="Arial"/>
              </w:rPr>
              <w:t xml:space="preserve"> </w:t>
            </w:r>
            <w:r w:rsidRPr="00CE0EE5">
              <w:rPr>
                <w:rFonts w:ascii="Georgia" w:hAnsi="Georgia" w:cs="Arial"/>
                <w:b/>
                <w:bCs/>
              </w:rPr>
              <w:t xml:space="preserve">per condition. </w:t>
            </w:r>
            <w:r w:rsidRPr="00CE0EE5">
              <w:rPr>
                <w:rFonts w:ascii="Georgia" w:hAnsi="Georgia" w:cs="Arial"/>
              </w:rPr>
              <w:t>Mean and standard deviation of the samples collected before the first treatment as well as before the fMRI scan session are presented per condition. “Baseline” indicates the first sample in the morning of the laboratory (10</w:t>
            </w:r>
            <w:r w:rsidRPr="00CE0EE5">
              <w:rPr>
                <w:rFonts w:ascii="Georgia" w:hAnsi="Georgia" w:cs="Arial"/>
                <w:vertAlign w:val="superscript"/>
              </w:rPr>
              <w:t>th</w:t>
            </w:r>
            <w:r w:rsidRPr="00CE0EE5">
              <w:rPr>
                <w:rFonts w:ascii="Georgia" w:hAnsi="Georgia" w:cs="Arial"/>
              </w:rPr>
              <w:t>) day before administration of scheduled caffeine or placebo. The asterisks indicate the samples showing significant increase from baseline to the time of scan compared to placebo.</w:t>
            </w:r>
          </w:p>
        </w:tc>
      </w:tr>
      <w:tr w:rsidR="00D249E4" w:rsidRPr="00CE0EE5" w14:paraId="1A676CE5" w14:textId="77777777" w:rsidTr="007662D7">
        <w:tc>
          <w:tcPr>
            <w:tcW w:w="445" w:type="dxa"/>
          </w:tcPr>
          <w:p w14:paraId="68F173FB" w14:textId="77777777" w:rsidR="00D249E4" w:rsidRPr="00CE0EE5" w:rsidRDefault="00D249E4" w:rsidP="007662D7">
            <w:pPr>
              <w:spacing w:line="276" w:lineRule="auto"/>
              <w:jc w:val="both"/>
              <w:rPr>
                <w:rFonts w:ascii="Georgia" w:hAnsi="Georgia" w:cs="Arial"/>
              </w:rPr>
            </w:pPr>
          </w:p>
        </w:tc>
        <w:tc>
          <w:tcPr>
            <w:tcW w:w="1895" w:type="dxa"/>
          </w:tcPr>
          <w:p w14:paraId="11FB4944" w14:textId="77777777" w:rsidR="00D249E4" w:rsidRPr="00CE0EE5" w:rsidRDefault="00D249E4" w:rsidP="007662D7">
            <w:pPr>
              <w:spacing w:line="276" w:lineRule="auto"/>
              <w:jc w:val="both"/>
              <w:rPr>
                <w:rFonts w:ascii="Georgia" w:hAnsi="Georgia" w:cs="Arial"/>
              </w:rPr>
            </w:pPr>
          </w:p>
        </w:tc>
        <w:tc>
          <w:tcPr>
            <w:tcW w:w="2308" w:type="dxa"/>
          </w:tcPr>
          <w:p w14:paraId="70366A73" w14:textId="77777777" w:rsidR="00D249E4" w:rsidRPr="00CE0EE5" w:rsidRDefault="00D249E4" w:rsidP="007662D7">
            <w:pPr>
              <w:spacing w:line="276" w:lineRule="auto"/>
              <w:jc w:val="both"/>
              <w:rPr>
                <w:rFonts w:ascii="Georgia" w:hAnsi="Georgia" w:cs="Arial"/>
              </w:rPr>
            </w:pPr>
            <w:r w:rsidRPr="00CE0EE5">
              <w:rPr>
                <w:rFonts w:ascii="Georgia" w:hAnsi="Georgia" w:cs="Arial"/>
              </w:rPr>
              <w:t>Placebo</w:t>
            </w:r>
          </w:p>
        </w:tc>
        <w:tc>
          <w:tcPr>
            <w:tcW w:w="2308" w:type="dxa"/>
          </w:tcPr>
          <w:p w14:paraId="729EB92E" w14:textId="77777777" w:rsidR="00D249E4" w:rsidRPr="00CE0EE5" w:rsidRDefault="00D249E4" w:rsidP="007662D7">
            <w:pPr>
              <w:spacing w:line="276" w:lineRule="auto"/>
              <w:jc w:val="both"/>
              <w:rPr>
                <w:rFonts w:ascii="Georgia" w:hAnsi="Georgia" w:cs="Arial"/>
              </w:rPr>
            </w:pPr>
            <w:r w:rsidRPr="00CE0EE5">
              <w:rPr>
                <w:rFonts w:ascii="Georgia" w:hAnsi="Georgia" w:cs="Arial"/>
              </w:rPr>
              <w:t>Caffeine</w:t>
            </w:r>
          </w:p>
        </w:tc>
        <w:tc>
          <w:tcPr>
            <w:tcW w:w="2309" w:type="dxa"/>
          </w:tcPr>
          <w:p w14:paraId="4E332035" w14:textId="77777777" w:rsidR="00D249E4" w:rsidRPr="00CE0EE5" w:rsidRDefault="00D249E4" w:rsidP="007662D7">
            <w:pPr>
              <w:spacing w:line="276" w:lineRule="auto"/>
              <w:jc w:val="both"/>
              <w:rPr>
                <w:rFonts w:ascii="Georgia" w:hAnsi="Georgia" w:cs="Arial"/>
              </w:rPr>
            </w:pPr>
            <w:r w:rsidRPr="00CE0EE5">
              <w:rPr>
                <w:rFonts w:ascii="Georgia" w:hAnsi="Georgia" w:cs="Arial"/>
              </w:rPr>
              <w:t>Withdrawal</w:t>
            </w:r>
          </w:p>
        </w:tc>
      </w:tr>
      <w:tr w:rsidR="00D249E4" w:rsidRPr="00CE0EE5" w14:paraId="6DA5FFFA" w14:textId="77777777" w:rsidTr="007662D7">
        <w:tc>
          <w:tcPr>
            <w:tcW w:w="2340" w:type="dxa"/>
            <w:gridSpan w:val="2"/>
          </w:tcPr>
          <w:p w14:paraId="0CC9464A" w14:textId="77777777" w:rsidR="00D249E4" w:rsidRPr="00CE0EE5" w:rsidRDefault="00D249E4" w:rsidP="007662D7">
            <w:pPr>
              <w:spacing w:line="276" w:lineRule="auto"/>
              <w:jc w:val="both"/>
              <w:rPr>
                <w:rFonts w:ascii="Georgia" w:hAnsi="Georgia" w:cs="Arial"/>
              </w:rPr>
            </w:pPr>
            <w:r w:rsidRPr="00CE0EE5">
              <w:rPr>
                <w:rFonts w:ascii="Georgia" w:hAnsi="Georgia" w:cs="Arial"/>
              </w:rPr>
              <w:t>Baseline</w:t>
            </w:r>
          </w:p>
        </w:tc>
        <w:tc>
          <w:tcPr>
            <w:tcW w:w="2308" w:type="dxa"/>
          </w:tcPr>
          <w:p w14:paraId="209A4819" w14:textId="77777777" w:rsidR="00D249E4" w:rsidRPr="00CE0EE5" w:rsidRDefault="00D249E4" w:rsidP="007662D7">
            <w:pPr>
              <w:spacing w:line="276" w:lineRule="auto"/>
              <w:jc w:val="both"/>
              <w:rPr>
                <w:rFonts w:ascii="Georgia" w:hAnsi="Georgia" w:cs="Arial"/>
              </w:rPr>
            </w:pPr>
            <w:r w:rsidRPr="00CE0EE5">
              <w:rPr>
                <w:rFonts w:ascii="Georgia" w:hAnsi="Georgia" w:cs="Arial"/>
              </w:rPr>
              <w:t>0.03 ± 0.03</w:t>
            </w:r>
          </w:p>
        </w:tc>
        <w:tc>
          <w:tcPr>
            <w:tcW w:w="2308" w:type="dxa"/>
          </w:tcPr>
          <w:p w14:paraId="59CC97EF" w14:textId="77777777" w:rsidR="00D249E4" w:rsidRPr="00CE0EE5" w:rsidRDefault="00D249E4" w:rsidP="007662D7">
            <w:pPr>
              <w:spacing w:line="276" w:lineRule="auto"/>
              <w:jc w:val="both"/>
              <w:rPr>
                <w:rFonts w:ascii="Georgia" w:hAnsi="Georgia" w:cs="Arial"/>
              </w:rPr>
            </w:pPr>
            <w:r w:rsidRPr="00CE0EE5">
              <w:rPr>
                <w:rFonts w:ascii="Georgia" w:hAnsi="Georgia" w:cs="Arial"/>
              </w:rPr>
              <w:t>1.18 ± 1.24</w:t>
            </w:r>
          </w:p>
        </w:tc>
        <w:tc>
          <w:tcPr>
            <w:tcW w:w="2309" w:type="dxa"/>
          </w:tcPr>
          <w:p w14:paraId="18ED9626" w14:textId="77777777" w:rsidR="00D249E4" w:rsidRPr="00CE0EE5" w:rsidRDefault="00D249E4" w:rsidP="007662D7">
            <w:pPr>
              <w:spacing w:line="276" w:lineRule="auto"/>
              <w:jc w:val="both"/>
              <w:rPr>
                <w:rFonts w:ascii="Georgia" w:hAnsi="Georgia" w:cs="Arial"/>
              </w:rPr>
            </w:pPr>
            <w:r w:rsidRPr="00CE0EE5">
              <w:rPr>
                <w:rFonts w:ascii="Georgia" w:hAnsi="Georgia" w:cs="Arial"/>
              </w:rPr>
              <w:t>0.46 ± 0.82</w:t>
            </w:r>
          </w:p>
        </w:tc>
      </w:tr>
      <w:tr w:rsidR="00D249E4" w:rsidRPr="00CE0EE5" w14:paraId="4A12A808" w14:textId="77777777" w:rsidTr="007662D7">
        <w:tc>
          <w:tcPr>
            <w:tcW w:w="2340" w:type="dxa"/>
            <w:gridSpan w:val="2"/>
            <w:tcBorders>
              <w:top w:val="nil"/>
              <w:bottom w:val="single" w:sz="8" w:space="0" w:color="auto"/>
            </w:tcBorders>
          </w:tcPr>
          <w:p w14:paraId="145A014D" w14:textId="77777777" w:rsidR="00D249E4" w:rsidRPr="00CE0EE5" w:rsidRDefault="00D249E4" w:rsidP="007662D7">
            <w:pPr>
              <w:spacing w:line="276" w:lineRule="auto"/>
              <w:jc w:val="both"/>
              <w:rPr>
                <w:rFonts w:ascii="Georgia" w:hAnsi="Georgia" w:cs="Arial"/>
              </w:rPr>
            </w:pPr>
            <w:r w:rsidRPr="00CE0EE5">
              <w:rPr>
                <w:rFonts w:ascii="Georgia" w:hAnsi="Georgia" w:cs="Arial"/>
              </w:rPr>
              <w:t>Time of scan</w:t>
            </w:r>
          </w:p>
        </w:tc>
        <w:tc>
          <w:tcPr>
            <w:tcW w:w="2308" w:type="dxa"/>
            <w:tcBorders>
              <w:top w:val="nil"/>
              <w:bottom w:val="single" w:sz="8" w:space="0" w:color="auto"/>
            </w:tcBorders>
          </w:tcPr>
          <w:p w14:paraId="5BF0949A" w14:textId="77777777" w:rsidR="00D249E4" w:rsidRPr="00CE0EE5" w:rsidRDefault="00D249E4" w:rsidP="007662D7">
            <w:pPr>
              <w:spacing w:line="276" w:lineRule="auto"/>
              <w:jc w:val="both"/>
              <w:rPr>
                <w:rFonts w:ascii="Georgia" w:hAnsi="Georgia" w:cs="Arial"/>
              </w:rPr>
            </w:pPr>
            <w:r w:rsidRPr="00CE0EE5">
              <w:rPr>
                <w:rFonts w:ascii="Georgia" w:hAnsi="Georgia" w:cs="Arial"/>
              </w:rPr>
              <w:t>0.03 ± 0.04</w:t>
            </w:r>
          </w:p>
        </w:tc>
        <w:tc>
          <w:tcPr>
            <w:tcW w:w="2308" w:type="dxa"/>
            <w:tcBorders>
              <w:top w:val="nil"/>
              <w:bottom w:val="single" w:sz="8" w:space="0" w:color="auto"/>
            </w:tcBorders>
          </w:tcPr>
          <w:p w14:paraId="3781C98A" w14:textId="77777777" w:rsidR="00D249E4" w:rsidRPr="00CE0EE5" w:rsidRDefault="00D249E4" w:rsidP="007662D7">
            <w:pPr>
              <w:spacing w:line="276" w:lineRule="auto"/>
              <w:jc w:val="both"/>
              <w:rPr>
                <w:rFonts w:ascii="Georgia" w:hAnsi="Georgia" w:cs="Arial"/>
              </w:rPr>
            </w:pPr>
            <w:r w:rsidRPr="00CE0EE5">
              <w:rPr>
                <w:rFonts w:ascii="Georgia" w:hAnsi="Georgia" w:cs="Arial"/>
              </w:rPr>
              <w:t>3.67 ± 2.08 ***</w:t>
            </w:r>
          </w:p>
        </w:tc>
        <w:tc>
          <w:tcPr>
            <w:tcW w:w="2309" w:type="dxa"/>
            <w:tcBorders>
              <w:top w:val="nil"/>
              <w:bottom w:val="single" w:sz="8" w:space="0" w:color="auto"/>
            </w:tcBorders>
          </w:tcPr>
          <w:p w14:paraId="091D74B3" w14:textId="77777777" w:rsidR="00D249E4" w:rsidRPr="00CE0EE5" w:rsidRDefault="00D249E4" w:rsidP="007662D7">
            <w:pPr>
              <w:spacing w:line="276" w:lineRule="auto"/>
              <w:jc w:val="both"/>
              <w:rPr>
                <w:rFonts w:ascii="Georgia" w:hAnsi="Georgia" w:cs="Arial"/>
              </w:rPr>
            </w:pPr>
            <w:r w:rsidRPr="00CE0EE5">
              <w:rPr>
                <w:rFonts w:ascii="Georgia" w:hAnsi="Georgia" w:cs="Arial"/>
              </w:rPr>
              <w:t>0.12 ± 0.18 **</w:t>
            </w:r>
          </w:p>
        </w:tc>
      </w:tr>
    </w:tbl>
    <w:p w14:paraId="48C50CCD" w14:textId="77777777" w:rsidR="00D249E4" w:rsidRPr="00CE0EE5" w:rsidRDefault="00D249E4" w:rsidP="00D249E4">
      <w:pPr>
        <w:spacing w:line="276" w:lineRule="auto"/>
        <w:jc w:val="both"/>
        <w:rPr>
          <w:rFonts w:ascii="Georgia" w:hAnsi="Georgia" w:cs="Arial"/>
        </w:rPr>
      </w:pPr>
      <w:r w:rsidRPr="00CE0EE5">
        <w:rPr>
          <w:rFonts w:ascii="Georgia" w:hAnsi="Georgia" w:cs="Arial"/>
        </w:rPr>
        <w:t>**: p &lt; .01; ***: p &lt; .001</w:t>
      </w:r>
    </w:p>
    <w:p w14:paraId="4A8902C4" w14:textId="77777777" w:rsidR="00D249E4" w:rsidRPr="00CE0EE5" w:rsidRDefault="00D249E4" w:rsidP="00D249E4">
      <w:pPr>
        <w:spacing w:line="360" w:lineRule="auto"/>
        <w:jc w:val="both"/>
        <w:rPr>
          <w:rFonts w:ascii="Georgia" w:hAnsi="Georgia" w:cs="Arial"/>
          <w:b/>
          <w:bCs/>
          <w:u w:val="single"/>
        </w:rPr>
      </w:pPr>
    </w:p>
    <w:p w14:paraId="3565B3B6" w14:textId="77777777" w:rsidR="00D249E4" w:rsidRPr="006628C4" w:rsidRDefault="00D249E4">
      <w:pPr>
        <w:rPr>
          <w:rFonts w:ascii="Georgia" w:hAnsi="Georgia"/>
        </w:rPr>
      </w:pPr>
    </w:p>
    <w:sectPr w:rsidR="00D249E4" w:rsidRPr="006628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270FB" w14:textId="77777777" w:rsidR="00832313" w:rsidRDefault="00832313" w:rsidP="00D249E4">
      <w:pPr>
        <w:spacing w:after="0" w:line="240" w:lineRule="auto"/>
      </w:pPr>
      <w:r>
        <w:separator/>
      </w:r>
    </w:p>
  </w:endnote>
  <w:endnote w:type="continuationSeparator" w:id="0">
    <w:p w14:paraId="6CFEFBAE" w14:textId="77777777" w:rsidR="00832313" w:rsidRDefault="00832313" w:rsidP="00D2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1CC2C" w14:textId="77777777" w:rsidR="00832313" w:rsidRDefault="00832313" w:rsidP="00D249E4">
      <w:pPr>
        <w:spacing w:after="0" w:line="240" w:lineRule="auto"/>
      </w:pPr>
      <w:r>
        <w:separator/>
      </w:r>
    </w:p>
  </w:footnote>
  <w:footnote w:type="continuationSeparator" w:id="0">
    <w:p w14:paraId="2DD442AC" w14:textId="77777777" w:rsidR="00832313" w:rsidRDefault="00832313" w:rsidP="00D249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736BAA"/>
    <w:multiLevelType w:val="hybridMultilevel"/>
    <w:tmpl w:val="3EB06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BF8"/>
    <w:rsid w:val="001423AC"/>
    <w:rsid w:val="00166FD6"/>
    <w:rsid w:val="00255FC2"/>
    <w:rsid w:val="00263BF8"/>
    <w:rsid w:val="005C5AE5"/>
    <w:rsid w:val="006628C4"/>
    <w:rsid w:val="007C308F"/>
    <w:rsid w:val="00832313"/>
    <w:rsid w:val="00BD7F56"/>
    <w:rsid w:val="00C70F28"/>
    <w:rsid w:val="00D21113"/>
    <w:rsid w:val="00D249E4"/>
    <w:rsid w:val="00DB3FC9"/>
    <w:rsid w:val="00FE48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085BD"/>
  <w15:chartTrackingRefBased/>
  <w15:docId w15:val="{C61292FD-A748-4F15-830C-3DF97B1D0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BF8"/>
    <w:pPr>
      <w:ind w:left="720"/>
      <w:contextualSpacing/>
    </w:pPr>
  </w:style>
  <w:style w:type="paragraph" w:styleId="BalloonText">
    <w:name w:val="Balloon Text"/>
    <w:basedOn w:val="Normal"/>
    <w:link w:val="BalloonTextChar"/>
    <w:uiPriority w:val="99"/>
    <w:semiHidden/>
    <w:unhideWhenUsed/>
    <w:rsid w:val="00166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6FD6"/>
    <w:rPr>
      <w:rFonts w:ascii="Segoe UI" w:hAnsi="Segoe UI" w:cs="Segoe UI"/>
      <w:sz w:val="18"/>
      <w:szCs w:val="18"/>
    </w:rPr>
  </w:style>
  <w:style w:type="paragraph" w:styleId="Header">
    <w:name w:val="header"/>
    <w:basedOn w:val="Normal"/>
    <w:link w:val="HeaderChar"/>
    <w:uiPriority w:val="99"/>
    <w:unhideWhenUsed/>
    <w:rsid w:val="00D2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9E4"/>
  </w:style>
  <w:style w:type="paragraph" w:styleId="Footer">
    <w:name w:val="footer"/>
    <w:basedOn w:val="Normal"/>
    <w:link w:val="FooterChar"/>
    <w:uiPriority w:val="99"/>
    <w:unhideWhenUsed/>
    <w:rsid w:val="00D2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9E4"/>
  </w:style>
  <w:style w:type="table" w:styleId="TableGrid">
    <w:name w:val="Table Grid"/>
    <w:basedOn w:val="TableNormal"/>
    <w:uiPriority w:val="39"/>
    <w:qFormat/>
    <w:rsid w:val="00D24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Yu-Shiuan Lin</dc:creator>
  <cp:keywords/>
  <dc:description/>
  <cp:lastModifiedBy>Lin Yu-Shiuan</cp:lastModifiedBy>
  <cp:revision>4</cp:revision>
  <dcterms:created xsi:type="dcterms:W3CDTF">2020-09-25T12:18:00Z</dcterms:created>
  <dcterms:modified xsi:type="dcterms:W3CDTF">2021-12-28T10:04:00Z</dcterms:modified>
</cp:coreProperties>
</file>