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6397F0" w14:textId="77777777" w:rsidR="00730E85" w:rsidRPr="001A2B3C" w:rsidRDefault="00730E85" w:rsidP="00730E85">
      <w:pPr>
        <w:spacing w:after="200" w:line="480" w:lineRule="auto"/>
        <w:jc w:val="both"/>
        <w:rPr>
          <w:rFonts w:ascii="Times New Roman" w:eastAsia="맑은 고딕" w:hAnsi="Times New Roman" w:cs="Times New Roman"/>
          <w:color w:val="000000"/>
          <w:lang w:val="en-US" w:eastAsia="en-US" w:bidi="en-US"/>
        </w:rPr>
      </w:pPr>
      <w:bookmarkStart w:id="0" w:name="_GoBack"/>
      <w:bookmarkEnd w:id="0"/>
      <w:r>
        <w:rPr>
          <w:rFonts w:ascii="Times New Roman" w:eastAsia="맑은 고딕" w:hAnsi="Times New Roman" w:cs="Times New Roman" w:hint="eastAsia"/>
          <w:color w:val="000000"/>
          <w:lang w:val="en-US" w:eastAsia="ko-KR" w:bidi="en-US"/>
        </w:rPr>
        <w:t>Supple</w:t>
      </w:r>
      <w:r>
        <w:rPr>
          <w:rFonts w:ascii="Times New Roman" w:eastAsia="맑은 고딕" w:hAnsi="Times New Roman" w:cs="Times New Roman"/>
          <w:color w:val="000000"/>
          <w:lang w:val="en-US" w:eastAsia="ko-KR" w:bidi="en-US"/>
        </w:rPr>
        <w:t>mentary t</w:t>
      </w:r>
      <w:r>
        <w:rPr>
          <w:rFonts w:ascii="Times New Roman" w:eastAsia="맑은 고딕" w:hAnsi="Times New Roman" w:cs="Times New Roman"/>
          <w:color w:val="000000"/>
          <w:lang w:val="en-US" w:eastAsia="en-US" w:bidi="en-US"/>
        </w:rPr>
        <w:t>able 1.</w:t>
      </w:r>
      <w:r w:rsidRPr="001A2B3C">
        <w:rPr>
          <w:rFonts w:ascii="Times New Roman" w:eastAsia="맑은 고딕" w:hAnsi="Times New Roman" w:cs="Times New Roman"/>
          <w:color w:val="000000"/>
          <w:lang w:val="en-US" w:eastAsia="en-US" w:bidi="en-US"/>
        </w:rPr>
        <w:t xml:space="preserve"> </w:t>
      </w:r>
      <w:proofErr w:type="spellStart"/>
      <w:r w:rsidRPr="001A2B3C">
        <w:rPr>
          <w:rFonts w:ascii="Times New Roman" w:eastAsia="맑은 고딕" w:hAnsi="Times New Roman" w:cs="Times New Roman"/>
          <w:color w:val="000000"/>
          <w:lang w:val="en-US" w:eastAsia="en-US" w:bidi="en-US"/>
        </w:rPr>
        <w:t>Clinicodemographic</w:t>
      </w:r>
      <w:proofErr w:type="spellEnd"/>
      <w:r w:rsidRPr="001A2B3C">
        <w:rPr>
          <w:rFonts w:ascii="Times New Roman" w:eastAsia="맑은 고딕" w:hAnsi="Times New Roman" w:cs="Times New Roman"/>
          <w:color w:val="000000"/>
          <w:lang w:val="en-US" w:eastAsia="en-US" w:bidi="en-US"/>
        </w:rPr>
        <w:t xml:space="preserve"> characteristics and outcomes according to the time of admission in 348 patients who had planned SICU admission</w:t>
      </w:r>
    </w:p>
    <w:tbl>
      <w:tblPr>
        <w:tblStyle w:val="a3"/>
        <w:tblW w:w="80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6"/>
        <w:gridCol w:w="1625"/>
        <w:gridCol w:w="1625"/>
        <w:gridCol w:w="1056"/>
      </w:tblGrid>
      <w:tr w:rsidR="00730E85" w:rsidRPr="001A2B3C" w14:paraId="40D64E42" w14:textId="77777777" w:rsidTr="00A44FEE">
        <w:tc>
          <w:tcPr>
            <w:tcW w:w="3786" w:type="dxa"/>
            <w:tcBorders>
              <w:top w:val="single" w:sz="4" w:space="0" w:color="auto"/>
              <w:bottom w:val="single" w:sz="18" w:space="0" w:color="auto"/>
            </w:tcBorders>
          </w:tcPr>
          <w:p w14:paraId="7AC893D3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Characteristics and outcome parameters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18" w:space="0" w:color="auto"/>
            </w:tcBorders>
          </w:tcPr>
          <w:p w14:paraId="7BDBFAFD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Work-hours</w:t>
            </w:r>
          </w:p>
          <w:p w14:paraId="4138A722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(N=222)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18" w:space="0" w:color="auto"/>
            </w:tcBorders>
          </w:tcPr>
          <w:p w14:paraId="35709A7E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After-hours</w:t>
            </w:r>
          </w:p>
          <w:p w14:paraId="3BE3B721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(N=126)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18" w:space="0" w:color="auto"/>
            </w:tcBorders>
          </w:tcPr>
          <w:p w14:paraId="29F54149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p-value</w:t>
            </w:r>
          </w:p>
        </w:tc>
      </w:tr>
      <w:tr w:rsidR="00730E85" w:rsidRPr="001A2B3C" w14:paraId="13047B4E" w14:textId="77777777" w:rsidTr="00A44FEE">
        <w:tc>
          <w:tcPr>
            <w:tcW w:w="3786" w:type="dxa"/>
            <w:tcBorders>
              <w:top w:val="single" w:sz="18" w:space="0" w:color="auto"/>
            </w:tcBorders>
          </w:tcPr>
          <w:p w14:paraId="7885116A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Age, years</w:t>
            </w:r>
          </w:p>
        </w:tc>
        <w:tc>
          <w:tcPr>
            <w:tcW w:w="1625" w:type="dxa"/>
            <w:tcBorders>
              <w:top w:val="single" w:sz="18" w:space="0" w:color="auto"/>
            </w:tcBorders>
          </w:tcPr>
          <w:p w14:paraId="23FA0EBD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68.56±12.37</w:t>
            </w:r>
          </w:p>
        </w:tc>
        <w:tc>
          <w:tcPr>
            <w:tcW w:w="1625" w:type="dxa"/>
            <w:tcBorders>
              <w:top w:val="single" w:sz="18" w:space="0" w:color="auto"/>
            </w:tcBorders>
          </w:tcPr>
          <w:p w14:paraId="4B142C9F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62.40±13.21</w:t>
            </w:r>
          </w:p>
        </w:tc>
        <w:tc>
          <w:tcPr>
            <w:tcW w:w="1056" w:type="dxa"/>
            <w:tcBorders>
              <w:top w:val="single" w:sz="18" w:space="0" w:color="auto"/>
            </w:tcBorders>
          </w:tcPr>
          <w:p w14:paraId="60009FEF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&lt;0.001</w:t>
            </w:r>
          </w:p>
        </w:tc>
      </w:tr>
      <w:tr w:rsidR="00730E85" w:rsidRPr="001A2B3C" w14:paraId="653DE45C" w14:textId="77777777" w:rsidTr="00A44FEE">
        <w:tc>
          <w:tcPr>
            <w:tcW w:w="3786" w:type="dxa"/>
          </w:tcPr>
          <w:p w14:paraId="2DFB0CE5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APACHE II score</w:t>
            </w:r>
          </w:p>
        </w:tc>
        <w:tc>
          <w:tcPr>
            <w:tcW w:w="1625" w:type="dxa"/>
            <w:vAlign w:val="center"/>
          </w:tcPr>
          <w:p w14:paraId="132A7174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  <w:tc>
          <w:tcPr>
            <w:tcW w:w="1625" w:type="dxa"/>
            <w:vAlign w:val="center"/>
          </w:tcPr>
          <w:p w14:paraId="5E4F34D3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  <w:tc>
          <w:tcPr>
            <w:tcW w:w="1056" w:type="dxa"/>
          </w:tcPr>
          <w:p w14:paraId="1FAA59A5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0.001</w:t>
            </w:r>
          </w:p>
        </w:tc>
      </w:tr>
      <w:tr w:rsidR="00730E85" w:rsidRPr="001A2B3C" w14:paraId="5EFDEAAE" w14:textId="77777777" w:rsidTr="00A44FEE">
        <w:tc>
          <w:tcPr>
            <w:tcW w:w="3786" w:type="dxa"/>
          </w:tcPr>
          <w:p w14:paraId="126E79F6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 xml:space="preserve">  &lt;25</w:t>
            </w:r>
          </w:p>
        </w:tc>
        <w:tc>
          <w:tcPr>
            <w:tcW w:w="1625" w:type="dxa"/>
            <w:vAlign w:val="center"/>
          </w:tcPr>
          <w:p w14:paraId="3349925B" w14:textId="77777777" w:rsidR="00730E85" w:rsidRPr="001A2B3C" w:rsidRDefault="00730E85" w:rsidP="00A44FEE">
            <w:pPr>
              <w:adjustRightInd w:val="0"/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216 (97.3%)</w:t>
            </w:r>
          </w:p>
        </w:tc>
        <w:tc>
          <w:tcPr>
            <w:tcW w:w="1625" w:type="dxa"/>
            <w:vAlign w:val="center"/>
          </w:tcPr>
          <w:p w14:paraId="28808B8C" w14:textId="77777777" w:rsidR="00730E85" w:rsidRPr="001A2B3C" w:rsidRDefault="00730E85" w:rsidP="00A44FEE">
            <w:pPr>
              <w:adjustRightInd w:val="0"/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111 (88.1%)</w:t>
            </w:r>
          </w:p>
        </w:tc>
        <w:tc>
          <w:tcPr>
            <w:tcW w:w="1056" w:type="dxa"/>
          </w:tcPr>
          <w:p w14:paraId="66762F35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</w:tr>
      <w:tr w:rsidR="00730E85" w:rsidRPr="001A2B3C" w14:paraId="4CE81981" w14:textId="77777777" w:rsidTr="00A44FEE">
        <w:tc>
          <w:tcPr>
            <w:tcW w:w="3786" w:type="dxa"/>
          </w:tcPr>
          <w:p w14:paraId="4E20FAAA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 xml:space="preserve">  ≥25</w:t>
            </w:r>
          </w:p>
        </w:tc>
        <w:tc>
          <w:tcPr>
            <w:tcW w:w="1625" w:type="dxa"/>
            <w:vAlign w:val="center"/>
          </w:tcPr>
          <w:p w14:paraId="623D2359" w14:textId="77777777" w:rsidR="00730E85" w:rsidRPr="001A2B3C" w:rsidRDefault="00730E85" w:rsidP="00A44FEE">
            <w:pPr>
              <w:adjustRightInd w:val="0"/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6 (2.7%)</w:t>
            </w:r>
          </w:p>
        </w:tc>
        <w:tc>
          <w:tcPr>
            <w:tcW w:w="1625" w:type="dxa"/>
            <w:vAlign w:val="center"/>
          </w:tcPr>
          <w:p w14:paraId="5E81F422" w14:textId="77777777" w:rsidR="00730E85" w:rsidRPr="001A2B3C" w:rsidRDefault="00730E85" w:rsidP="00A44FEE">
            <w:pPr>
              <w:adjustRightInd w:val="0"/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15 (11.9%)</w:t>
            </w:r>
          </w:p>
        </w:tc>
        <w:tc>
          <w:tcPr>
            <w:tcW w:w="1056" w:type="dxa"/>
          </w:tcPr>
          <w:p w14:paraId="3A7F9E49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</w:tr>
      <w:tr w:rsidR="00730E85" w:rsidRPr="001A2B3C" w14:paraId="0C8693DE" w14:textId="77777777" w:rsidTr="00A44FEE">
        <w:tc>
          <w:tcPr>
            <w:tcW w:w="3786" w:type="dxa"/>
          </w:tcPr>
          <w:p w14:paraId="7F275289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Ventilator support</w:t>
            </w:r>
          </w:p>
        </w:tc>
        <w:tc>
          <w:tcPr>
            <w:tcW w:w="1625" w:type="dxa"/>
            <w:vAlign w:val="center"/>
          </w:tcPr>
          <w:p w14:paraId="22964875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  <w:tc>
          <w:tcPr>
            <w:tcW w:w="1625" w:type="dxa"/>
            <w:vAlign w:val="center"/>
          </w:tcPr>
          <w:p w14:paraId="7A667F8D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  <w:tc>
          <w:tcPr>
            <w:tcW w:w="1056" w:type="dxa"/>
          </w:tcPr>
          <w:p w14:paraId="49383643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&lt;0.001</w:t>
            </w:r>
          </w:p>
        </w:tc>
      </w:tr>
      <w:tr w:rsidR="00730E85" w:rsidRPr="001A2B3C" w14:paraId="2505EF83" w14:textId="77777777" w:rsidTr="00A44FEE">
        <w:tc>
          <w:tcPr>
            <w:tcW w:w="3786" w:type="dxa"/>
          </w:tcPr>
          <w:p w14:paraId="21E351DD" w14:textId="77777777" w:rsidR="00730E85" w:rsidRPr="001A2B3C" w:rsidRDefault="00730E85" w:rsidP="00A44FEE">
            <w:pPr>
              <w:spacing w:line="480" w:lineRule="auto"/>
              <w:ind w:firstLineChars="100" w:firstLine="22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No</w:t>
            </w:r>
          </w:p>
        </w:tc>
        <w:tc>
          <w:tcPr>
            <w:tcW w:w="1625" w:type="dxa"/>
            <w:vAlign w:val="center"/>
          </w:tcPr>
          <w:p w14:paraId="28C85730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213 (95.9%)</w:t>
            </w:r>
          </w:p>
        </w:tc>
        <w:tc>
          <w:tcPr>
            <w:tcW w:w="1625" w:type="dxa"/>
            <w:vAlign w:val="center"/>
          </w:tcPr>
          <w:p w14:paraId="28C5A65A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92 (73.0%)</w:t>
            </w:r>
          </w:p>
        </w:tc>
        <w:tc>
          <w:tcPr>
            <w:tcW w:w="1056" w:type="dxa"/>
          </w:tcPr>
          <w:p w14:paraId="418BA356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</w:tr>
      <w:tr w:rsidR="00730E85" w:rsidRPr="001A2B3C" w14:paraId="7E066726" w14:textId="77777777" w:rsidTr="00A44FEE">
        <w:tc>
          <w:tcPr>
            <w:tcW w:w="3786" w:type="dxa"/>
          </w:tcPr>
          <w:p w14:paraId="6FC24330" w14:textId="77777777" w:rsidR="00730E85" w:rsidRPr="001A2B3C" w:rsidRDefault="00730E85" w:rsidP="00A44FEE">
            <w:pPr>
              <w:spacing w:line="480" w:lineRule="auto"/>
              <w:ind w:firstLineChars="100" w:firstLine="22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Yes</w:t>
            </w:r>
          </w:p>
        </w:tc>
        <w:tc>
          <w:tcPr>
            <w:tcW w:w="1625" w:type="dxa"/>
            <w:vAlign w:val="center"/>
          </w:tcPr>
          <w:p w14:paraId="0A987709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9 (4.1%)</w:t>
            </w:r>
          </w:p>
        </w:tc>
        <w:tc>
          <w:tcPr>
            <w:tcW w:w="1625" w:type="dxa"/>
            <w:vAlign w:val="center"/>
          </w:tcPr>
          <w:p w14:paraId="161B4BA5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34 (27.0%)</w:t>
            </w:r>
          </w:p>
        </w:tc>
        <w:tc>
          <w:tcPr>
            <w:tcW w:w="1056" w:type="dxa"/>
          </w:tcPr>
          <w:p w14:paraId="3031B556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</w:tr>
      <w:tr w:rsidR="00730E85" w:rsidRPr="001A2B3C" w14:paraId="4B002113" w14:textId="77777777" w:rsidTr="00A44FEE">
        <w:tc>
          <w:tcPr>
            <w:tcW w:w="3786" w:type="dxa"/>
          </w:tcPr>
          <w:p w14:paraId="56B024E0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Inotrope</w:t>
            </w:r>
          </w:p>
        </w:tc>
        <w:tc>
          <w:tcPr>
            <w:tcW w:w="1625" w:type="dxa"/>
            <w:vAlign w:val="center"/>
          </w:tcPr>
          <w:p w14:paraId="3E8379D2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  <w:tc>
          <w:tcPr>
            <w:tcW w:w="1625" w:type="dxa"/>
            <w:vAlign w:val="center"/>
          </w:tcPr>
          <w:p w14:paraId="54E53BF6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  <w:tc>
          <w:tcPr>
            <w:tcW w:w="1056" w:type="dxa"/>
          </w:tcPr>
          <w:p w14:paraId="793A41ED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&lt;0.001</w:t>
            </w:r>
          </w:p>
        </w:tc>
      </w:tr>
      <w:tr w:rsidR="00730E85" w:rsidRPr="001A2B3C" w14:paraId="3B128C92" w14:textId="77777777" w:rsidTr="00A44FEE">
        <w:tc>
          <w:tcPr>
            <w:tcW w:w="3786" w:type="dxa"/>
          </w:tcPr>
          <w:p w14:paraId="5F01B908" w14:textId="77777777" w:rsidR="00730E85" w:rsidRPr="001A2B3C" w:rsidRDefault="00730E85" w:rsidP="00A44FEE">
            <w:pPr>
              <w:spacing w:line="480" w:lineRule="auto"/>
              <w:ind w:firstLineChars="100" w:firstLine="22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Not required</w:t>
            </w:r>
          </w:p>
        </w:tc>
        <w:tc>
          <w:tcPr>
            <w:tcW w:w="1625" w:type="dxa"/>
            <w:vAlign w:val="center"/>
          </w:tcPr>
          <w:p w14:paraId="60244DA8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185 (83.3%)</w:t>
            </w:r>
          </w:p>
        </w:tc>
        <w:tc>
          <w:tcPr>
            <w:tcW w:w="1625" w:type="dxa"/>
            <w:vAlign w:val="center"/>
          </w:tcPr>
          <w:p w14:paraId="6BC4197E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77 (61.1%)</w:t>
            </w:r>
          </w:p>
        </w:tc>
        <w:tc>
          <w:tcPr>
            <w:tcW w:w="1056" w:type="dxa"/>
          </w:tcPr>
          <w:p w14:paraId="5D12F374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</w:tr>
      <w:tr w:rsidR="00730E85" w:rsidRPr="001A2B3C" w14:paraId="1A6AFF67" w14:textId="77777777" w:rsidTr="00A44FEE">
        <w:tc>
          <w:tcPr>
            <w:tcW w:w="3786" w:type="dxa"/>
          </w:tcPr>
          <w:p w14:paraId="51A7984D" w14:textId="77777777" w:rsidR="00730E85" w:rsidRPr="001A2B3C" w:rsidRDefault="00730E85" w:rsidP="00A44FEE">
            <w:pPr>
              <w:spacing w:line="480" w:lineRule="auto"/>
              <w:ind w:firstLineChars="100" w:firstLine="22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Required</w:t>
            </w:r>
          </w:p>
        </w:tc>
        <w:tc>
          <w:tcPr>
            <w:tcW w:w="1625" w:type="dxa"/>
            <w:vAlign w:val="center"/>
          </w:tcPr>
          <w:p w14:paraId="258AA4F4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37 (16.7%)</w:t>
            </w:r>
          </w:p>
        </w:tc>
        <w:tc>
          <w:tcPr>
            <w:tcW w:w="1625" w:type="dxa"/>
            <w:vAlign w:val="center"/>
          </w:tcPr>
          <w:p w14:paraId="52E6FC75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49 (38.9%)</w:t>
            </w:r>
          </w:p>
        </w:tc>
        <w:tc>
          <w:tcPr>
            <w:tcW w:w="1056" w:type="dxa"/>
          </w:tcPr>
          <w:p w14:paraId="026FE9DA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</w:tr>
      <w:tr w:rsidR="00730E85" w:rsidRPr="001A2B3C" w14:paraId="69C7F3D2" w14:textId="77777777" w:rsidTr="00A44FEE">
        <w:tc>
          <w:tcPr>
            <w:tcW w:w="3786" w:type="dxa"/>
          </w:tcPr>
          <w:p w14:paraId="15D4D688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ICU readmission within 48 hours</w:t>
            </w:r>
          </w:p>
        </w:tc>
        <w:tc>
          <w:tcPr>
            <w:tcW w:w="1625" w:type="dxa"/>
            <w:vAlign w:val="center"/>
          </w:tcPr>
          <w:p w14:paraId="2136EE28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  <w:tc>
          <w:tcPr>
            <w:tcW w:w="1625" w:type="dxa"/>
            <w:vAlign w:val="center"/>
          </w:tcPr>
          <w:p w14:paraId="535B4AB3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  <w:tc>
          <w:tcPr>
            <w:tcW w:w="1056" w:type="dxa"/>
          </w:tcPr>
          <w:p w14:paraId="704D8A85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0.137</w:t>
            </w:r>
          </w:p>
        </w:tc>
      </w:tr>
      <w:tr w:rsidR="00730E85" w:rsidRPr="001A2B3C" w14:paraId="661CD2F7" w14:textId="77777777" w:rsidTr="00A44FEE">
        <w:tc>
          <w:tcPr>
            <w:tcW w:w="3786" w:type="dxa"/>
          </w:tcPr>
          <w:p w14:paraId="36E1A185" w14:textId="77777777" w:rsidR="00730E85" w:rsidRPr="001A2B3C" w:rsidRDefault="00730E85" w:rsidP="00A44FEE">
            <w:pPr>
              <w:spacing w:line="480" w:lineRule="auto"/>
              <w:ind w:leftChars="100" w:left="22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No</w:t>
            </w:r>
          </w:p>
        </w:tc>
        <w:tc>
          <w:tcPr>
            <w:tcW w:w="1625" w:type="dxa"/>
            <w:vAlign w:val="center"/>
          </w:tcPr>
          <w:p w14:paraId="08FE4A2E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221 (99.5%)</w:t>
            </w:r>
          </w:p>
        </w:tc>
        <w:tc>
          <w:tcPr>
            <w:tcW w:w="1625" w:type="dxa"/>
            <w:vAlign w:val="center"/>
          </w:tcPr>
          <w:p w14:paraId="1E70788A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123 (97.6%)</w:t>
            </w:r>
          </w:p>
        </w:tc>
        <w:tc>
          <w:tcPr>
            <w:tcW w:w="1056" w:type="dxa"/>
          </w:tcPr>
          <w:p w14:paraId="5BCD17F4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</w:tr>
      <w:tr w:rsidR="00730E85" w:rsidRPr="001A2B3C" w14:paraId="51CC90ED" w14:textId="77777777" w:rsidTr="00A44FEE">
        <w:tc>
          <w:tcPr>
            <w:tcW w:w="3786" w:type="dxa"/>
          </w:tcPr>
          <w:p w14:paraId="7AD63A13" w14:textId="77777777" w:rsidR="00730E85" w:rsidRPr="001A2B3C" w:rsidRDefault="00730E85" w:rsidP="00A44FEE">
            <w:pPr>
              <w:spacing w:line="480" w:lineRule="auto"/>
              <w:ind w:leftChars="100" w:left="22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Yes</w:t>
            </w:r>
          </w:p>
        </w:tc>
        <w:tc>
          <w:tcPr>
            <w:tcW w:w="1625" w:type="dxa"/>
            <w:vAlign w:val="center"/>
          </w:tcPr>
          <w:p w14:paraId="077EDDC5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1 (0.5%)</w:t>
            </w:r>
          </w:p>
        </w:tc>
        <w:tc>
          <w:tcPr>
            <w:tcW w:w="1625" w:type="dxa"/>
            <w:vAlign w:val="center"/>
          </w:tcPr>
          <w:p w14:paraId="290E9394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3 (2.4%)</w:t>
            </w:r>
          </w:p>
        </w:tc>
        <w:tc>
          <w:tcPr>
            <w:tcW w:w="1056" w:type="dxa"/>
          </w:tcPr>
          <w:p w14:paraId="2F405368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</w:p>
        </w:tc>
      </w:tr>
      <w:tr w:rsidR="00730E85" w:rsidRPr="001A2B3C" w14:paraId="17164D51" w14:textId="77777777" w:rsidTr="00A44FEE">
        <w:tc>
          <w:tcPr>
            <w:tcW w:w="3786" w:type="dxa"/>
          </w:tcPr>
          <w:p w14:paraId="2FE0AD43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Median duration of ventilator support, days</w:t>
            </w: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ab/>
            </w:r>
          </w:p>
        </w:tc>
        <w:tc>
          <w:tcPr>
            <w:tcW w:w="1625" w:type="dxa"/>
            <w:vAlign w:val="center"/>
          </w:tcPr>
          <w:p w14:paraId="5963C306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1 (1-3)</w:t>
            </w:r>
          </w:p>
        </w:tc>
        <w:tc>
          <w:tcPr>
            <w:tcW w:w="1625" w:type="dxa"/>
            <w:vAlign w:val="center"/>
          </w:tcPr>
          <w:p w14:paraId="633D954B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1 (1-25)</w:t>
            </w:r>
          </w:p>
        </w:tc>
        <w:tc>
          <w:tcPr>
            <w:tcW w:w="1056" w:type="dxa"/>
          </w:tcPr>
          <w:p w14:paraId="4C954F76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0.529</w:t>
            </w:r>
          </w:p>
        </w:tc>
      </w:tr>
      <w:tr w:rsidR="00730E85" w:rsidRPr="001A2B3C" w14:paraId="10AF9296" w14:textId="77777777" w:rsidTr="00A44FEE">
        <w:tc>
          <w:tcPr>
            <w:tcW w:w="3786" w:type="dxa"/>
          </w:tcPr>
          <w:p w14:paraId="4DA0E209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Median length of ICU stay, days</w:t>
            </w:r>
          </w:p>
        </w:tc>
        <w:tc>
          <w:tcPr>
            <w:tcW w:w="1625" w:type="dxa"/>
            <w:vAlign w:val="center"/>
          </w:tcPr>
          <w:p w14:paraId="300C434B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1 (0-11)</w:t>
            </w:r>
          </w:p>
        </w:tc>
        <w:tc>
          <w:tcPr>
            <w:tcW w:w="1625" w:type="dxa"/>
            <w:vAlign w:val="center"/>
          </w:tcPr>
          <w:p w14:paraId="617E6DC9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1 (0-28)</w:t>
            </w:r>
          </w:p>
        </w:tc>
        <w:tc>
          <w:tcPr>
            <w:tcW w:w="1056" w:type="dxa"/>
          </w:tcPr>
          <w:p w14:paraId="4A46942E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0.058</w:t>
            </w:r>
          </w:p>
        </w:tc>
      </w:tr>
      <w:tr w:rsidR="00730E85" w:rsidRPr="001A2B3C" w14:paraId="42094B85" w14:textId="77777777" w:rsidTr="00A44FEE">
        <w:tc>
          <w:tcPr>
            <w:tcW w:w="3786" w:type="dxa"/>
          </w:tcPr>
          <w:p w14:paraId="3A975138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Median length of hospitalization, days</w:t>
            </w:r>
          </w:p>
        </w:tc>
        <w:tc>
          <w:tcPr>
            <w:tcW w:w="1625" w:type="dxa"/>
            <w:vAlign w:val="center"/>
          </w:tcPr>
          <w:p w14:paraId="5A13AB2E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14 (2-118)</w:t>
            </w:r>
          </w:p>
        </w:tc>
        <w:tc>
          <w:tcPr>
            <w:tcW w:w="1625" w:type="dxa"/>
            <w:vAlign w:val="center"/>
          </w:tcPr>
          <w:p w14:paraId="3F9AFBBF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18 (4-118)</w:t>
            </w:r>
          </w:p>
        </w:tc>
        <w:tc>
          <w:tcPr>
            <w:tcW w:w="1056" w:type="dxa"/>
          </w:tcPr>
          <w:p w14:paraId="37B8A7C7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&lt;0.001</w:t>
            </w:r>
          </w:p>
        </w:tc>
      </w:tr>
      <w:tr w:rsidR="00730E85" w:rsidRPr="001A2B3C" w14:paraId="3DBFC8A3" w14:textId="77777777" w:rsidTr="00A44FEE">
        <w:tc>
          <w:tcPr>
            <w:tcW w:w="3786" w:type="dxa"/>
          </w:tcPr>
          <w:p w14:paraId="79A2F911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In-hospital mortality rate</w:t>
            </w:r>
          </w:p>
        </w:tc>
        <w:tc>
          <w:tcPr>
            <w:tcW w:w="1625" w:type="dxa"/>
            <w:vAlign w:val="center"/>
          </w:tcPr>
          <w:p w14:paraId="7C39F383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0 (0.0%)</w:t>
            </w:r>
          </w:p>
        </w:tc>
        <w:tc>
          <w:tcPr>
            <w:tcW w:w="1625" w:type="dxa"/>
            <w:vAlign w:val="center"/>
          </w:tcPr>
          <w:p w14:paraId="563FEFFC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1 (0.8%)</w:t>
            </w:r>
          </w:p>
        </w:tc>
        <w:tc>
          <w:tcPr>
            <w:tcW w:w="1056" w:type="dxa"/>
          </w:tcPr>
          <w:p w14:paraId="6DE67913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0.362</w:t>
            </w:r>
          </w:p>
        </w:tc>
      </w:tr>
      <w:tr w:rsidR="00730E85" w:rsidRPr="001A2B3C" w14:paraId="3E73FEDB" w14:textId="77777777" w:rsidTr="00A44FEE">
        <w:tc>
          <w:tcPr>
            <w:tcW w:w="3786" w:type="dxa"/>
            <w:tcBorders>
              <w:bottom w:val="single" w:sz="4" w:space="0" w:color="auto"/>
            </w:tcBorders>
          </w:tcPr>
          <w:p w14:paraId="0180DD13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30 days mortality rate</w:t>
            </w:r>
          </w:p>
        </w:tc>
        <w:tc>
          <w:tcPr>
            <w:tcW w:w="1625" w:type="dxa"/>
            <w:tcBorders>
              <w:bottom w:val="single" w:sz="4" w:space="0" w:color="auto"/>
            </w:tcBorders>
            <w:vAlign w:val="center"/>
          </w:tcPr>
          <w:p w14:paraId="47ADDCCC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0 (0.0%)</w:t>
            </w:r>
          </w:p>
        </w:tc>
        <w:tc>
          <w:tcPr>
            <w:tcW w:w="1625" w:type="dxa"/>
            <w:tcBorders>
              <w:bottom w:val="single" w:sz="4" w:space="0" w:color="auto"/>
            </w:tcBorders>
            <w:vAlign w:val="center"/>
          </w:tcPr>
          <w:p w14:paraId="73FC4F1B" w14:textId="77777777" w:rsidR="00730E85" w:rsidRPr="001A2B3C" w:rsidRDefault="00730E85" w:rsidP="00A44FEE">
            <w:pPr>
              <w:spacing w:line="480" w:lineRule="auto"/>
              <w:ind w:left="60" w:right="60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0 (0.0%)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14:paraId="3173B1AD" w14:textId="77777777" w:rsidR="00730E85" w:rsidRPr="001A2B3C" w:rsidRDefault="00730E85" w:rsidP="00A44FEE">
            <w:pPr>
              <w:spacing w:line="480" w:lineRule="auto"/>
              <w:rPr>
                <w:rFonts w:ascii="Times New Roman" w:hAnsi="Times New Roman"/>
                <w:color w:val="000000"/>
                <w:lang w:eastAsia="en-US" w:bidi="en-US"/>
              </w:rPr>
            </w:pPr>
            <w:r w:rsidRPr="001A2B3C">
              <w:rPr>
                <w:rFonts w:ascii="Times New Roman" w:hAnsi="Times New Roman"/>
                <w:color w:val="000000"/>
                <w:lang w:eastAsia="en-US" w:bidi="en-US"/>
              </w:rPr>
              <w:t>-</w:t>
            </w:r>
          </w:p>
        </w:tc>
      </w:tr>
    </w:tbl>
    <w:p w14:paraId="0304FC91" w14:textId="77777777" w:rsidR="00730E85" w:rsidRPr="001A2B3C" w:rsidRDefault="00730E85" w:rsidP="00730E85">
      <w:pPr>
        <w:spacing w:after="200" w:line="480" w:lineRule="auto"/>
        <w:jc w:val="both"/>
        <w:rPr>
          <w:rFonts w:ascii="Times New Roman" w:eastAsia="맑은 고딕" w:hAnsi="Times New Roman" w:cs="Times New Roman"/>
          <w:color w:val="000000"/>
          <w:lang w:val="en-US" w:eastAsia="en-US" w:bidi="en-US"/>
        </w:rPr>
      </w:pPr>
      <w:r w:rsidRPr="001A2B3C">
        <w:rPr>
          <w:rFonts w:ascii="Times New Roman" w:eastAsia="맑은 고딕" w:hAnsi="Times New Roman" w:cs="Times New Roman"/>
          <w:color w:val="000000"/>
          <w:lang w:val="en-US" w:eastAsia="en-US" w:bidi="en-US"/>
        </w:rPr>
        <w:t>SICU=Surgical Intensive Care Unit, ICU=Intensive Care Unit, APACHE II score=Acute Physiologic and Chronic Health Evaluation II score</w:t>
      </w:r>
    </w:p>
    <w:p w14:paraId="7159F474" w14:textId="77777777" w:rsidR="005B2B7E" w:rsidRPr="00730E85" w:rsidRDefault="005B2B7E">
      <w:pPr>
        <w:rPr>
          <w:lang w:val="en-US"/>
        </w:rPr>
      </w:pPr>
    </w:p>
    <w:sectPr w:rsidR="005B2B7E" w:rsidRPr="00730E8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8F4E53" w16cex:dateUtc="2020-12-24T11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CA1B6B6" w16cid:durableId="238F4E5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E85"/>
    <w:rsid w:val="0005159C"/>
    <w:rsid w:val="000856F6"/>
    <w:rsid w:val="001B4DDC"/>
    <w:rsid w:val="005B2B7E"/>
    <w:rsid w:val="00730E85"/>
    <w:rsid w:val="00A67314"/>
    <w:rsid w:val="00E5283F"/>
    <w:rsid w:val="00FB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A67E1"/>
  <w15:chartTrackingRefBased/>
  <w15:docId w15:val="{2B481283-151F-4D32-95F6-A52D4BAF8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E85"/>
    <w:pPr>
      <w:jc w:val="left"/>
    </w:pPr>
    <w:rPr>
      <w:kern w:val="0"/>
      <w:sz w:val="22"/>
      <w:lang w:val="en-GB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0E85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0515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5159C"/>
    <w:rPr>
      <w:rFonts w:ascii="Segoe UI" w:hAnsi="Segoe UI" w:cs="Segoe UI"/>
      <w:kern w:val="0"/>
      <w:sz w:val="18"/>
      <w:szCs w:val="18"/>
      <w:lang w:val="en-GB" w:eastAsia="ja-JP"/>
    </w:rPr>
  </w:style>
  <w:style w:type="character" w:styleId="a5">
    <w:name w:val="annotation reference"/>
    <w:basedOn w:val="a0"/>
    <w:uiPriority w:val="99"/>
    <w:semiHidden/>
    <w:unhideWhenUsed/>
    <w:rsid w:val="0005159C"/>
    <w:rPr>
      <w:sz w:val="16"/>
      <w:szCs w:val="16"/>
    </w:rPr>
  </w:style>
  <w:style w:type="paragraph" w:styleId="a6">
    <w:name w:val="annotation text"/>
    <w:basedOn w:val="a"/>
    <w:link w:val="Char0"/>
    <w:uiPriority w:val="99"/>
    <w:semiHidden/>
    <w:unhideWhenUsed/>
    <w:rsid w:val="0005159C"/>
    <w:pPr>
      <w:spacing w:line="240" w:lineRule="auto"/>
    </w:pPr>
    <w:rPr>
      <w:sz w:val="20"/>
      <w:szCs w:val="20"/>
    </w:rPr>
  </w:style>
  <w:style w:type="character" w:customStyle="1" w:styleId="Char0">
    <w:name w:val="메모 텍스트 Char"/>
    <w:basedOn w:val="a0"/>
    <w:link w:val="a6"/>
    <w:uiPriority w:val="99"/>
    <w:semiHidden/>
    <w:rsid w:val="0005159C"/>
    <w:rPr>
      <w:kern w:val="0"/>
      <w:szCs w:val="20"/>
      <w:lang w:val="en-GB" w:eastAsia="ja-JP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05159C"/>
    <w:rPr>
      <w:b/>
      <w:bCs/>
    </w:rPr>
  </w:style>
  <w:style w:type="character" w:customStyle="1" w:styleId="Char1">
    <w:name w:val="메모 주제 Char"/>
    <w:basedOn w:val="Char0"/>
    <w:link w:val="a7"/>
    <w:uiPriority w:val="99"/>
    <w:semiHidden/>
    <w:rsid w:val="0005159C"/>
    <w:rPr>
      <w:b/>
      <w:bCs/>
      <w:kern w:val="0"/>
      <w:szCs w:val="20"/>
      <w:lang w:val="en-GB" w:eastAsia="ja-JP"/>
    </w:rPr>
  </w:style>
  <w:style w:type="character" w:styleId="a8">
    <w:name w:val="Hyperlink"/>
    <w:basedOn w:val="a0"/>
    <w:uiPriority w:val="99"/>
    <w:unhideWhenUsed/>
    <w:rsid w:val="0005159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515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CA986C9WDS051</dc:creator>
  <cp:keywords/>
  <dc:description/>
  <cp:lastModifiedBy>CA986C9WDS051</cp:lastModifiedBy>
  <cp:revision>2</cp:revision>
  <dcterms:created xsi:type="dcterms:W3CDTF">2021-01-18T06:28:00Z</dcterms:created>
  <dcterms:modified xsi:type="dcterms:W3CDTF">2021-01-18T06:28:00Z</dcterms:modified>
</cp:coreProperties>
</file>