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before="0" w:after="0"/>
        <w:jc w:val="center"/>
        <w:rPr>
          <w:sz w:val="21"/>
          <w:szCs w:val="21"/>
        </w:rPr>
      </w:pPr>
    </w:p>
    <w:p>
      <w:pPr>
        <w:pStyle w:val="8"/>
        <w:spacing w:before="0" w:after="0"/>
        <w:rPr>
          <w:sz w:val="21"/>
          <w:szCs w:val="21"/>
        </w:rPr>
      </w:pPr>
    </w:p>
    <w:p>
      <w:pPr>
        <w:pStyle w:val="8"/>
        <w:spacing w:before="0" w:after="0"/>
        <w:rPr>
          <w:sz w:val="16"/>
          <w:szCs w:val="16"/>
        </w:rPr>
      </w:pPr>
      <w:r>
        <w:rPr>
          <w:sz w:val="16"/>
          <w:szCs w:val="16"/>
        </w:rPr>
        <w:t>Table S</w:t>
      </w:r>
      <w:r>
        <w:rPr>
          <w:rFonts w:hint="eastAsia" w:eastAsia="宋体"/>
          <w:sz w:val="16"/>
          <w:szCs w:val="16"/>
          <w:lang w:eastAsia="zh-CN"/>
        </w:rPr>
        <w:t>1</w:t>
      </w:r>
      <w:r>
        <w:rPr>
          <w:sz w:val="16"/>
          <w:szCs w:val="16"/>
        </w:rPr>
        <w:t xml:space="preserve">. Baseline cytokine levels </w:t>
      </w:r>
      <w:r>
        <w:rPr>
          <w:rFonts w:eastAsia="Calibri"/>
          <w:sz w:val="16"/>
          <w:szCs w:val="16"/>
        </w:rPr>
        <w:t xml:space="preserve">compared with those under </w:t>
      </w:r>
      <w:r>
        <w:rPr>
          <w:rFonts w:hint="eastAsia" w:eastAsia="宋体"/>
          <w:sz w:val="16"/>
          <w:szCs w:val="16"/>
          <w:lang w:eastAsia="zh-CN"/>
        </w:rPr>
        <w:t>healthy</w:t>
      </w:r>
      <w:r>
        <w:rPr>
          <w:sz w:val="16"/>
          <w:szCs w:val="16"/>
        </w:rPr>
        <w:t xml:space="preserve"> conditions.</w:t>
      </w:r>
    </w:p>
    <w:p>
      <w:pPr>
        <w:pStyle w:val="9"/>
        <w:rPr>
          <w:sz w:val="21"/>
          <w:szCs w:val="21"/>
        </w:rPr>
      </w:pPr>
    </w:p>
    <w:tbl>
      <w:tblPr>
        <w:tblStyle w:val="21"/>
        <w:tblW w:w="0" w:type="auto"/>
        <w:tblInd w:w="-4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1"/>
        <w:gridCol w:w="1425"/>
        <w:gridCol w:w="1114"/>
        <w:gridCol w:w="856"/>
        <w:gridCol w:w="1425"/>
        <w:gridCol w:w="1229"/>
        <w:gridCol w:w="866"/>
        <w:gridCol w:w="124"/>
        <w:gridCol w:w="1385"/>
        <w:gridCol w:w="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1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bookmarkStart w:id="0" w:name="OLE_LINK1"/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Characteristic</w:t>
            </w:r>
          </w:p>
        </w:tc>
        <w:tc>
          <w:tcPr>
            <w:tcW w:w="2539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spacing w:before="0" w:after="0"/>
              <w:ind w:firstLine="320" w:firstLineChars="20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Early-cART vs. HC</w:t>
            </w:r>
          </w:p>
        </w:tc>
        <w:tc>
          <w:tcPr>
            <w:tcW w:w="856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i/>
                <w:iCs/>
                <w:color w:val="auto"/>
                <w:sz w:val="16"/>
                <w:szCs w:val="16"/>
              </w:rPr>
              <w:t>P</w:t>
            </w: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-Value</w:t>
            </w:r>
          </w:p>
        </w:tc>
        <w:tc>
          <w:tcPr>
            <w:tcW w:w="26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ind w:firstLine="320" w:firstLineChars="20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Chronic-cART vs. HC</w:t>
            </w:r>
          </w:p>
        </w:tc>
        <w:tc>
          <w:tcPr>
            <w:tcW w:w="99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i/>
                <w:iCs/>
                <w:color w:val="auto"/>
                <w:sz w:val="16"/>
                <w:szCs w:val="16"/>
              </w:rPr>
              <w:t>P</w:t>
            </w: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-Value</w:t>
            </w:r>
          </w:p>
        </w:tc>
        <w:tc>
          <w:tcPr>
            <w:tcW w:w="162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i/>
                <w:iCs/>
                <w:color w:val="auto"/>
                <w:sz w:val="16"/>
                <w:szCs w:val="16"/>
              </w:rPr>
              <w:t>P</w:t>
            </w: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-Value*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5" w:type="dxa"/>
        </w:trPr>
        <w:tc>
          <w:tcPr>
            <w:tcW w:w="1511" w:type="dxa"/>
            <w:tcBorders>
              <w:top w:val="single" w:color="auto" w:sz="6" w:space="0"/>
              <w:left w:val="nil"/>
              <w:bottom w:val="dotted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Cytokine (pg/ml)</w:t>
            </w:r>
          </w:p>
        </w:tc>
        <w:tc>
          <w:tcPr>
            <w:tcW w:w="1425" w:type="dxa"/>
            <w:tcBorders>
              <w:top w:val="single" w:color="auto" w:sz="6" w:space="0"/>
              <w:left w:val="nil"/>
              <w:bottom w:val="dotted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Baseline (0 w)</w:t>
            </w:r>
          </w:p>
        </w:tc>
        <w:tc>
          <w:tcPr>
            <w:tcW w:w="1114" w:type="dxa"/>
            <w:tcBorders>
              <w:top w:val="single" w:color="auto" w:sz="6" w:space="0"/>
              <w:left w:val="nil"/>
              <w:bottom w:val="dotted" w:color="auto" w:sz="6" w:space="0"/>
              <w:right w:val="nil"/>
            </w:tcBorders>
          </w:tcPr>
          <w:p>
            <w:pPr>
              <w:spacing w:before="0" w:after="0"/>
              <w:ind w:firstLine="160" w:firstLineChars="10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HC</w:t>
            </w:r>
          </w:p>
        </w:tc>
        <w:tc>
          <w:tcPr>
            <w:tcW w:w="856" w:type="dxa"/>
            <w:tcBorders>
              <w:top w:val="single" w:color="auto" w:sz="6" w:space="0"/>
              <w:left w:val="nil"/>
              <w:bottom w:val="dotted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1425" w:type="dxa"/>
            <w:tcBorders>
              <w:top w:val="single" w:color="auto" w:sz="6" w:space="0"/>
              <w:left w:val="nil"/>
              <w:bottom w:val="dotted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Baseline (0 w)</w:t>
            </w:r>
          </w:p>
        </w:tc>
        <w:tc>
          <w:tcPr>
            <w:tcW w:w="1229" w:type="dxa"/>
            <w:tcBorders>
              <w:top w:val="single" w:color="auto" w:sz="6" w:space="0"/>
              <w:left w:val="nil"/>
              <w:bottom w:val="dotted" w:color="auto" w:sz="6" w:space="0"/>
              <w:right w:val="nil"/>
            </w:tcBorders>
          </w:tcPr>
          <w:p>
            <w:pPr>
              <w:spacing w:before="0" w:after="0"/>
              <w:ind w:firstLine="160" w:firstLineChars="10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HC</w:t>
            </w:r>
          </w:p>
        </w:tc>
        <w:tc>
          <w:tcPr>
            <w:tcW w:w="866" w:type="dxa"/>
            <w:tcBorders>
              <w:top w:val="single" w:color="auto" w:sz="6" w:space="0"/>
              <w:left w:val="nil"/>
              <w:bottom w:val="dotted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1509" w:type="dxa"/>
            <w:gridSpan w:val="2"/>
            <w:tcBorders>
              <w:top w:val="single" w:color="auto" w:sz="6" w:space="0"/>
              <w:left w:val="nil"/>
              <w:bottom w:val="dotted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5" w:type="dxa"/>
        </w:trPr>
        <w:tc>
          <w:tcPr>
            <w:tcW w:w="1511" w:type="dxa"/>
            <w:tcBorders>
              <w:top w:val="dotted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PD-L1/B7-H1</w:t>
            </w:r>
          </w:p>
        </w:tc>
        <w:tc>
          <w:tcPr>
            <w:tcW w:w="1425" w:type="dxa"/>
            <w:tcBorders>
              <w:top w:val="dotted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131.85 (120.96,164.47)</w:t>
            </w:r>
          </w:p>
        </w:tc>
        <w:tc>
          <w:tcPr>
            <w:tcW w:w="1114" w:type="dxa"/>
            <w:tcBorders>
              <w:top w:val="dotted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194.39 (181.16,204.38)</w:t>
            </w:r>
          </w:p>
        </w:tc>
        <w:tc>
          <w:tcPr>
            <w:tcW w:w="856" w:type="dxa"/>
            <w:tcBorders>
              <w:top w:val="dotted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0.002</w:t>
            </w:r>
          </w:p>
        </w:tc>
        <w:tc>
          <w:tcPr>
            <w:tcW w:w="1425" w:type="dxa"/>
            <w:tcBorders>
              <w:top w:val="dotted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186.11 (139.70,214.01)</w:t>
            </w:r>
          </w:p>
        </w:tc>
        <w:tc>
          <w:tcPr>
            <w:tcW w:w="1229" w:type="dxa"/>
            <w:tcBorders>
              <w:top w:val="dotted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194.39 (181.16,204.38)</w:t>
            </w:r>
          </w:p>
        </w:tc>
        <w:tc>
          <w:tcPr>
            <w:tcW w:w="866" w:type="dxa"/>
            <w:tcBorders>
              <w:top w:val="dotted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  <w:tc>
          <w:tcPr>
            <w:tcW w:w="1509" w:type="dxa"/>
            <w:gridSpan w:val="2"/>
            <w:tcBorders>
              <w:top w:val="dotted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0.019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5" w:type="dxa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Eotaxin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95.65 (74.80,115.64)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50.04 (47.57,61.11)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&lt;0.001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94.95 (77.41,117.72)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50.04 (47.57,61.11)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&lt;0.001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5" w:type="dxa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MIP-3b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88.44 (62.86,146.57)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12.53 (9.88,44.82)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&lt;0.001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103.98 (61.60,130.05)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12.53 (9.88,44.82)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&lt;0.001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5" w:type="dxa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MCP-1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75.82 (55.92,110.24)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68.49 (45.04,79.78)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85.94 (67.44,104.08)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68.49 (45.04,79.78)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0.021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5" w:type="dxa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MIP-1a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24.69 (23.69,27.41)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16.20 (13.75,22.19)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0.002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18.02 (14.16,21.09)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16.20 (13.75,22.19)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5" w:type="dxa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IP-10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127.87 (76.77,316.87)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4.39 (2.91,35.20)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&lt;0.001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148.53 (53.89,186.83)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4.39 (2.91,35.20)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&lt;0.001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5" w:type="dxa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IL-8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3.67 (2.60,4.44)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7.24 (5.40,16.57)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&lt;0.001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3.94 (2.98,5.17)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7.24 (5.40,16.57)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&lt;0.001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5" w:type="dxa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EGF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162.04 (86.60,331.07)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311.58 (209.78,510.16)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195.48 (120.63,295.57)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311.58 (209.78,510.16)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0.012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5" w:type="dxa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Fit-3 Ligand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78.03 (70.16,109.22)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67.53 (63.28,76.41)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0.027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70.22 (61.25,85.56)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67.53 (63.28,76.41)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5" w:type="dxa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G-CSF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13.93 (12.10,17.41)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15.46 (14.34,22.80)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0.018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23.27 (14.77,26.47)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15.46 (14.34,22.80)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5" w:type="dxa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GM-CSF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54.95 (46.80,111.17)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22.72 (20.44,27.32)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&lt;0.001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34.75 (24.80,43.25)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22.72 (20.44,27.32)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&lt;0.001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5" w:type="dxa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Granzyme B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33.33 (25.46,54.12)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126.27(80.77,171.03)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&lt;0.001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48.58(35.51,60.88)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126.27(80.77,171.03)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&lt;0.001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5" w:type="dxa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IFN-a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7.13 (6.24,9.20)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5.54 (5.36,6.23)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0.002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6.08 (4.93,7.22)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5.54 (5.36,6.23)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5" w:type="dxa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IFN-b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5.25 (4.32,5.56)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6.14 (5.87,6.41)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&lt;0.001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6.41 (4.87,7.36)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6.14 (5.87,6.41)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5" w:type="dxa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IL-10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157.24 (109.03,266.50)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79.76 (76.16,90.64)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&lt;0.001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141.44 (79.73,156.00)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79.76 (76.16,90.64)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0.006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5" w:type="dxa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IL-12p70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16.98 (15.79,18.18)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36.89 (35.11,41.01)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&lt;0.001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34.86 (29.12,39.55)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36.89 (35.11,41.01)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5" w:type="dxa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IL-15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3.16 (2.70,3.50)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5.61 (5.27,5.93)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&lt;0.001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4.51 (3.48,5.37)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5.61 (5.27,5.93)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&lt;0.001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5" w:type="dxa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IL-17A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6.06 (5.10,6.78)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7.44(7.44,7.57)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&lt;0.001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5.53 (4.16,7.57)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7.44 (7.44,7.57)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0.009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5" w:type="dxa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IL-17E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24.88 (21.58,34.53)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22.48 (21.50,27.04)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21.20 (17.05,24.61)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22.48 (21.50,27.04)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0.042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0.015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5" w:type="dxa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IL-1b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3.15 (2.66,3.84)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6.29 (5.51,7.42)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&lt;0.001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5.87 (3.23,7.21)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6.29 (5.51,7.42)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0.004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5" w:type="dxa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IL-1ra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214.45 (187.88,293.42)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96.58 (67.07,137.35)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&lt;0.001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229.33 (164.83,258.79)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96.58 (67.07,137.35)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&lt;0.001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5" w:type="dxa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IL-3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59.21 (51.27,62.84)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47.73 (42.60,50.54)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&lt;0.001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46.66 (40.48,53.82)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47.73 (42.60,50.54)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5" w:type="dxa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IL-33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15.24 (13.76,6.71)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16.81 (15.98,18.22)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0.027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15.57 (12.16,18.64)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16.81 (15.98,18.22)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5" w:type="dxa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IL-4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2.24 (2.08,2.48)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1.43 (1.43,1.49)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&lt;0.001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1.75 (1.25,2.10)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1.43 (1.43,1.49)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0.027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5" w:type="dxa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IL-5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3.14 (3.14,3.14)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4.81 (4.81,5.09)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&lt;0.001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3.41 (3.14,5.13)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4.81 (4.81,5.09)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0.014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5" w:type="dxa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PDGF-AB/BB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870.09 (341.91,1610.00)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150.45 (23.86,737.71)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0.020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585.29 (457.72,1111.00)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150.45 (23.86,737.71)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0.023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5" w:type="dxa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TGF-a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9.53 (8.24,13.85)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12.96 (12.30,14.52)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0.022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12.70 (8.57,14.21)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12.96 (12.30,14.52)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5" w:type="dxa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TNF-a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20.39 (20.39,22.02)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18.11 (17.41,19.35)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&lt;0.001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20.64 (15.13,23.38)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18.11 (17.41,19.35)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5" w:type="dxa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TRAIL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37.31 (34.59,42.69)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30.38 (28.38,38.37)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0.047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44.86 (34.97,50.77)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30.38 (28.38,38.37)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0.002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5" w:type="dxa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VEGF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60.56 (37.43,91.49)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69.19 (46.83,102.46)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38.36 (32.11,64.48)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69.19 (46.83,102.46)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0.012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5" w:type="dxa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FGF Basic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33.35 (30.30,38.73)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52.11 (32.07,63.73)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0.03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28.31 (20.57,38.36)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52.11 (32.07,63.73)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0.002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5" w:type="dxa"/>
        </w:trPr>
        <w:tc>
          <w:tcPr>
            <w:tcW w:w="1511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cs="Times New Roman"/>
                <w:b/>
                <w:bCs/>
                <w:color w:val="auto"/>
                <w:sz w:val="16"/>
                <w:szCs w:val="16"/>
              </w:rPr>
              <w:t>Fractalkine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533.57 (491.90,564.75)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418.89 (376.64,601.58)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449.03 (386.03,513.31)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418.89 (376.64,601.58)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NA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color w:val="auto"/>
                <w:sz w:val="16"/>
                <w:szCs w:val="16"/>
              </w:rPr>
            </w:pPr>
            <w:r>
              <w:rPr>
                <w:rFonts w:cs="Times New Roman"/>
                <w:color w:val="auto"/>
                <w:sz w:val="16"/>
                <w:szCs w:val="16"/>
              </w:rPr>
              <w:t>0.008</w:t>
            </w:r>
          </w:p>
        </w:tc>
      </w:tr>
      <w:bookmarkEnd w:id="0"/>
    </w:tbl>
    <w:p>
      <w:pPr>
        <w:spacing w:before="0" w:after="0"/>
        <w:rPr>
          <w:rFonts w:cs="Times New Roman"/>
          <w:b/>
          <w:bCs/>
          <w:sz w:val="21"/>
          <w:szCs w:val="21"/>
        </w:rPr>
      </w:pPr>
    </w:p>
    <w:p>
      <w:pPr>
        <w:spacing w:before="0" w:after="0" w:line="480" w:lineRule="auto"/>
        <w:rPr>
          <w:rFonts w:hint="eastAsia" w:eastAsia="宋体" w:cs="Times New Roman"/>
          <w:b/>
          <w:bCs/>
          <w:sz w:val="16"/>
          <w:szCs w:val="16"/>
          <w:lang w:val="en-US" w:eastAsia="zh-CN"/>
        </w:rPr>
      </w:pPr>
      <w:r>
        <w:rPr>
          <w:rFonts w:cs="Times New Roman"/>
          <w:b/>
          <w:bCs/>
          <w:sz w:val="16"/>
          <w:szCs w:val="16"/>
        </w:rPr>
        <w:t>Abbreviations: Early-cART, anti-HIV therapy initiated during acute infection; chronic-cART, anti-HIV therapy was not initiated until CD4&lt;350 cell/mm</w:t>
      </w:r>
      <w:r>
        <w:rPr>
          <w:rFonts w:cs="Times New Roman"/>
          <w:b/>
          <w:bCs/>
          <w:sz w:val="16"/>
          <w:szCs w:val="16"/>
          <w:vertAlign w:val="superscript"/>
        </w:rPr>
        <w:t>3</w:t>
      </w:r>
      <w:r>
        <w:rPr>
          <w:rFonts w:cs="Times New Roman"/>
          <w:b/>
          <w:bCs/>
          <w:sz w:val="16"/>
          <w:szCs w:val="16"/>
        </w:rPr>
        <w:t xml:space="preserve">. </w:t>
      </w:r>
      <w:r>
        <w:rPr>
          <w:rFonts w:hint="eastAsia" w:eastAsia="宋体" w:cs="Times New Roman"/>
          <w:b/>
          <w:bCs/>
          <w:sz w:val="16"/>
          <w:szCs w:val="16"/>
          <w:lang w:eastAsia="zh-CN"/>
        </w:rPr>
        <w:t xml:space="preserve">HC means </w:t>
      </w:r>
      <w:r>
        <w:rPr>
          <w:rFonts w:eastAsia="宋体" w:cs="Times New Roman"/>
          <w:b/>
          <w:bCs/>
          <w:sz w:val="16"/>
          <w:szCs w:val="16"/>
          <w:lang w:eastAsia="zh-CN"/>
        </w:rPr>
        <w:t>“</w:t>
      </w:r>
      <w:r>
        <w:rPr>
          <w:rFonts w:hint="eastAsia" w:eastAsia="宋体" w:cs="Times New Roman"/>
          <w:b/>
          <w:bCs/>
          <w:sz w:val="16"/>
          <w:szCs w:val="16"/>
          <w:lang w:eastAsia="zh-CN"/>
        </w:rPr>
        <w:t>Healthy Condition</w:t>
      </w:r>
      <w:r>
        <w:rPr>
          <w:rFonts w:eastAsia="宋体" w:cs="Times New Roman"/>
          <w:b/>
          <w:bCs/>
          <w:sz w:val="16"/>
          <w:szCs w:val="16"/>
          <w:lang w:eastAsia="zh-CN"/>
        </w:rPr>
        <w:t>”</w:t>
      </w:r>
      <w:r>
        <w:rPr>
          <w:rFonts w:hint="eastAsia" w:eastAsia="宋体" w:cs="Times New Roman"/>
          <w:b/>
          <w:bCs/>
          <w:sz w:val="16"/>
          <w:szCs w:val="16"/>
          <w:lang w:eastAsia="zh-CN"/>
        </w:rPr>
        <w:t xml:space="preserve">. </w:t>
      </w:r>
      <w:r>
        <w:rPr>
          <w:rFonts w:hint="eastAsia" w:eastAsia="宋体" w:cs="Times New Roman"/>
          <w:b/>
          <w:bCs/>
          <w:sz w:val="16"/>
          <w:szCs w:val="16"/>
          <w:lang w:val="en-US" w:eastAsia="zh-CN"/>
        </w:rPr>
        <w:t xml:space="preserve">Any statistical result showed insignificant change (P&gt;0.05) were replaced by </w:t>
      </w:r>
      <w:r>
        <w:rPr>
          <w:rFonts w:hint="default" w:eastAsia="宋体" w:cs="Times New Roman"/>
          <w:b/>
          <w:bCs/>
          <w:sz w:val="16"/>
          <w:szCs w:val="16"/>
          <w:lang w:val="en-US" w:eastAsia="zh-CN"/>
        </w:rPr>
        <w:t>“</w:t>
      </w:r>
      <w:r>
        <w:rPr>
          <w:rFonts w:hint="eastAsia" w:eastAsia="宋体" w:cs="Times New Roman"/>
          <w:b/>
          <w:bCs/>
          <w:sz w:val="16"/>
          <w:szCs w:val="16"/>
          <w:lang w:val="en-US" w:eastAsia="zh-CN"/>
        </w:rPr>
        <w:t>NA</w:t>
      </w:r>
      <w:r>
        <w:rPr>
          <w:rFonts w:hint="default" w:eastAsia="宋体" w:cs="Times New Roman"/>
          <w:b/>
          <w:bCs/>
          <w:sz w:val="16"/>
          <w:szCs w:val="16"/>
          <w:lang w:val="en-US" w:eastAsia="zh-CN"/>
        </w:rPr>
        <w:t>”</w:t>
      </w:r>
      <w:r>
        <w:rPr>
          <w:rFonts w:hint="eastAsia" w:eastAsia="宋体" w:cs="Times New Roman"/>
          <w:b/>
          <w:bCs/>
          <w:sz w:val="16"/>
          <w:szCs w:val="16"/>
          <w:lang w:val="en-US" w:eastAsia="zh-CN"/>
        </w:rPr>
        <w:t>.</w:t>
      </w:r>
    </w:p>
    <w:p>
      <w:pPr>
        <w:spacing w:before="0" w:after="0" w:line="480" w:lineRule="auto"/>
        <w:rPr>
          <w:rFonts w:hint="eastAsia" w:eastAsia="宋体" w:cs="Times New Roman"/>
          <w:b/>
          <w:bCs/>
          <w:sz w:val="16"/>
          <w:szCs w:val="16"/>
          <w:lang w:val="en-US" w:eastAsia="zh-CN"/>
        </w:rPr>
      </w:pPr>
    </w:p>
    <w:p>
      <w:pPr>
        <w:spacing w:before="0" w:after="0" w:line="480" w:lineRule="auto"/>
        <w:rPr>
          <w:rFonts w:hint="eastAsia" w:eastAsia="宋体" w:cs="Times New Roman"/>
          <w:b/>
          <w:bCs/>
          <w:sz w:val="16"/>
          <w:szCs w:val="16"/>
          <w:lang w:val="en-US" w:eastAsia="zh-CN"/>
        </w:rPr>
      </w:pPr>
    </w:p>
    <w:p>
      <w:pPr>
        <w:spacing w:before="0" w:after="0" w:line="480" w:lineRule="auto"/>
        <w:rPr>
          <w:rFonts w:hint="eastAsia" w:eastAsia="宋体" w:cs="Times New Roman"/>
          <w:b/>
          <w:bCs/>
          <w:sz w:val="16"/>
          <w:szCs w:val="16"/>
          <w:lang w:val="en-US" w:eastAsia="zh-CN"/>
        </w:rPr>
      </w:pPr>
    </w:p>
    <w:p>
      <w:pPr>
        <w:spacing w:before="0" w:after="0" w:line="480" w:lineRule="auto"/>
        <w:rPr>
          <w:rFonts w:hint="eastAsia" w:eastAsia="宋体" w:cs="Times New Roman"/>
          <w:b/>
          <w:bCs/>
          <w:sz w:val="16"/>
          <w:szCs w:val="16"/>
          <w:lang w:val="en-US" w:eastAsia="zh-CN"/>
        </w:rPr>
      </w:pPr>
    </w:p>
    <w:p>
      <w:pPr>
        <w:spacing w:before="0" w:after="0" w:line="480" w:lineRule="auto"/>
        <w:rPr>
          <w:rFonts w:cs="Times New Roman"/>
          <w:b/>
          <w:bCs/>
          <w:sz w:val="16"/>
          <w:szCs w:val="16"/>
          <w:lang w:eastAsia="zh-CN"/>
        </w:rPr>
      </w:pPr>
      <w:r>
        <w:rPr>
          <w:rFonts w:cs="Times New Roman"/>
          <w:b/>
          <w:bCs/>
          <w:sz w:val="16"/>
          <w:szCs w:val="16"/>
          <w:lang w:eastAsia="zh-CN"/>
        </w:rPr>
        <w:t>Table S2.</w:t>
      </w:r>
      <w:r>
        <w:rPr>
          <w:rFonts w:cs="Times New Roman"/>
          <w:b/>
          <w:bCs/>
          <w:sz w:val="16"/>
          <w:szCs w:val="16"/>
        </w:rPr>
        <w:t xml:space="preserve"> Variation</w:t>
      </w:r>
      <w:r>
        <w:rPr>
          <w:rFonts w:hint="eastAsia" w:eastAsia="宋体" w:cs="Times New Roman"/>
          <w:b/>
          <w:bCs/>
          <w:sz w:val="16"/>
          <w:szCs w:val="16"/>
          <w:lang w:eastAsia="zh-CN"/>
        </w:rPr>
        <w:t>s</w:t>
      </w:r>
      <w:r>
        <w:rPr>
          <w:rFonts w:cs="Times New Roman"/>
          <w:b/>
          <w:bCs/>
          <w:sz w:val="16"/>
          <w:szCs w:val="16"/>
        </w:rPr>
        <w:t xml:space="preserve"> in </w:t>
      </w:r>
      <w:r>
        <w:rPr>
          <w:rFonts w:cs="Times New Roman"/>
          <w:b/>
          <w:bCs/>
          <w:sz w:val="16"/>
          <w:szCs w:val="16"/>
          <w:lang w:eastAsia="zh-CN"/>
        </w:rPr>
        <w:t xml:space="preserve">cytokine levels </w:t>
      </w:r>
      <w:r>
        <w:rPr>
          <w:rFonts w:hint="eastAsia" w:cs="Times New Roman"/>
          <w:b/>
          <w:bCs/>
          <w:sz w:val="16"/>
          <w:szCs w:val="16"/>
          <w:lang w:eastAsia="zh-CN"/>
        </w:rPr>
        <w:t>from 0w to 96w</w:t>
      </w:r>
      <w:r>
        <w:rPr>
          <w:rFonts w:cs="Times New Roman"/>
          <w:b/>
          <w:bCs/>
          <w:sz w:val="16"/>
          <w:szCs w:val="16"/>
          <w:lang w:eastAsia="zh-CN"/>
        </w:rPr>
        <w:t xml:space="preserve"> (ungrouped*).</w:t>
      </w:r>
    </w:p>
    <w:tbl>
      <w:tblPr>
        <w:tblStyle w:val="2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6" w:hRule="atLeast"/>
        </w:trPr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IL-1ra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β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Standard error</w:t>
            </w:r>
          </w:p>
        </w:tc>
        <w:tc>
          <w:tcPr>
            <w:tcW w:w="284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95% CI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i/>
                <w:iCs/>
                <w:sz w:val="16"/>
                <w:szCs w:val="16"/>
                <w:lang w:eastAsia="zh-CN"/>
              </w:rPr>
              <w:t>P-</w:t>
            </w:r>
            <w:r>
              <w:rPr>
                <w:rFonts w:cs="Times New Roman"/>
                <w:sz w:val="16"/>
                <w:szCs w:val="16"/>
                <w:lang w:eastAsia="zh-CN"/>
              </w:rPr>
              <w:t>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Intercept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79.863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56.714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-31.295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191.021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0.159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Early-cART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353.942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136.867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85.688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622.197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Chronic-cART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</w:t>
            </w:r>
            <w:r>
              <w:rPr>
                <w:rFonts w:cs="Times New Roman"/>
                <w:sz w:val="16"/>
                <w:szCs w:val="16"/>
                <w:vertAlign w:val="superscript"/>
                <w:lang w:eastAsia="zh-CN"/>
              </w:rPr>
              <w:t>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96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-54.208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22.848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-98.989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-9.427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48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4.753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24.078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-42.439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51.945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0.844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24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-56.335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22.016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-99.486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-13.185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</w:t>
            </w:r>
            <w:r>
              <w:rPr>
                <w:rFonts w:cs="Times New Roman"/>
                <w:sz w:val="16"/>
                <w:szCs w:val="16"/>
                <w:vertAlign w:val="superscript"/>
                <w:lang w:eastAsia="zh-CN"/>
              </w:rPr>
              <w:t>a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TRAIL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β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Standard error</w:t>
            </w:r>
          </w:p>
        </w:tc>
        <w:tc>
          <w:tcPr>
            <w:tcW w:w="284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95% CI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Intercept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42.286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1.903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38.556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46.016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Early-cART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-4.477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2.19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-8.769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-0.184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kern w:val="2"/>
                <w:sz w:val="16"/>
                <w:szCs w:val="16"/>
                <w:lang w:eastAsia="zh-CN"/>
              </w:rPr>
              <w:t>Chronic-cART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</w:t>
            </w:r>
            <w:r>
              <w:rPr>
                <w:rFonts w:cs="Times New Roman"/>
                <w:sz w:val="16"/>
                <w:szCs w:val="16"/>
                <w:vertAlign w:val="superscript"/>
                <w:lang w:eastAsia="zh-CN"/>
              </w:rPr>
              <w:t>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96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-5.190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1.42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-7.973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-2.408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48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-1.095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1.429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-3.895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1.704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0.443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24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-3.955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1.56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-7.013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-0.897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</w:t>
            </w:r>
            <w:r>
              <w:rPr>
                <w:rFonts w:cs="Times New Roman"/>
                <w:sz w:val="16"/>
                <w:szCs w:val="16"/>
                <w:vertAlign w:val="superscript"/>
                <w:lang w:eastAsia="zh-CN"/>
              </w:rPr>
              <w:t>a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Eotaxin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β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Standard error</w:t>
            </w:r>
          </w:p>
        </w:tc>
        <w:tc>
          <w:tcPr>
            <w:tcW w:w="284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95% CI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Intercept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90.088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5.449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79.408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100.768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Early-cART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12.996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9.678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-5.973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31.966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0.179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kern w:val="2"/>
                <w:sz w:val="16"/>
                <w:szCs w:val="16"/>
                <w:lang w:eastAsia="zh-CN"/>
              </w:rPr>
              <w:t>Chronic-cART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</w:t>
            </w:r>
            <w:r>
              <w:rPr>
                <w:rFonts w:cs="Times New Roman"/>
                <w:sz w:val="16"/>
                <w:szCs w:val="16"/>
                <w:vertAlign w:val="superscript"/>
                <w:lang w:eastAsia="zh-CN"/>
              </w:rPr>
              <w:t>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96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14.255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5.705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3.074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25.436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48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8.860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4.534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-0.027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17.746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24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7.293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5.465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-3.418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18.005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</w:t>
            </w:r>
            <w:r>
              <w:rPr>
                <w:rFonts w:cs="Times New Roman"/>
                <w:sz w:val="16"/>
                <w:szCs w:val="16"/>
                <w:vertAlign w:val="superscript"/>
                <w:lang w:eastAsia="zh-CN"/>
              </w:rPr>
              <w:t>a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MIP-3b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β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Standard error</w:t>
            </w:r>
          </w:p>
        </w:tc>
        <w:tc>
          <w:tcPr>
            <w:tcW w:w="284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95% CI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Intercept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108.542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10.494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87.973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129.11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Early-cART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9.354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10.726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-11.668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30.376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0.383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kern w:val="2"/>
                <w:sz w:val="16"/>
                <w:szCs w:val="16"/>
                <w:lang w:eastAsia="zh-CN"/>
              </w:rPr>
              <w:t>Chronic-cART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</w:t>
            </w:r>
            <w:r>
              <w:rPr>
                <w:rFonts w:cs="Times New Roman"/>
                <w:sz w:val="16"/>
                <w:szCs w:val="16"/>
                <w:vertAlign w:val="superscript"/>
                <w:lang w:eastAsia="zh-CN"/>
              </w:rPr>
              <w:t>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96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-62.63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9.803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-81.844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-43.416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48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-48.695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10.956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-70.168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-27.221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24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-54.654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11.02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-76.253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-33.055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</w:t>
            </w:r>
            <w:r>
              <w:rPr>
                <w:rFonts w:cs="Times New Roman"/>
                <w:sz w:val="16"/>
                <w:szCs w:val="16"/>
                <w:vertAlign w:val="superscript"/>
                <w:lang w:eastAsia="zh-CN"/>
              </w:rPr>
              <w:t>a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Fractalkine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β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Standard error</w:t>
            </w:r>
          </w:p>
        </w:tc>
        <w:tc>
          <w:tcPr>
            <w:tcW w:w="284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95% CI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Intercept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477.733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24.727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429.268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526.198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Early-cART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42.026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27.068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-11.025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95.078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kern w:val="2"/>
                <w:sz w:val="16"/>
                <w:szCs w:val="16"/>
                <w:lang w:eastAsia="zh-CN"/>
              </w:rPr>
              <w:t>Chronic-cART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</w:t>
            </w:r>
            <w:r>
              <w:rPr>
                <w:rFonts w:cs="Times New Roman"/>
                <w:sz w:val="16"/>
                <w:szCs w:val="16"/>
                <w:vertAlign w:val="superscript"/>
                <w:lang w:eastAsia="zh-CN"/>
              </w:rPr>
              <w:t>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96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-59.018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23.217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-104.522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-13.515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48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8.226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29.379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-49.355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65.808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0.779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24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-51.475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25.4415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-101.338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-1.609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</w:t>
            </w:r>
            <w:r>
              <w:rPr>
                <w:rFonts w:cs="Times New Roman"/>
                <w:sz w:val="16"/>
                <w:szCs w:val="16"/>
                <w:vertAlign w:val="superscript"/>
                <w:lang w:eastAsia="zh-CN"/>
              </w:rPr>
              <w:t>a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IP-10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β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Standard error</w:t>
            </w:r>
          </w:p>
        </w:tc>
        <w:tc>
          <w:tcPr>
            <w:tcW w:w="284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95% CI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Intercept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175.037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30.1235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115.996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234.078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Early-cART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17.311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18.8154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-19.567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54.188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0.358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kern w:val="2"/>
                <w:sz w:val="16"/>
                <w:szCs w:val="16"/>
                <w:lang w:eastAsia="zh-CN"/>
              </w:rPr>
              <w:t>Chronic-cART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</w:t>
            </w:r>
            <w:r>
              <w:rPr>
                <w:rFonts w:cs="Times New Roman"/>
                <w:sz w:val="16"/>
                <w:szCs w:val="16"/>
                <w:vertAlign w:val="superscript"/>
                <w:lang w:eastAsia="zh-CN"/>
              </w:rPr>
              <w:t>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96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-128.665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34.8855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-197.039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-60.291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48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-101.133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36.3885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-172.453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-29.813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24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-116.153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36.3432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-187.384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-44.922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</w:t>
            </w:r>
            <w:r>
              <w:rPr>
                <w:rFonts w:cs="Times New Roman"/>
                <w:sz w:val="16"/>
                <w:szCs w:val="16"/>
                <w:vertAlign w:val="superscript"/>
                <w:lang w:eastAsia="zh-CN"/>
              </w:rPr>
              <w:t>a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Fit-3 Ligand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β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Standard error</w:t>
            </w:r>
          </w:p>
        </w:tc>
        <w:tc>
          <w:tcPr>
            <w:tcW w:w="284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95% CI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Intercept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74.966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4.6011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65.948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83.984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Early-cART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9.936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5.9547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-1.735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21.606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kern w:val="2"/>
                <w:sz w:val="16"/>
                <w:szCs w:val="16"/>
                <w:lang w:eastAsia="zh-CN"/>
              </w:rPr>
              <w:t>Chronic-cART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</w:t>
            </w:r>
            <w:r>
              <w:rPr>
                <w:rFonts w:cs="Times New Roman"/>
                <w:sz w:val="16"/>
                <w:szCs w:val="16"/>
                <w:vertAlign w:val="superscript"/>
                <w:lang w:eastAsia="zh-CN"/>
              </w:rPr>
              <w:t>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96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-14.236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4.5468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-23.147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-5.324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48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-4.219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4.4460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-12.933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4.495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0.343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24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-9.159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4.2194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-17.429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-0.889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</w:t>
            </w:r>
            <w:r>
              <w:rPr>
                <w:rFonts w:cs="Times New Roman"/>
                <w:sz w:val="16"/>
                <w:szCs w:val="16"/>
                <w:vertAlign w:val="superscript"/>
                <w:lang w:eastAsia="zh-CN"/>
              </w:rPr>
              <w:t>a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GM-CSF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β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Standard error</w:t>
            </w:r>
          </w:p>
        </w:tc>
        <w:tc>
          <w:tcPr>
            <w:tcW w:w="284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95% CI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Intercept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78.006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22.0148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34.858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121.154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Early-cART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-49.728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36.2676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-120.811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21.356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0.170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kern w:val="2"/>
                <w:sz w:val="16"/>
                <w:szCs w:val="16"/>
                <w:lang w:eastAsia="zh-CN"/>
              </w:rPr>
              <w:t>Chronic-cART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</w:t>
            </w:r>
            <w:r>
              <w:rPr>
                <w:rFonts w:cs="Times New Roman"/>
                <w:sz w:val="16"/>
                <w:szCs w:val="16"/>
                <w:vertAlign w:val="superscript"/>
                <w:lang w:eastAsia="zh-CN"/>
              </w:rPr>
              <w:t>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96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-20.913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6.1067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-32.882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-8.944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48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-18.728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5.8798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-30.252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-7.203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24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-23.959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5.7890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-35.305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-12.612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</w:t>
            </w:r>
            <w:r>
              <w:rPr>
                <w:rFonts w:cs="Times New Roman"/>
                <w:sz w:val="16"/>
                <w:szCs w:val="16"/>
                <w:vertAlign w:val="superscript"/>
                <w:lang w:eastAsia="zh-CN"/>
              </w:rPr>
              <w:t>a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Granzyme B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β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Standard error</w:t>
            </w:r>
          </w:p>
        </w:tc>
        <w:tc>
          <w:tcPr>
            <w:tcW w:w="284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95% CI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Intercept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74.693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13.7260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47.791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101.596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Early-cART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-7.946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11.8977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-31.265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15.373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0.504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kern w:val="2"/>
                <w:sz w:val="16"/>
                <w:szCs w:val="16"/>
                <w:lang w:eastAsia="zh-CN"/>
              </w:rPr>
              <w:t>Chronic-cART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</w:t>
            </w:r>
            <w:r>
              <w:rPr>
                <w:rFonts w:cs="Times New Roman"/>
                <w:sz w:val="16"/>
                <w:szCs w:val="16"/>
                <w:vertAlign w:val="superscript"/>
                <w:lang w:eastAsia="zh-CN"/>
              </w:rPr>
              <w:t>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96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-31.559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15.9189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-62.760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-0.359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48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-7.251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19.5643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-45.596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31.095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0.711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24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-24.143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16.2729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-56.038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7.751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0.138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</w:t>
            </w:r>
            <w:r>
              <w:rPr>
                <w:rFonts w:cs="Times New Roman"/>
                <w:sz w:val="16"/>
                <w:szCs w:val="16"/>
                <w:vertAlign w:val="superscript"/>
                <w:lang w:eastAsia="zh-CN"/>
              </w:rPr>
              <w:t>a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IL-10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β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Standard error</w:t>
            </w:r>
          </w:p>
        </w:tc>
        <w:tc>
          <w:tcPr>
            <w:tcW w:w="284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95% CI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Intercept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158.224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14.4961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129.812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186.636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Early-cART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7.904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9.8237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-11.350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27.158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0.421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kern w:val="2"/>
                <w:sz w:val="16"/>
                <w:szCs w:val="16"/>
                <w:lang w:eastAsia="zh-CN"/>
              </w:rPr>
              <w:t>Chronic-cART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</w:t>
            </w:r>
            <w:r>
              <w:rPr>
                <w:rFonts w:cs="Times New Roman"/>
                <w:sz w:val="16"/>
                <w:szCs w:val="16"/>
                <w:vertAlign w:val="superscript"/>
                <w:lang w:eastAsia="zh-CN"/>
              </w:rPr>
              <w:t>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96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-69.345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14.8547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-98.460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-40.231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48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-58.847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15.9462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-90.101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-27.593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24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-69.331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15.9306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-100.555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-38.108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</w:t>
            </w:r>
            <w:r>
              <w:rPr>
                <w:rFonts w:cs="Times New Roman"/>
                <w:sz w:val="16"/>
                <w:szCs w:val="16"/>
                <w:vertAlign w:val="superscript"/>
                <w:lang w:eastAsia="zh-CN"/>
              </w:rPr>
              <w:t>a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TNF-a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β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Standard error</w:t>
            </w:r>
          </w:p>
        </w:tc>
        <w:tc>
          <w:tcPr>
            <w:tcW w:w="284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95% CI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Intercept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19.823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1.1401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17.589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22.058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Early-cART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1.470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1.1189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-0.723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3.663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0.189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kern w:val="2"/>
                <w:sz w:val="16"/>
                <w:szCs w:val="16"/>
                <w:lang w:eastAsia="zh-CN"/>
              </w:rPr>
              <w:t>Chronic-cART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</w:t>
            </w:r>
            <w:r>
              <w:rPr>
                <w:rFonts w:cs="Times New Roman"/>
                <w:sz w:val="16"/>
                <w:szCs w:val="16"/>
                <w:vertAlign w:val="superscript"/>
                <w:lang w:eastAsia="zh-CN"/>
              </w:rPr>
              <w:t>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96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-2.076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0.5449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-3.144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-1.008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48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-1.485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0.6245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-2.709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-0.261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 24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-1.705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0.5945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-2.870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-0.539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</w:t>
            </w:r>
            <w:r>
              <w:rPr>
                <w:rFonts w:cs="Times New Roman"/>
                <w:sz w:val="16"/>
                <w:szCs w:val="16"/>
                <w:vertAlign w:val="superscript"/>
                <w:lang w:eastAsia="zh-CN"/>
              </w:rPr>
              <w:t>a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IL-1a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β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Standard error</w:t>
            </w:r>
          </w:p>
        </w:tc>
        <w:tc>
          <w:tcPr>
            <w:tcW w:w="284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95% CI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Intercept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15.694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0.9822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13.769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17.619</w:t>
            </w:r>
          </w:p>
        </w:tc>
        <w:tc>
          <w:tcPr>
            <w:tcW w:w="1421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Early-cART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-0.128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1.1262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-2.335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2.079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0.909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kern w:val="2"/>
                <w:sz w:val="16"/>
                <w:szCs w:val="16"/>
                <w:lang w:eastAsia="zh-CN"/>
              </w:rPr>
              <w:t>Chronic-cART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</w:t>
            </w:r>
            <w:r>
              <w:rPr>
                <w:rFonts w:cs="Times New Roman"/>
                <w:sz w:val="16"/>
                <w:szCs w:val="16"/>
                <w:vertAlign w:val="superscript"/>
                <w:lang w:eastAsia="zh-CN"/>
              </w:rPr>
              <w:t>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96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-1.534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0.6788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-2.865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-0.204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48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-1.284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0.7207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-2.696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0.129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24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-2.332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0.7816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-3.864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-0.800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0.003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  <w:lang w:eastAsia="zh-CN"/>
              </w:rPr>
              <w:t>Week 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CN"/>
              </w:rPr>
              <w:t>0</w:t>
            </w:r>
            <w:r>
              <w:rPr>
                <w:rFonts w:cs="Times New Roman"/>
                <w:sz w:val="16"/>
                <w:szCs w:val="16"/>
                <w:vertAlign w:val="superscript"/>
                <w:lang w:eastAsia="zh-CN"/>
              </w:rPr>
              <w:t>a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</w:tr>
    </w:tbl>
    <w:p>
      <w:pPr>
        <w:spacing w:before="0" w:after="0" w:line="480" w:lineRule="auto"/>
        <w:rPr>
          <w:rFonts w:cs="Times New Roman"/>
          <w:b/>
          <w:bCs/>
          <w:sz w:val="18"/>
          <w:szCs w:val="18"/>
        </w:rPr>
      </w:pPr>
    </w:p>
    <w:p>
      <w:pPr>
        <w:spacing w:before="0" w:after="0" w:line="480" w:lineRule="auto"/>
        <w:rPr>
          <w:rFonts w:cs="Times New Roman"/>
          <w:sz w:val="18"/>
          <w:szCs w:val="18"/>
        </w:rPr>
      </w:pPr>
      <w:r>
        <w:rPr>
          <w:rFonts w:cs="Times New Roman"/>
          <w:b/>
          <w:bCs/>
          <w:sz w:val="16"/>
          <w:szCs w:val="16"/>
        </w:rPr>
        <w:t>Abbreviations: ungrouped</w:t>
      </w:r>
      <w:r>
        <w:rPr>
          <w:rFonts w:cs="Times New Roman"/>
          <w:b/>
          <w:bCs/>
          <w:sz w:val="16"/>
          <w:szCs w:val="16"/>
          <w:lang w:eastAsia="zh-CN"/>
        </w:rPr>
        <w:t xml:space="preserve">*,33 patients from both early and delayed treatment were included to demonstrate the gross impact </w:t>
      </w:r>
      <w:r>
        <w:rPr>
          <w:rFonts w:cs="Times New Roman"/>
          <w:b/>
          <w:bCs/>
          <w:sz w:val="16"/>
          <w:szCs w:val="16"/>
        </w:rPr>
        <w:t>of</w:t>
      </w:r>
      <w:r>
        <w:rPr>
          <w:rFonts w:cs="Times New Roman"/>
          <w:b/>
          <w:bCs/>
          <w:sz w:val="16"/>
          <w:szCs w:val="16"/>
          <w:lang w:eastAsia="zh-CN"/>
        </w:rPr>
        <w:t xml:space="preserve"> long-term antiretroviral therapy ART. Generalized estimating equation (GEE) was used to record the gross </w:t>
      </w:r>
      <w:r>
        <w:rPr>
          <w:rFonts w:cs="Times New Roman"/>
          <w:b/>
          <w:bCs/>
          <w:sz w:val="16"/>
          <w:szCs w:val="16"/>
        </w:rPr>
        <w:t>effect. All</w:t>
      </w:r>
      <w:r>
        <w:rPr>
          <w:rFonts w:cs="Times New Roman"/>
          <w:b/>
          <w:bCs/>
          <w:sz w:val="16"/>
          <w:szCs w:val="16"/>
          <w:lang w:eastAsia="zh-CN"/>
        </w:rPr>
        <w:t xml:space="preserve"> </w:t>
      </w:r>
      <w:r>
        <w:rPr>
          <w:rFonts w:eastAsia="Calibri" w:cs="Times New Roman"/>
          <w:b/>
          <w:bCs/>
          <w:sz w:val="16"/>
          <w:szCs w:val="16"/>
          <w:lang w:eastAsia="zh-CN"/>
        </w:rPr>
        <w:t>cytokines with significant changes</w:t>
      </w:r>
      <w:r>
        <w:rPr>
          <w:rFonts w:hint="eastAsia" w:eastAsia="Calibri" w:cs="Times New Roman"/>
          <w:b/>
          <w:bCs/>
          <w:sz w:val="16"/>
          <w:szCs w:val="16"/>
          <w:lang w:val="en-US" w:eastAsia="zh-CN"/>
        </w:rPr>
        <w:t xml:space="preserve"> (P&lt;0.05)</w:t>
      </w:r>
      <w:r>
        <w:rPr>
          <w:rFonts w:eastAsia="Calibri" w:cs="Times New Roman"/>
          <w:b/>
          <w:bCs/>
          <w:sz w:val="16"/>
          <w:szCs w:val="16"/>
          <w:lang w:eastAsia="zh-CN"/>
        </w:rPr>
        <w:t xml:space="preserve"> in their levels are shown above.</w:t>
      </w:r>
      <w:r>
        <w:rPr>
          <w:rFonts w:eastAsia="Calibri" w:cs="Times New Roman"/>
          <w:b/>
          <w:bCs/>
          <w:sz w:val="18"/>
          <w:szCs w:val="18"/>
          <w:lang w:eastAsia="zh-CN"/>
        </w:rPr>
        <w:t xml:space="preserve"> </w:t>
      </w:r>
    </w:p>
    <w:p>
      <w:pPr>
        <w:spacing w:before="0" w:after="0" w:line="480" w:lineRule="auto"/>
        <w:rPr>
          <w:rFonts w:hint="eastAsia" w:cs="Times New Roman"/>
          <w:b/>
          <w:bCs/>
          <w:sz w:val="21"/>
          <w:szCs w:val="21"/>
          <w:lang w:val="en-US" w:eastAsia="zh-CN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  <w:bookmarkStart w:id="1" w:name="_GoBack"/>
      <w:bookmarkEnd w:id="1"/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p>
      <w:pPr>
        <w:spacing w:before="0" w:after="0"/>
        <w:rPr>
          <w:rFonts w:cs="Times New Roman"/>
          <w:sz w:val="21"/>
          <w:szCs w:val="21"/>
        </w:rPr>
      </w:pPr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2240" w:h="15840"/>
      <w:pgMar w:top="1138" w:right="1181" w:bottom="1138" w:left="1282" w:header="720" w:footer="720" w:gutter="0"/>
      <w:cols w:space="720" w:num="1"/>
      <w:titlePg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cs="Times New Roman"/>
      </w:rPr>
    </w:pPr>
    <w:r>
      <w:ptab w:relativeTo="margin" w:alignment="center" w:leader="none"/>
    </w:r>
    <w:r>
      <w:ptab w:relativeTo="margin" w:alignment="right" w:leader="none"/>
    </w:r>
    <w:r>
      <w:rPr>
        <w:rFonts w:cs="Times New Roman"/>
      </w:rPr>
      <w:t>Supplementary Material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rFonts w:hint="eastAsia" w:eastAsia="宋体"/>
        <w:sz w:val="21"/>
        <w:szCs w:val="21"/>
        <w:lang w:eastAsia="zh-CN"/>
      </w:rPr>
      <w:t>Li et al.</w:t>
    </w:r>
    <w:r>
      <w:rPr>
        <w:rFonts w:hint="eastAsia" w:eastAsia="宋体"/>
        <w:sz w:val="21"/>
        <w:szCs w:val="21"/>
        <w:lang w:val="en-US" w:eastAsia="zh-CN"/>
      </w:rPr>
      <w:t xml:space="preserve"> BMC Infectious Deseases</w:t>
    </w:r>
    <w: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C0601A"/>
    <w:multiLevelType w:val="multilevel"/>
    <w:tmpl w:val="1EC0601A"/>
    <w:lvl w:ilvl="0" w:tentative="0">
      <w:start w:val="1"/>
      <w:numFmt w:val="decimal"/>
      <w:pStyle w:val="2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pStyle w:val="6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pStyle w:val="7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>
    <w:nsid w:val="225305B5"/>
    <w:multiLevelType w:val="multilevel"/>
    <w:tmpl w:val="225305B5"/>
    <w:lvl w:ilvl="0" w:tentative="0">
      <w:start w:val="1"/>
      <w:numFmt w:val="bullet"/>
      <w:pStyle w:val="3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attachedTemplate r:id="rId1"/>
  <w:trackRevisions w:val="1"/>
  <w:documentProtection w:enforcement="0"/>
  <w:defaultTabStop w:val="720"/>
  <w:evenAndOddHeaders w:val="1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0B5"/>
    <w:rsid w:val="0001436A"/>
    <w:rsid w:val="00034304"/>
    <w:rsid w:val="00035434"/>
    <w:rsid w:val="00052A14"/>
    <w:rsid w:val="00056836"/>
    <w:rsid w:val="00077D53"/>
    <w:rsid w:val="000A631D"/>
    <w:rsid w:val="001050FD"/>
    <w:rsid w:val="00105FD9"/>
    <w:rsid w:val="00117666"/>
    <w:rsid w:val="001549D3"/>
    <w:rsid w:val="0015782E"/>
    <w:rsid w:val="00160065"/>
    <w:rsid w:val="00177D84"/>
    <w:rsid w:val="001D4CA8"/>
    <w:rsid w:val="00207DE7"/>
    <w:rsid w:val="0022599D"/>
    <w:rsid w:val="00267D18"/>
    <w:rsid w:val="00274347"/>
    <w:rsid w:val="002868E2"/>
    <w:rsid w:val="002869C3"/>
    <w:rsid w:val="002936E4"/>
    <w:rsid w:val="00296FE7"/>
    <w:rsid w:val="002B4A57"/>
    <w:rsid w:val="002C2AC0"/>
    <w:rsid w:val="002C74CA"/>
    <w:rsid w:val="003123F4"/>
    <w:rsid w:val="003544FB"/>
    <w:rsid w:val="003778D7"/>
    <w:rsid w:val="00390A3E"/>
    <w:rsid w:val="003D2F2D"/>
    <w:rsid w:val="003E680E"/>
    <w:rsid w:val="003E6926"/>
    <w:rsid w:val="00401590"/>
    <w:rsid w:val="00410B33"/>
    <w:rsid w:val="00447801"/>
    <w:rsid w:val="00452E9C"/>
    <w:rsid w:val="004575ED"/>
    <w:rsid w:val="004735C8"/>
    <w:rsid w:val="004753F6"/>
    <w:rsid w:val="004947A6"/>
    <w:rsid w:val="004961FF"/>
    <w:rsid w:val="005155F9"/>
    <w:rsid w:val="00517A89"/>
    <w:rsid w:val="005250F2"/>
    <w:rsid w:val="00573571"/>
    <w:rsid w:val="00593EEA"/>
    <w:rsid w:val="005A5EEE"/>
    <w:rsid w:val="005E4851"/>
    <w:rsid w:val="00615C59"/>
    <w:rsid w:val="006375C7"/>
    <w:rsid w:val="00654E8F"/>
    <w:rsid w:val="00660D05"/>
    <w:rsid w:val="006820B1"/>
    <w:rsid w:val="00697F36"/>
    <w:rsid w:val="006B7D14"/>
    <w:rsid w:val="006E3BC5"/>
    <w:rsid w:val="006F66FB"/>
    <w:rsid w:val="00701727"/>
    <w:rsid w:val="0070566C"/>
    <w:rsid w:val="00714C50"/>
    <w:rsid w:val="00725A7D"/>
    <w:rsid w:val="0074583C"/>
    <w:rsid w:val="007464BF"/>
    <w:rsid w:val="007501BE"/>
    <w:rsid w:val="00784F52"/>
    <w:rsid w:val="00790BB3"/>
    <w:rsid w:val="007C1DD9"/>
    <w:rsid w:val="007C206C"/>
    <w:rsid w:val="00817DD6"/>
    <w:rsid w:val="0083759F"/>
    <w:rsid w:val="00885156"/>
    <w:rsid w:val="008A4F34"/>
    <w:rsid w:val="0091061A"/>
    <w:rsid w:val="009151AA"/>
    <w:rsid w:val="0093429D"/>
    <w:rsid w:val="00943573"/>
    <w:rsid w:val="00964134"/>
    <w:rsid w:val="00970F7D"/>
    <w:rsid w:val="009806F8"/>
    <w:rsid w:val="00987A54"/>
    <w:rsid w:val="00994A3D"/>
    <w:rsid w:val="009C2B12"/>
    <w:rsid w:val="00A174D9"/>
    <w:rsid w:val="00A24271"/>
    <w:rsid w:val="00AA4D24"/>
    <w:rsid w:val="00AB6715"/>
    <w:rsid w:val="00AF415D"/>
    <w:rsid w:val="00B02F96"/>
    <w:rsid w:val="00B068CA"/>
    <w:rsid w:val="00B1671E"/>
    <w:rsid w:val="00B25EB8"/>
    <w:rsid w:val="00B37F4D"/>
    <w:rsid w:val="00B42B97"/>
    <w:rsid w:val="00B869A9"/>
    <w:rsid w:val="00BF542F"/>
    <w:rsid w:val="00C03D20"/>
    <w:rsid w:val="00C2285C"/>
    <w:rsid w:val="00C52A7B"/>
    <w:rsid w:val="00C56BAF"/>
    <w:rsid w:val="00C679AA"/>
    <w:rsid w:val="00C70411"/>
    <w:rsid w:val="00C75972"/>
    <w:rsid w:val="00CC3DC2"/>
    <w:rsid w:val="00CD066B"/>
    <w:rsid w:val="00CE4FEE"/>
    <w:rsid w:val="00D060CF"/>
    <w:rsid w:val="00D214EB"/>
    <w:rsid w:val="00D61C48"/>
    <w:rsid w:val="00D64FE2"/>
    <w:rsid w:val="00D847FA"/>
    <w:rsid w:val="00DB59C3"/>
    <w:rsid w:val="00DC259A"/>
    <w:rsid w:val="00DD0698"/>
    <w:rsid w:val="00DE23E8"/>
    <w:rsid w:val="00DE5F92"/>
    <w:rsid w:val="00DF6B39"/>
    <w:rsid w:val="00E34F67"/>
    <w:rsid w:val="00E52377"/>
    <w:rsid w:val="00E537AD"/>
    <w:rsid w:val="00E64E17"/>
    <w:rsid w:val="00E866C9"/>
    <w:rsid w:val="00EA3D3C"/>
    <w:rsid w:val="00EC090A"/>
    <w:rsid w:val="00ED20B5"/>
    <w:rsid w:val="00F15221"/>
    <w:rsid w:val="00F46900"/>
    <w:rsid w:val="00F61D89"/>
    <w:rsid w:val="00F74EEE"/>
    <w:rsid w:val="00FD2432"/>
    <w:rsid w:val="00FD5B97"/>
    <w:rsid w:val="00FE1D90"/>
    <w:rsid w:val="01A23BC6"/>
    <w:rsid w:val="0C880B84"/>
    <w:rsid w:val="11091B7F"/>
    <w:rsid w:val="15975C1B"/>
    <w:rsid w:val="1C924E4C"/>
    <w:rsid w:val="1F14505C"/>
    <w:rsid w:val="288B6481"/>
    <w:rsid w:val="2D2E1CA6"/>
    <w:rsid w:val="2DC12601"/>
    <w:rsid w:val="3214796D"/>
    <w:rsid w:val="43B27A95"/>
    <w:rsid w:val="446735A0"/>
    <w:rsid w:val="4F5E463C"/>
    <w:rsid w:val="5A093638"/>
    <w:rsid w:val="5EEB3ACF"/>
    <w:rsid w:val="63600629"/>
    <w:rsid w:val="74426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nhideWhenUsed="0" w:uiPriority="2" w:semiHidden="0" w:name="heading 2"/>
    <w:lsdException w:qFormat="1" w:unhideWhenUsed="0" w:uiPriority="2" w:semiHidden="0" w:name="heading 3"/>
    <w:lsdException w:qFormat="1" w:unhideWhenUsed="0" w:uiPriority="2" w:semiHidden="0" w:name="heading 4"/>
    <w:lsdException w:qFormat="1" w:unhideWhenUsed="0" w:uiPriority="2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0" w:name="annotation reference"/>
    <w:lsdException w:qFormat="1"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qFormat="1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paragraph" w:styleId="2">
    <w:name w:val="heading 1"/>
    <w:basedOn w:val="3"/>
    <w:next w:val="1"/>
    <w:link w:val="31"/>
    <w:qFormat/>
    <w:uiPriority w:val="2"/>
    <w:pPr>
      <w:numPr>
        <w:ilvl w:val="0"/>
        <w:numId w:val="1"/>
      </w:numPr>
      <w:spacing w:before="240"/>
      <w:contextualSpacing w:val="0"/>
      <w:outlineLvl w:val="0"/>
    </w:pPr>
    <w:rPr>
      <w:b/>
    </w:rPr>
  </w:style>
  <w:style w:type="paragraph" w:styleId="4">
    <w:name w:val="heading 2"/>
    <w:basedOn w:val="2"/>
    <w:next w:val="1"/>
    <w:link w:val="32"/>
    <w:qFormat/>
    <w:uiPriority w:val="2"/>
    <w:pPr>
      <w:numPr>
        <w:ilvl w:val="1"/>
      </w:numPr>
      <w:spacing w:after="200"/>
      <w:outlineLvl w:val="1"/>
    </w:pPr>
  </w:style>
  <w:style w:type="paragraph" w:styleId="5">
    <w:name w:val="heading 3"/>
    <w:basedOn w:val="1"/>
    <w:next w:val="1"/>
    <w:link w:val="45"/>
    <w:qFormat/>
    <w:uiPriority w:val="2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6">
    <w:name w:val="heading 4"/>
    <w:basedOn w:val="5"/>
    <w:next w:val="1"/>
    <w:link w:val="46"/>
    <w:qFormat/>
    <w:uiPriority w:val="2"/>
    <w:pPr>
      <w:numPr>
        <w:ilvl w:val="3"/>
      </w:numPr>
      <w:outlineLvl w:val="3"/>
    </w:pPr>
    <w:rPr>
      <w:iCs/>
    </w:rPr>
  </w:style>
  <w:style w:type="paragraph" w:styleId="7">
    <w:name w:val="heading 5"/>
    <w:basedOn w:val="6"/>
    <w:next w:val="1"/>
    <w:link w:val="47"/>
    <w:qFormat/>
    <w:uiPriority w:val="2"/>
    <w:pPr>
      <w:numPr>
        <w:ilvl w:val="4"/>
      </w:numPr>
      <w:outlineLvl w:val="4"/>
    </w:pPr>
  </w:style>
  <w:style w:type="character" w:default="1" w:styleId="22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qFormat/>
    <w:uiPriority w:val="3"/>
    <w:pPr>
      <w:numPr>
        <w:ilvl w:val="0"/>
        <w:numId w:val="2"/>
      </w:numPr>
      <w:contextualSpacing/>
    </w:pPr>
    <w:rPr>
      <w:rFonts w:eastAsia="Cambria" w:cs="Times New Roman"/>
      <w:szCs w:val="24"/>
    </w:rPr>
  </w:style>
  <w:style w:type="paragraph" w:styleId="8">
    <w:name w:val="caption"/>
    <w:basedOn w:val="1"/>
    <w:next w:val="9"/>
    <w:unhideWhenUsed/>
    <w:qFormat/>
    <w:uiPriority w:val="0"/>
    <w:pPr>
      <w:keepNext/>
    </w:pPr>
    <w:rPr>
      <w:rFonts w:cs="Times New Roman"/>
      <w:b/>
      <w:bCs/>
      <w:szCs w:val="24"/>
    </w:rPr>
  </w:style>
  <w:style w:type="paragraph" w:styleId="9">
    <w:name w:val="No Spacing"/>
    <w:unhideWhenUsed/>
    <w:qFormat/>
    <w:uiPriority w:val="99"/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paragraph" w:styleId="10">
    <w:name w:val="annotation text"/>
    <w:basedOn w:val="1"/>
    <w:link w:val="37"/>
    <w:semiHidden/>
    <w:unhideWhenUsed/>
    <w:qFormat/>
    <w:uiPriority w:val="99"/>
    <w:rPr>
      <w:sz w:val="20"/>
      <w:szCs w:val="20"/>
    </w:rPr>
  </w:style>
  <w:style w:type="paragraph" w:styleId="11">
    <w:name w:val="endnote text"/>
    <w:basedOn w:val="1"/>
    <w:link w:val="39"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2">
    <w:name w:val="Balloon Text"/>
    <w:basedOn w:val="1"/>
    <w:link w:val="35"/>
    <w:semiHidden/>
    <w:unhideWhenUsed/>
    <w:qFormat/>
    <w:uiPriority w:val="99"/>
    <w:pPr>
      <w:spacing w:after="0"/>
    </w:pPr>
    <w:rPr>
      <w:rFonts w:ascii="Tahoma" w:hAnsi="Tahoma" w:cs="Tahoma"/>
      <w:sz w:val="16"/>
      <w:szCs w:val="16"/>
    </w:rPr>
  </w:style>
  <w:style w:type="paragraph" w:styleId="13">
    <w:name w:val="footer"/>
    <w:basedOn w:val="1"/>
    <w:link w:val="40"/>
    <w:unhideWhenUsed/>
    <w:qFormat/>
    <w:uiPriority w:val="99"/>
    <w:pPr>
      <w:tabs>
        <w:tab w:val="center" w:pos="4844"/>
        <w:tab w:val="right" w:pos="9689"/>
      </w:tabs>
      <w:spacing w:after="0"/>
    </w:pPr>
  </w:style>
  <w:style w:type="paragraph" w:styleId="14">
    <w:name w:val="header"/>
    <w:basedOn w:val="1"/>
    <w:link w:val="42"/>
    <w:unhideWhenUsed/>
    <w:qFormat/>
    <w:uiPriority w:val="99"/>
    <w:pPr>
      <w:tabs>
        <w:tab w:val="center" w:pos="4844"/>
        <w:tab w:val="right" w:pos="9689"/>
      </w:tabs>
    </w:pPr>
    <w:rPr>
      <w:b/>
    </w:rPr>
  </w:style>
  <w:style w:type="paragraph" w:styleId="15">
    <w:name w:val="Subtitle"/>
    <w:basedOn w:val="1"/>
    <w:next w:val="1"/>
    <w:link w:val="33"/>
    <w:unhideWhenUsed/>
    <w:qFormat/>
    <w:uiPriority w:val="99"/>
    <w:pPr>
      <w:spacing w:before="240"/>
    </w:pPr>
    <w:rPr>
      <w:rFonts w:cs="Times New Roman"/>
      <w:b/>
      <w:szCs w:val="24"/>
    </w:rPr>
  </w:style>
  <w:style w:type="paragraph" w:styleId="16">
    <w:name w:val="footnote text"/>
    <w:basedOn w:val="1"/>
    <w:link w:val="41"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7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18">
    <w:name w:val="Title"/>
    <w:basedOn w:val="1"/>
    <w:next w:val="1"/>
    <w:link w:val="51"/>
    <w:qFormat/>
    <w:uiPriority w:val="0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styleId="19">
    <w:name w:val="annotation subject"/>
    <w:basedOn w:val="10"/>
    <w:next w:val="10"/>
    <w:link w:val="38"/>
    <w:semiHidden/>
    <w:unhideWhenUsed/>
    <w:qFormat/>
    <w:uiPriority w:val="99"/>
    <w:rPr>
      <w:b/>
      <w:bCs/>
    </w:rPr>
  </w:style>
  <w:style w:type="table" w:styleId="21">
    <w:name w:val="Table Grid"/>
    <w:basedOn w:val="20"/>
    <w:qFormat/>
    <w:uiPriority w:val="0"/>
    <w:rPr>
      <w:rFonts w:asciiTheme="majorHAnsi" w:hAnsiTheme="majorHAns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Strong"/>
    <w:basedOn w:val="22"/>
    <w:qFormat/>
    <w:uiPriority w:val="22"/>
    <w:rPr>
      <w:rFonts w:ascii="Times New Roman" w:hAnsi="Times New Roman"/>
      <w:b/>
      <w:bCs/>
    </w:rPr>
  </w:style>
  <w:style w:type="character" w:styleId="24">
    <w:name w:val="endnote reference"/>
    <w:basedOn w:val="22"/>
    <w:semiHidden/>
    <w:unhideWhenUsed/>
    <w:qFormat/>
    <w:uiPriority w:val="99"/>
    <w:rPr>
      <w:vertAlign w:val="superscript"/>
    </w:rPr>
  </w:style>
  <w:style w:type="character" w:styleId="25">
    <w:name w:val="FollowedHyperlink"/>
    <w:basedOn w:val="22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26">
    <w:name w:val="Emphasis"/>
    <w:basedOn w:val="22"/>
    <w:qFormat/>
    <w:uiPriority w:val="20"/>
    <w:rPr>
      <w:rFonts w:ascii="Times New Roman" w:hAnsi="Times New Roman"/>
      <w:i/>
      <w:iCs/>
    </w:rPr>
  </w:style>
  <w:style w:type="character" w:styleId="27">
    <w:name w:val="line number"/>
    <w:basedOn w:val="22"/>
    <w:semiHidden/>
    <w:unhideWhenUsed/>
    <w:qFormat/>
    <w:uiPriority w:val="99"/>
  </w:style>
  <w:style w:type="character" w:styleId="28">
    <w:name w:val="Hyperlink"/>
    <w:basedOn w:val="22"/>
    <w:unhideWhenUsed/>
    <w:qFormat/>
    <w:uiPriority w:val="99"/>
    <w:rPr>
      <w:color w:val="0000FF"/>
      <w:u w:val="single"/>
    </w:rPr>
  </w:style>
  <w:style w:type="character" w:styleId="29">
    <w:name w:val="annotation reference"/>
    <w:basedOn w:val="22"/>
    <w:semiHidden/>
    <w:unhideWhenUsed/>
    <w:qFormat/>
    <w:uiPriority w:val="0"/>
    <w:rPr>
      <w:sz w:val="16"/>
      <w:szCs w:val="16"/>
    </w:rPr>
  </w:style>
  <w:style w:type="character" w:styleId="30">
    <w:name w:val="footnote reference"/>
    <w:basedOn w:val="22"/>
    <w:semiHidden/>
    <w:unhideWhenUsed/>
    <w:qFormat/>
    <w:uiPriority w:val="99"/>
    <w:rPr>
      <w:vertAlign w:val="superscript"/>
    </w:rPr>
  </w:style>
  <w:style w:type="character" w:customStyle="1" w:styleId="31">
    <w:name w:val="Heading 1 Char"/>
    <w:basedOn w:val="22"/>
    <w:link w:val="2"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2">
    <w:name w:val="Heading 2 Char"/>
    <w:basedOn w:val="22"/>
    <w:link w:val="4"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3">
    <w:name w:val="Subtitle Char"/>
    <w:basedOn w:val="22"/>
    <w:link w:val="15"/>
    <w:qFormat/>
    <w:uiPriority w:val="99"/>
    <w:rPr>
      <w:rFonts w:ascii="Times New Roman" w:hAnsi="Times New Roman" w:cs="Times New Roman"/>
      <w:b/>
      <w:sz w:val="24"/>
      <w:szCs w:val="24"/>
    </w:rPr>
  </w:style>
  <w:style w:type="paragraph" w:customStyle="1" w:styleId="34">
    <w:name w:val="Author List"/>
    <w:basedOn w:val="15"/>
    <w:next w:val="1"/>
    <w:qFormat/>
    <w:uiPriority w:val="1"/>
  </w:style>
  <w:style w:type="character" w:customStyle="1" w:styleId="35">
    <w:name w:val="Balloon Text Char"/>
    <w:basedOn w:val="22"/>
    <w:link w:val="12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36">
    <w:name w:val="Book Title1"/>
    <w:basedOn w:val="22"/>
    <w:qFormat/>
    <w:uiPriority w:val="33"/>
    <w:rPr>
      <w:rFonts w:ascii="Times New Roman" w:hAnsi="Times New Roman"/>
      <w:b/>
      <w:bCs/>
      <w:i/>
      <w:iCs/>
      <w:spacing w:val="5"/>
    </w:rPr>
  </w:style>
  <w:style w:type="character" w:customStyle="1" w:styleId="37">
    <w:name w:val="Comment Text Char"/>
    <w:basedOn w:val="22"/>
    <w:link w:val="10"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38">
    <w:name w:val="Comment Subject Char"/>
    <w:basedOn w:val="37"/>
    <w:link w:val="19"/>
    <w:semiHidden/>
    <w:qFormat/>
    <w:uiPriority w:val="99"/>
    <w:rPr>
      <w:rFonts w:ascii="Times New Roman" w:hAnsi="Times New Roman"/>
      <w:b/>
      <w:bCs/>
      <w:sz w:val="20"/>
      <w:szCs w:val="20"/>
    </w:rPr>
  </w:style>
  <w:style w:type="character" w:customStyle="1" w:styleId="39">
    <w:name w:val="Endnote Text Char"/>
    <w:basedOn w:val="22"/>
    <w:link w:val="11"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0">
    <w:name w:val="Footer Char"/>
    <w:basedOn w:val="22"/>
    <w:link w:val="13"/>
    <w:qFormat/>
    <w:uiPriority w:val="99"/>
    <w:rPr>
      <w:rFonts w:ascii="Times New Roman" w:hAnsi="Times New Roman"/>
      <w:sz w:val="24"/>
    </w:rPr>
  </w:style>
  <w:style w:type="character" w:customStyle="1" w:styleId="41">
    <w:name w:val="Footnote Text Char"/>
    <w:basedOn w:val="22"/>
    <w:link w:val="16"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2">
    <w:name w:val="Header Char"/>
    <w:basedOn w:val="22"/>
    <w:link w:val="14"/>
    <w:qFormat/>
    <w:uiPriority w:val="99"/>
    <w:rPr>
      <w:rFonts w:ascii="Times New Roman" w:hAnsi="Times New Roman"/>
      <w:b/>
      <w:sz w:val="24"/>
    </w:rPr>
  </w:style>
  <w:style w:type="character" w:customStyle="1" w:styleId="43">
    <w:name w:val="Intense Emphasis1"/>
    <w:basedOn w:val="22"/>
    <w:unhideWhenUsed/>
    <w:qFormat/>
    <w:uiPriority w:val="21"/>
    <w:rPr>
      <w:rFonts w:ascii="Times New Roman" w:hAnsi="Times New Roman"/>
      <w:i/>
      <w:iCs/>
      <w:color w:val="auto"/>
    </w:rPr>
  </w:style>
  <w:style w:type="character" w:customStyle="1" w:styleId="44">
    <w:name w:val="Intense Reference1"/>
    <w:basedOn w:val="22"/>
    <w:qFormat/>
    <w:uiPriority w:val="32"/>
    <w:rPr>
      <w:b/>
      <w:bCs/>
      <w:smallCaps/>
      <w:color w:val="auto"/>
      <w:spacing w:val="5"/>
    </w:rPr>
  </w:style>
  <w:style w:type="character" w:customStyle="1" w:styleId="45">
    <w:name w:val="Heading 3 Char"/>
    <w:basedOn w:val="22"/>
    <w:link w:val="5"/>
    <w:qFormat/>
    <w:uiPriority w:val="2"/>
    <w:rPr>
      <w:rFonts w:ascii="Times New Roman" w:hAnsi="Times New Roman" w:eastAsiaTheme="majorEastAsia" w:cstheme="majorBidi"/>
      <w:b/>
      <w:sz w:val="24"/>
      <w:szCs w:val="24"/>
    </w:rPr>
  </w:style>
  <w:style w:type="character" w:customStyle="1" w:styleId="46">
    <w:name w:val="Heading 4 Char"/>
    <w:basedOn w:val="22"/>
    <w:link w:val="6"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character" w:customStyle="1" w:styleId="47">
    <w:name w:val="Heading 5 Char"/>
    <w:basedOn w:val="22"/>
    <w:link w:val="7"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paragraph" w:styleId="48">
    <w:name w:val="Quote"/>
    <w:basedOn w:val="1"/>
    <w:next w:val="1"/>
    <w:link w:val="49"/>
    <w:qFormat/>
    <w:uiPriority w:val="2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9">
    <w:name w:val="Quote Char"/>
    <w:basedOn w:val="22"/>
    <w:link w:val="48"/>
    <w:qFormat/>
    <w:uiPriority w:val="29"/>
    <w:rPr>
      <w:rFonts w:ascii="Times New Roman" w:hAnsi="Times New Roman"/>
      <w:i/>
      <w:iCs/>
      <w:color w:val="404040" w:themeColor="text1" w:themeTint="BF"/>
      <w:sz w:val="24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0">
    <w:name w:val="Subtle Emphasis1"/>
    <w:basedOn w:val="22"/>
    <w:qFormat/>
    <w:uiPriority w:val="19"/>
    <w:rPr>
      <w:rFonts w:ascii="Times New Roman" w:hAnsi="Times New Roman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1">
    <w:name w:val="Title Char"/>
    <w:basedOn w:val="22"/>
    <w:link w:val="18"/>
    <w:qFormat/>
    <w:uiPriority w:val="0"/>
    <w:rPr>
      <w:rFonts w:ascii="Times New Roman" w:hAnsi="Times New Roman" w:cs="Times New Roman"/>
      <w:b/>
      <w:sz w:val="32"/>
      <w:szCs w:val="32"/>
    </w:rPr>
  </w:style>
  <w:style w:type="paragraph" w:customStyle="1" w:styleId="52">
    <w:name w:val="Supplementary Material"/>
    <w:basedOn w:val="18"/>
    <w:next w:val="18"/>
    <w:qFormat/>
    <w:uiPriority w:val="0"/>
    <w:pPr>
      <w:spacing w:after="120"/>
    </w:pPr>
    <w:rPr>
      <w:i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A95B22-B4E8-4C8E-ABCB-1E2B9143F8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Pages>3</Pages>
  <Words>582</Words>
  <Characters>3319</Characters>
  <Lines>27</Lines>
  <Paragraphs>7</Paragraphs>
  <TotalTime>3</TotalTime>
  <ScaleCrop>false</ScaleCrop>
  <LinksUpToDate>false</LinksUpToDate>
  <CharactersWithSpaces>3894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2022-03-27T05:12:00Z</dcterms:created>
  <dc:creator>Frontiers Media SA</dc:creator>
  <cp:lastModifiedBy>ali888</cp:lastModifiedBy>
  <cp:lastPrinted>2013-10-03T12:51:00Z</cp:lastPrinted>
  <dcterms:modified xsi:type="dcterms:W3CDTF">2022-04-19T02:08:20Z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8376880F492A4E3382B32D3AD35E14E6</vt:lpwstr>
  </property>
  <property fmtid="{D5CDD505-2E9C-101B-9397-08002B2CF9AE}" pid="3" name="KSOProductBuildVer">
    <vt:lpwstr>2052-11.1.0.11365</vt:lpwstr>
  </property>
</Properties>
</file>