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887045" w14:textId="64FA63B7" w:rsidR="002F1F8A" w:rsidRPr="00B21577" w:rsidRDefault="00B21577" w:rsidP="00B21577">
      <w:pPr>
        <w:rPr>
          <w:rFonts w:ascii="Times New Roman" w:hAnsi="Times New Roman" w:cs="Times New Roman"/>
          <w:sz w:val="24"/>
          <w:szCs w:val="24"/>
        </w:rPr>
      </w:pPr>
      <w:r w:rsidRPr="00B21577">
        <w:rPr>
          <w:rFonts w:ascii="Times New Roman" w:hAnsi="Times New Roman" w:cs="Times New Roman"/>
          <w:sz w:val="24"/>
          <w:szCs w:val="24"/>
        </w:rPr>
        <w:t xml:space="preserve">Table </w:t>
      </w:r>
      <w:r w:rsidR="0066292A">
        <w:rPr>
          <w:rFonts w:ascii="Times New Roman" w:hAnsi="Times New Roman" w:cs="Times New Roman"/>
          <w:sz w:val="24"/>
          <w:szCs w:val="24"/>
        </w:rPr>
        <w:t>1</w:t>
      </w:r>
      <w:r w:rsidRPr="00B21577">
        <w:rPr>
          <w:rFonts w:ascii="Times New Roman" w:hAnsi="Times New Roman" w:cs="Times New Roman"/>
          <w:sz w:val="24"/>
          <w:szCs w:val="24"/>
        </w:rPr>
        <w:t>. Comparisons of the fit of consistency and inconsistency models using deviance information criteria (DIC).</w:t>
      </w:r>
    </w:p>
    <w:tbl>
      <w:tblPr>
        <w:tblStyle w:val="a7"/>
        <w:tblW w:w="9119" w:type="dxa"/>
        <w:tblLook w:val="04A0" w:firstRow="1" w:lastRow="0" w:firstColumn="1" w:lastColumn="0" w:noHBand="0" w:noVBand="1"/>
      </w:tblPr>
      <w:tblGrid>
        <w:gridCol w:w="1536"/>
        <w:gridCol w:w="1056"/>
        <w:gridCol w:w="1096"/>
        <w:gridCol w:w="1096"/>
        <w:gridCol w:w="756"/>
        <w:gridCol w:w="803"/>
        <w:gridCol w:w="756"/>
        <w:gridCol w:w="1283"/>
        <w:gridCol w:w="1043"/>
      </w:tblGrid>
      <w:tr w:rsidR="001504A8" w:rsidRPr="001504A8" w14:paraId="21AD6493" w14:textId="442B0E78" w:rsidTr="00B21577">
        <w:tc>
          <w:tcPr>
            <w:tcW w:w="1536" w:type="dxa"/>
          </w:tcPr>
          <w:p w14:paraId="71B334EC" w14:textId="77777777" w:rsidR="001504A8" w:rsidRPr="001504A8" w:rsidRDefault="001504A8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4A8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1056" w:type="dxa"/>
          </w:tcPr>
          <w:p w14:paraId="03023128" w14:textId="065C2383" w:rsidR="001504A8" w:rsidRPr="001504A8" w:rsidRDefault="001504A8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4A8">
              <w:rPr>
                <w:rFonts w:ascii="Times New Roman" w:hAnsi="Times New Roman" w:cs="Times New Roman"/>
                <w:sz w:val="24"/>
                <w:szCs w:val="24"/>
              </w:rPr>
              <w:t>primary endpoint</w:t>
            </w:r>
          </w:p>
        </w:tc>
        <w:tc>
          <w:tcPr>
            <w:tcW w:w="1096" w:type="dxa"/>
          </w:tcPr>
          <w:p w14:paraId="062482E8" w14:textId="5F8BC966" w:rsidR="001504A8" w:rsidRPr="001504A8" w:rsidRDefault="001504A8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4A8"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  <w:tc>
          <w:tcPr>
            <w:tcW w:w="1096" w:type="dxa"/>
          </w:tcPr>
          <w:p w14:paraId="41BEBAAD" w14:textId="15592107" w:rsidR="001504A8" w:rsidRPr="001504A8" w:rsidRDefault="001504A8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4A8">
              <w:rPr>
                <w:rFonts w:ascii="Times New Roman" w:hAnsi="Times New Roman" w:cs="Times New Roman"/>
                <w:sz w:val="24"/>
                <w:szCs w:val="24"/>
              </w:rPr>
              <w:t>cardiac mortality</w:t>
            </w:r>
          </w:p>
        </w:tc>
        <w:tc>
          <w:tcPr>
            <w:tcW w:w="510" w:type="dxa"/>
          </w:tcPr>
          <w:p w14:paraId="4D0C58C0" w14:textId="2820C349" w:rsidR="001504A8" w:rsidRPr="001504A8" w:rsidRDefault="001504A8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803" w:type="dxa"/>
          </w:tcPr>
          <w:p w14:paraId="6DB5AD77" w14:textId="1D965A3E" w:rsidR="001504A8" w:rsidRPr="001504A8" w:rsidRDefault="001504A8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4A8">
              <w:rPr>
                <w:rFonts w:ascii="Times New Roman" w:hAnsi="Times New Roman" w:cs="Times New Roman"/>
                <w:sz w:val="24"/>
                <w:szCs w:val="24"/>
              </w:rPr>
              <w:t>stroke</w:t>
            </w:r>
          </w:p>
        </w:tc>
        <w:tc>
          <w:tcPr>
            <w:tcW w:w="696" w:type="dxa"/>
          </w:tcPr>
          <w:p w14:paraId="6DCCA7C3" w14:textId="3D81C97A" w:rsidR="001504A8" w:rsidRPr="001504A8" w:rsidRDefault="001504A8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VR</w:t>
            </w:r>
          </w:p>
        </w:tc>
        <w:tc>
          <w:tcPr>
            <w:tcW w:w="1283" w:type="dxa"/>
          </w:tcPr>
          <w:p w14:paraId="5F4CD5A8" w14:textId="19187F52" w:rsidR="001504A8" w:rsidRPr="001504A8" w:rsidRDefault="001504A8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4A8">
              <w:rPr>
                <w:rFonts w:ascii="Times New Roman" w:hAnsi="Times New Roman" w:cs="Times New Roman"/>
                <w:sz w:val="24"/>
                <w:szCs w:val="24"/>
              </w:rPr>
              <w:t>stent thrombosis (definite and probable)</w:t>
            </w:r>
          </w:p>
        </w:tc>
        <w:tc>
          <w:tcPr>
            <w:tcW w:w="1043" w:type="dxa"/>
          </w:tcPr>
          <w:p w14:paraId="42D6DE2C" w14:textId="396482ED" w:rsidR="001504A8" w:rsidRPr="001504A8" w:rsidRDefault="001504A8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4A8">
              <w:rPr>
                <w:rFonts w:ascii="Times New Roman" w:hAnsi="Times New Roman" w:cs="Times New Roman"/>
                <w:sz w:val="24"/>
                <w:szCs w:val="24"/>
              </w:rPr>
              <w:t>major bleeding</w:t>
            </w:r>
          </w:p>
        </w:tc>
      </w:tr>
      <w:tr w:rsidR="001504A8" w:rsidRPr="001504A8" w14:paraId="77252703" w14:textId="481609E3" w:rsidTr="00B21577">
        <w:tc>
          <w:tcPr>
            <w:tcW w:w="1536" w:type="dxa"/>
          </w:tcPr>
          <w:p w14:paraId="13F82D60" w14:textId="77777777" w:rsidR="001504A8" w:rsidRPr="001504A8" w:rsidRDefault="001504A8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4A8">
              <w:rPr>
                <w:rFonts w:ascii="Times New Roman" w:hAnsi="Times New Roman" w:cs="Times New Roman"/>
                <w:sz w:val="24"/>
                <w:szCs w:val="24"/>
              </w:rPr>
              <w:t>Consistency</w:t>
            </w:r>
          </w:p>
        </w:tc>
        <w:tc>
          <w:tcPr>
            <w:tcW w:w="1056" w:type="dxa"/>
          </w:tcPr>
          <w:p w14:paraId="32F18AC7" w14:textId="10C3A526" w:rsidR="001504A8" w:rsidRPr="001504A8" w:rsidRDefault="00237EB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5.90</w:t>
            </w:r>
          </w:p>
        </w:tc>
        <w:tc>
          <w:tcPr>
            <w:tcW w:w="1096" w:type="dxa"/>
          </w:tcPr>
          <w:p w14:paraId="7765B208" w14:textId="66F0FE37" w:rsidR="001504A8" w:rsidRPr="001504A8" w:rsidRDefault="00F8316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160">
              <w:rPr>
                <w:rFonts w:ascii="Times New Roman" w:hAnsi="Times New Roman" w:cs="Times New Roman"/>
                <w:sz w:val="24"/>
                <w:szCs w:val="24"/>
              </w:rPr>
              <w:t>33.21</w:t>
            </w:r>
          </w:p>
        </w:tc>
        <w:tc>
          <w:tcPr>
            <w:tcW w:w="1096" w:type="dxa"/>
          </w:tcPr>
          <w:p w14:paraId="136BD086" w14:textId="231EBF29" w:rsidR="001504A8" w:rsidRPr="001504A8" w:rsidRDefault="00F8316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160">
              <w:rPr>
                <w:rFonts w:ascii="Times New Roman" w:hAnsi="Times New Roman" w:cs="Times New Roman"/>
                <w:sz w:val="24"/>
                <w:szCs w:val="24"/>
              </w:rPr>
              <w:t>29.7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" w:type="dxa"/>
          </w:tcPr>
          <w:p w14:paraId="2A2B62A6" w14:textId="2C929BBB" w:rsidR="001504A8" w:rsidRPr="001504A8" w:rsidRDefault="00D022C6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2C6">
              <w:rPr>
                <w:rFonts w:ascii="Times New Roman" w:hAnsi="Times New Roman" w:cs="Times New Roman"/>
                <w:sz w:val="24"/>
                <w:szCs w:val="24"/>
              </w:rPr>
              <w:t>36.51</w:t>
            </w:r>
          </w:p>
        </w:tc>
        <w:tc>
          <w:tcPr>
            <w:tcW w:w="803" w:type="dxa"/>
          </w:tcPr>
          <w:p w14:paraId="5D743619" w14:textId="18AD1140" w:rsidR="001504A8" w:rsidRPr="001504A8" w:rsidRDefault="0005186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860">
              <w:rPr>
                <w:rFonts w:ascii="Times New Roman" w:hAnsi="Times New Roman" w:cs="Times New Roman"/>
                <w:sz w:val="24"/>
                <w:szCs w:val="24"/>
              </w:rPr>
              <w:t>28.3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6" w:type="dxa"/>
          </w:tcPr>
          <w:p w14:paraId="4E4C34F9" w14:textId="070031D1" w:rsidR="001504A8" w:rsidRPr="001504A8" w:rsidRDefault="0005186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860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3" w:type="dxa"/>
          </w:tcPr>
          <w:p w14:paraId="5C9910C4" w14:textId="31E79945" w:rsidR="001504A8" w:rsidRPr="001504A8" w:rsidRDefault="0005186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860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43" w:type="dxa"/>
          </w:tcPr>
          <w:p w14:paraId="10862362" w14:textId="2F1CD47D" w:rsidR="001504A8" w:rsidRPr="001504A8" w:rsidRDefault="0072351B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51B"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504A8" w:rsidRPr="001504A8" w14:paraId="13ED0EC4" w14:textId="050818E2" w:rsidTr="00B21577">
        <w:tc>
          <w:tcPr>
            <w:tcW w:w="1536" w:type="dxa"/>
          </w:tcPr>
          <w:p w14:paraId="675688EF" w14:textId="77777777" w:rsidR="001504A8" w:rsidRPr="001504A8" w:rsidRDefault="001504A8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4A8">
              <w:rPr>
                <w:rFonts w:ascii="Times New Roman" w:hAnsi="Times New Roman" w:cs="Times New Roman"/>
                <w:sz w:val="24"/>
                <w:szCs w:val="24"/>
              </w:rPr>
              <w:t>Inconsistency</w:t>
            </w:r>
          </w:p>
        </w:tc>
        <w:tc>
          <w:tcPr>
            <w:tcW w:w="1056" w:type="dxa"/>
          </w:tcPr>
          <w:p w14:paraId="7DD039EC" w14:textId="401B41F4" w:rsidR="001504A8" w:rsidRPr="001504A8" w:rsidRDefault="00237EB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7.24</w:t>
            </w:r>
          </w:p>
        </w:tc>
        <w:tc>
          <w:tcPr>
            <w:tcW w:w="1096" w:type="dxa"/>
          </w:tcPr>
          <w:p w14:paraId="384B11AA" w14:textId="7C09E4A7" w:rsidR="001504A8" w:rsidRPr="001504A8" w:rsidRDefault="00F8316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160">
              <w:rPr>
                <w:rFonts w:ascii="Times New Roman" w:hAnsi="Times New Roman" w:cs="Times New Roman"/>
                <w:sz w:val="24"/>
                <w:szCs w:val="24"/>
              </w:rPr>
              <w:t>35.0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32F17535" w14:textId="59EB66EC" w:rsidR="001504A8" w:rsidRPr="001504A8" w:rsidRDefault="00F8316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160">
              <w:rPr>
                <w:rFonts w:ascii="Times New Roman" w:hAnsi="Times New Roman" w:cs="Times New Roman"/>
                <w:sz w:val="24"/>
                <w:szCs w:val="24"/>
              </w:rPr>
              <w:t>32.4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" w:type="dxa"/>
          </w:tcPr>
          <w:p w14:paraId="742A52E9" w14:textId="20CECFEC" w:rsidR="001504A8" w:rsidRPr="001504A8" w:rsidRDefault="00D022C6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2C6">
              <w:rPr>
                <w:rFonts w:ascii="Times New Roman" w:hAnsi="Times New Roman" w:cs="Times New Roman"/>
                <w:sz w:val="24"/>
                <w:szCs w:val="24"/>
              </w:rPr>
              <w:t>38.6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3" w:type="dxa"/>
          </w:tcPr>
          <w:p w14:paraId="16BB9AA0" w14:textId="71E07A30" w:rsidR="001504A8" w:rsidRPr="001504A8" w:rsidRDefault="0005186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860">
              <w:rPr>
                <w:rFonts w:ascii="Times New Roman" w:hAnsi="Times New Roman" w:cs="Times New Roman"/>
                <w:sz w:val="24"/>
                <w:szCs w:val="24"/>
              </w:rPr>
              <w:t>29.73</w:t>
            </w:r>
          </w:p>
        </w:tc>
        <w:tc>
          <w:tcPr>
            <w:tcW w:w="696" w:type="dxa"/>
          </w:tcPr>
          <w:p w14:paraId="3627A7D8" w14:textId="0101C61A" w:rsidR="001504A8" w:rsidRPr="001504A8" w:rsidRDefault="0005186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860">
              <w:rPr>
                <w:rFonts w:ascii="Times New Roman" w:hAnsi="Times New Roman" w:cs="Times New Roman"/>
                <w:sz w:val="24"/>
                <w:szCs w:val="24"/>
              </w:rPr>
              <w:t>23.2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83" w:type="dxa"/>
          </w:tcPr>
          <w:p w14:paraId="2A5EDA65" w14:textId="73F37B93" w:rsidR="001504A8" w:rsidRPr="001504A8" w:rsidRDefault="00051860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860">
              <w:rPr>
                <w:rFonts w:ascii="Times New Roman" w:hAnsi="Times New Roman" w:cs="Times New Roman"/>
                <w:sz w:val="24"/>
                <w:szCs w:val="24"/>
              </w:rPr>
              <w:t>27.4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43" w:type="dxa"/>
          </w:tcPr>
          <w:p w14:paraId="22AF4502" w14:textId="5CECA114" w:rsidR="001504A8" w:rsidRPr="001504A8" w:rsidRDefault="0072351B" w:rsidP="000B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51B">
              <w:rPr>
                <w:rFonts w:ascii="Times New Roman" w:hAnsi="Times New Roman" w:cs="Times New Roman"/>
                <w:sz w:val="24"/>
                <w:szCs w:val="24"/>
              </w:rPr>
              <w:t>27.2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4B352691" w14:textId="2BE49768" w:rsidR="001504A8" w:rsidRPr="00B21577" w:rsidRDefault="00B21577" w:rsidP="00B21577">
      <w:pPr>
        <w:rPr>
          <w:rFonts w:ascii="Times New Roman" w:hAnsi="Times New Roman" w:cs="Times New Roman"/>
          <w:sz w:val="24"/>
          <w:szCs w:val="24"/>
        </w:rPr>
      </w:pPr>
      <w:r w:rsidRPr="00B21577">
        <w:rPr>
          <w:rFonts w:ascii="Times New Roman" w:hAnsi="Times New Roman" w:cs="Times New Roman"/>
          <w:sz w:val="24"/>
          <w:szCs w:val="24"/>
        </w:rPr>
        <w:t>The DIC is a Bayesian model evaluation criterion that measures model fit adjusted with the complexity of the model;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1577">
        <w:rPr>
          <w:rFonts w:ascii="Times New Roman" w:hAnsi="Times New Roman" w:cs="Times New Roman"/>
          <w:sz w:val="24"/>
          <w:szCs w:val="24"/>
        </w:rPr>
        <w:t>smaller DIC values correspond to more preferable models. (Reference: Spiegelhalter, D.J., Best, N.G., Carlin, B.P.,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1577">
        <w:rPr>
          <w:rFonts w:ascii="Times New Roman" w:hAnsi="Times New Roman" w:cs="Times New Roman"/>
          <w:sz w:val="24"/>
          <w:szCs w:val="24"/>
        </w:rPr>
        <w:t>Van der Linde, A. Bayesian measures of model complexity and fit. Journal of the Royal Statistical Society Series 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1577">
        <w:rPr>
          <w:rFonts w:ascii="Times New Roman" w:hAnsi="Times New Roman" w:cs="Times New Roman"/>
          <w:sz w:val="24"/>
          <w:szCs w:val="24"/>
        </w:rPr>
        <w:t xml:space="preserve">(Statistical Methodology) 2002; 64(4):583-639) </w:t>
      </w:r>
    </w:p>
    <w:sectPr w:rsidR="001504A8" w:rsidRPr="00B215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B471DA" w14:textId="77777777" w:rsidR="00D15D36" w:rsidRDefault="00D15D36" w:rsidP="00D377E5">
      <w:r>
        <w:separator/>
      </w:r>
    </w:p>
  </w:endnote>
  <w:endnote w:type="continuationSeparator" w:id="0">
    <w:p w14:paraId="0CBBF7FA" w14:textId="77777777" w:rsidR="00D15D36" w:rsidRDefault="00D15D36" w:rsidP="00D37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C7D326" w14:textId="77777777" w:rsidR="00D15D36" w:rsidRDefault="00D15D36" w:rsidP="00D377E5">
      <w:r>
        <w:separator/>
      </w:r>
    </w:p>
  </w:footnote>
  <w:footnote w:type="continuationSeparator" w:id="0">
    <w:p w14:paraId="05212AC1" w14:textId="77777777" w:rsidR="00D15D36" w:rsidRDefault="00D15D36" w:rsidP="00D377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5AF"/>
    <w:rsid w:val="00051860"/>
    <w:rsid w:val="001504A8"/>
    <w:rsid w:val="00237EB0"/>
    <w:rsid w:val="002F1F8A"/>
    <w:rsid w:val="004735AF"/>
    <w:rsid w:val="0066292A"/>
    <w:rsid w:val="0072351B"/>
    <w:rsid w:val="009663C3"/>
    <w:rsid w:val="00B21577"/>
    <w:rsid w:val="00D022C6"/>
    <w:rsid w:val="00D15D36"/>
    <w:rsid w:val="00D377E5"/>
    <w:rsid w:val="00F8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C26DB6"/>
  <w15:chartTrackingRefBased/>
  <w15:docId w15:val="{BE19E879-A63C-43CB-8B7A-222ED5906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7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77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7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77E5"/>
    <w:rPr>
      <w:sz w:val="18"/>
      <w:szCs w:val="18"/>
    </w:rPr>
  </w:style>
  <w:style w:type="table" w:styleId="a7">
    <w:name w:val="Table Grid"/>
    <w:basedOn w:val="a1"/>
    <w:uiPriority w:val="39"/>
    <w:rsid w:val="00D377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珂</dc:creator>
  <cp:keywords/>
  <dc:description/>
  <cp:lastModifiedBy>安 珂</cp:lastModifiedBy>
  <cp:revision>11</cp:revision>
  <dcterms:created xsi:type="dcterms:W3CDTF">2021-01-01T10:27:00Z</dcterms:created>
  <dcterms:modified xsi:type="dcterms:W3CDTF">2021-01-15T08:50:00Z</dcterms:modified>
</cp:coreProperties>
</file>