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EDFF49" w14:textId="6B288B8B" w:rsidR="00B14068" w:rsidRPr="00B14068" w:rsidRDefault="00B33545" w:rsidP="00B14068">
      <w:pPr>
        <w:rPr>
          <w:rFonts w:ascii="Times New Roman" w:hAnsi="Times New Roman" w:cs="Times New Roman"/>
        </w:rPr>
      </w:pPr>
      <w:r w:rsidRPr="00B33545">
        <w:rPr>
          <w:rFonts w:ascii="Times New Roman" w:hAnsi="Times New Roman" w:cs="Times New Roman"/>
        </w:rPr>
        <w:t xml:space="preserve">Table </w:t>
      </w:r>
      <w:r w:rsidR="00DC4D1A">
        <w:rPr>
          <w:rFonts w:ascii="Times New Roman" w:hAnsi="Times New Roman" w:cs="Times New Roman"/>
        </w:rPr>
        <w:t>1</w:t>
      </w:r>
      <w:r>
        <w:rPr>
          <w:rFonts w:ascii="Times New Roman" w:hAnsi="Times New Roman" w:cs="Times New Roman"/>
        </w:rPr>
        <w:t>.</w:t>
      </w:r>
      <w:r w:rsidRPr="00B33545">
        <w:rPr>
          <w:rFonts w:ascii="Times New Roman" w:hAnsi="Times New Roman" w:cs="Times New Roman"/>
        </w:rPr>
        <w:t xml:space="preserve"> Inclusion and exclusion criteria of included studies</w:t>
      </w:r>
    </w:p>
    <w:tbl>
      <w:tblPr>
        <w:tblStyle w:val="a7"/>
        <w:tblW w:w="13948" w:type="dxa"/>
        <w:tblLook w:val="04A0" w:firstRow="1" w:lastRow="0" w:firstColumn="1" w:lastColumn="0" w:noHBand="0" w:noVBand="1"/>
      </w:tblPr>
      <w:tblGrid>
        <w:gridCol w:w="1430"/>
        <w:gridCol w:w="4661"/>
        <w:gridCol w:w="7857"/>
      </w:tblGrid>
      <w:tr w:rsidR="00B14068" w:rsidRPr="00B14068" w14:paraId="73BD4C76" w14:textId="77777777" w:rsidTr="00CD30B6">
        <w:tc>
          <w:tcPr>
            <w:tcW w:w="1430" w:type="dxa"/>
          </w:tcPr>
          <w:p w14:paraId="490DC3EA"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Trial</w:t>
            </w:r>
          </w:p>
        </w:tc>
        <w:tc>
          <w:tcPr>
            <w:tcW w:w="4661" w:type="dxa"/>
          </w:tcPr>
          <w:p w14:paraId="3021D435"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Inclusion criteria</w:t>
            </w:r>
          </w:p>
        </w:tc>
        <w:tc>
          <w:tcPr>
            <w:tcW w:w="7857" w:type="dxa"/>
          </w:tcPr>
          <w:p w14:paraId="1CD6B3D2"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Exclusion criteria</w:t>
            </w:r>
          </w:p>
        </w:tc>
      </w:tr>
      <w:tr w:rsidR="00B14068" w:rsidRPr="00B14068" w14:paraId="277E962C" w14:textId="77777777" w:rsidTr="00CD30B6">
        <w:tc>
          <w:tcPr>
            <w:tcW w:w="1430" w:type="dxa"/>
          </w:tcPr>
          <w:p w14:paraId="402B4E84"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REAL/ZEST-LATE</w:t>
            </w:r>
          </w:p>
        </w:tc>
        <w:tc>
          <w:tcPr>
            <w:tcW w:w="4661" w:type="dxa"/>
          </w:tcPr>
          <w:p w14:paraId="586FFD56"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DES implant &gt;12-month before enrollment, no history of MACE or major bleeding since implant, receiving DAPT at the time of enrollment</w:t>
            </w:r>
          </w:p>
        </w:tc>
        <w:tc>
          <w:tcPr>
            <w:tcW w:w="7857" w:type="dxa"/>
          </w:tcPr>
          <w:p w14:paraId="5B56AED9"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Contraindications to antiplatelet drugs, history of vascular disease requiring long-term use of clopidogrel or other indication for clopidogrel life expectancy &lt;1 year or noncompliance with the study protocol or participating in trial</w:t>
            </w:r>
          </w:p>
        </w:tc>
      </w:tr>
      <w:tr w:rsidR="00B14068" w:rsidRPr="00B14068" w14:paraId="5C8DB680" w14:textId="77777777" w:rsidTr="00CD30B6">
        <w:tc>
          <w:tcPr>
            <w:tcW w:w="1430" w:type="dxa"/>
          </w:tcPr>
          <w:p w14:paraId="3E53D992"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RESET</w:t>
            </w:r>
          </w:p>
        </w:tc>
        <w:tc>
          <w:tcPr>
            <w:tcW w:w="4661" w:type="dxa"/>
          </w:tcPr>
          <w:p w14:paraId="31CE89BC"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20-85 years old, ≥50% DS, RVD ≥2.5-4.0 mm, elective PCI, stable or unstable angina, or acute MI</w:t>
            </w:r>
          </w:p>
        </w:tc>
        <w:tc>
          <w:tcPr>
            <w:tcW w:w="7857" w:type="dxa"/>
          </w:tcPr>
          <w:p w14:paraId="5B86C703"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Cerebral or peripheral atherosclerotic arterial disease, thromboembolic disease or stent thrombosis history, &lt;40% LVEF, restenotic lesion, CTO, LM disease requiring intervention, cardiogenic shock, &lt;48-h STEMI</w:t>
            </w:r>
          </w:p>
        </w:tc>
      </w:tr>
      <w:tr w:rsidR="00B14068" w:rsidRPr="00B14068" w14:paraId="7D25588D" w14:textId="77777777" w:rsidTr="00CD30B6">
        <w:tc>
          <w:tcPr>
            <w:tcW w:w="1430" w:type="dxa"/>
          </w:tcPr>
          <w:p w14:paraId="439F225E"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EXCELLENT</w:t>
            </w:r>
          </w:p>
        </w:tc>
        <w:tc>
          <w:tcPr>
            <w:tcW w:w="4661" w:type="dxa"/>
          </w:tcPr>
          <w:p w14:paraId="4AF65022"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hint="eastAsia"/>
                <w:szCs w:val="21"/>
              </w:rPr>
              <w:t>≥</w:t>
            </w:r>
            <w:r w:rsidRPr="00B14068">
              <w:rPr>
                <w:rFonts w:ascii="Times New Roman" w:hAnsi="Times New Roman" w:cs="Times New Roman"/>
                <w:szCs w:val="21"/>
              </w:rPr>
              <w:t>1 de novo lesion, native coronary vessel, RVD ≥2.25-4.25 mm, &gt;50% DS, stable angina, unstable angina, recent MI, silent ischemia, positive functional study, or reversible changes on EKG consistent with ischemia</w:t>
            </w:r>
          </w:p>
        </w:tc>
        <w:tc>
          <w:tcPr>
            <w:tcW w:w="7857" w:type="dxa"/>
          </w:tcPr>
          <w:p w14:paraId="666CF5FA"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&lt;72-h MI; &lt;25% LVEF or cardiogenic shock, any stent implantation in target vessel before enrolment, major bleeding &lt;3-month, major surgery &lt;2-month, elective surgery planned &lt;12-month; &gt;50% DS on LM, CTO,</w:t>
            </w:r>
            <w:r w:rsidRPr="00B14068">
              <w:t xml:space="preserve"> </w:t>
            </w:r>
            <w:r w:rsidRPr="00B14068">
              <w:rPr>
                <w:rFonts w:ascii="Times New Roman" w:hAnsi="Times New Roman" w:cs="Times New Roman"/>
                <w:szCs w:val="21"/>
              </w:rPr>
              <w:t>true bifurcation lesions requiring a planned two stent strategy</w:t>
            </w:r>
          </w:p>
        </w:tc>
      </w:tr>
      <w:tr w:rsidR="00B14068" w:rsidRPr="00B14068" w14:paraId="6FA13266" w14:textId="77777777" w:rsidTr="00CD30B6">
        <w:tc>
          <w:tcPr>
            <w:tcW w:w="1430" w:type="dxa"/>
          </w:tcPr>
          <w:p w14:paraId="1CC3062C"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OPTIMIZE</w:t>
            </w:r>
          </w:p>
        </w:tc>
        <w:tc>
          <w:tcPr>
            <w:tcW w:w="4661" w:type="dxa"/>
          </w:tcPr>
          <w:p w14:paraId="00D07DA9"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Stable angina or silent ischemia or low risk ACS as defined by unstable angina or recent (but not acute) MI (&lt;30 days)</w:t>
            </w:r>
          </w:p>
        </w:tc>
        <w:tc>
          <w:tcPr>
            <w:tcW w:w="7857" w:type="dxa"/>
          </w:tcPr>
          <w:p w14:paraId="59716E4C"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Elevated biomarker levels at time of index procedure and ≥1 lesion with stenosis &gt;50% (MVD allowed) located in a native vessel &gt;2.5 mm diameter with indication for PCI with stent implantation, STEMI presenting for primary or rescue PCI, PCI with BMS in nontarget lesions &lt;6 months before index procedure, previous treatment with any DES, scheduled elective surgery within 12 months after index procedure, contraindication, intolerance, or known hypersensitivity to aspirin, clopidogrel, or both, lesion in a saphenous vein graft, or in-stent restenosis of DES</w:t>
            </w:r>
          </w:p>
        </w:tc>
      </w:tr>
      <w:tr w:rsidR="00B14068" w:rsidRPr="00B14068" w14:paraId="18992656" w14:textId="77777777" w:rsidTr="00CD30B6">
        <w:tc>
          <w:tcPr>
            <w:tcW w:w="1430" w:type="dxa"/>
          </w:tcPr>
          <w:p w14:paraId="161761BA"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ARCTIC-Interruption</w:t>
            </w:r>
          </w:p>
        </w:tc>
        <w:tc>
          <w:tcPr>
            <w:tcW w:w="4661" w:type="dxa"/>
          </w:tcPr>
          <w:p w14:paraId="1A0CDAFD"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hint="eastAsia"/>
                <w:szCs w:val="21"/>
              </w:rPr>
              <w:t>≥</w:t>
            </w:r>
            <w:r w:rsidRPr="00B14068">
              <w:rPr>
                <w:rFonts w:ascii="Times New Roman" w:hAnsi="Times New Roman" w:cs="Times New Roman"/>
                <w:szCs w:val="21"/>
              </w:rPr>
              <w:t xml:space="preserve">18 years and eligible for PCI with planned use of </w:t>
            </w:r>
            <w:r w:rsidRPr="00B14068">
              <w:rPr>
                <w:rFonts w:ascii="Times New Roman" w:hAnsi="Times New Roman" w:cs="Times New Roman" w:hint="eastAsia"/>
                <w:szCs w:val="21"/>
              </w:rPr>
              <w:t>≥</w:t>
            </w:r>
            <w:r w:rsidRPr="00B14068">
              <w:rPr>
                <w:rFonts w:ascii="Times New Roman" w:hAnsi="Times New Roman" w:cs="Times New Roman"/>
                <w:szCs w:val="21"/>
              </w:rPr>
              <w:t>1 DES, without use of a GPIIb/IIIa inhibitor at randomization, able to understand and comply with study procedures and protocol</w:t>
            </w:r>
          </w:p>
        </w:tc>
        <w:tc>
          <w:tcPr>
            <w:tcW w:w="7857" w:type="dxa"/>
          </w:tcPr>
          <w:p w14:paraId="7A39DB25"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Anticoagulation with vitamin K antagonist, contraindication to aspirin or clopidogrel, GPIIb/IIIa inhibitors, or increased dose regimen of aspirin/clopidogrel, ongoing or recent bleeding or major surgery &lt;3 weeks, severe liver insufficiency, platelet count &lt;80 000/μ, GPIIb/IIIa inhibitor before randomization; primary PCI for STEMI; history of major bleeding with contraindication to antiplatelet therapy, scheduled surgery &lt;12-month, high risk feature of poor compliance to DAPT</w:t>
            </w:r>
          </w:p>
        </w:tc>
      </w:tr>
      <w:tr w:rsidR="00B14068" w:rsidRPr="00B14068" w14:paraId="7B7B003E" w14:textId="77777777" w:rsidTr="00CD30B6">
        <w:tc>
          <w:tcPr>
            <w:tcW w:w="1430" w:type="dxa"/>
          </w:tcPr>
          <w:p w14:paraId="46606983"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lastRenderedPageBreak/>
              <w:t>DAPT</w:t>
            </w:r>
          </w:p>
        </w:tc>
        <w:tc>
          <w:tcPr>
            <w:tcW w:w="4661" w:type="dxa"/>
          </w:tcPr>
          <w:p w14:paraId="7BBCB03C"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&gt;18 years old, undergoing PCI with stent deployment</w:t>
            </w:r>
          </w:p>
        </w:tc>
        <w:tc>
          <w:tcPr>
            <w:tcW w:w="7857" w:type="dxa"/>
          </w:tcPr>
          <w:p w14:paraId="10C1F259"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Index procedure stent placement with stent diameter &lt;2.25 mm or &gt;4.0 mm, pregnancy, planned surgery mandating discontinuation of antiplatelet therapy within 30 months after enrollment, life expectancy of &lt;3-year, enrollment in another device or drug study whose protocol specifically rules out concurrent enrollment or involves blinded placement of a DES or BMS other than those included as DAPT study devices, warfarin or similar anticoagulant therapy, hypersensitivity or allergies to one of the drugs or DES components, patient treated with both DES and BMS during index procedure</w:t>
            </w:r>
          </w:p>
        </w:tc>
      </w:tr>
      <w:tr w:rsidR="00B14068" w:rsidRPr="00B14068" w14:paraId="7D794AF2" w14:textId="77777777" w:rsidTr="00CD30B6">
        <w:tc>
          <w:tcPr>
            <w:tcW w:w="1430" w:type="dxa"/>
          </w:tcPr>
          <w:p w14:paraId="38C54867"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DES LATE</w:t>
            </w:r>
          </w:p>
        </w:tc>
        <w:tc>
          <w:tcPr>
            <w:tcW w:w="4661" w:type="dxa"/>
          </w:tcPr>
          <w:p w14:paraId="03777741"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&lt;12-month DES, no MACE (MI, stroke, repeat PCI) or major bleeding since PCI, DAPT</w:t>
            </w:r>
          </w:p>
        </w:tc>
        <w:tc>
          <w:tcPr>
            <w:tcW w:w="7857" w:type="dxa"/>
          </w:tcPr>
          <w:p w14:paraId="1926B84E"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DAPT contraindications due to bleeding diathesis or major bleeding history, long term DAPT indication due to concomitant vascular disease or recent ACS</w:t>
            </w:r>
          </w:p>
        </w:tc>
      </w:tr>
      <w:tr w:rsidR="00B14068" w:rsidRPr="00B14068" w14:paraId="7448C40B" w14:textId="77777777" w:rsidTr="00CD30B6">
        <w:tc>
          <w:tcPr>
            <w:tcW w:w="1430" w:type="dxa"/>
          </w:tcPr>
          <w:p w14:paraId="313D121D"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ISAR-SAFE</w:t>
            </w:r>
          </w:p>
        </w:tc>
        <w:tc>
          <w:tcPr>
            <w:tcW w:w="4661" w:type="dxa"/>
          </w:tcPr>
          <w:p w14:paraId="0EECA11B"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Patients on clopidogrel at 6 (−1/+2) months after PCI with DES</w:t>
            </w:r>
          </w:p>
        </w:tc>
        <w:tc>
          <w:tcPr>
            <w:tcW w:w="7857" w:type="dxa"/>
          </w:tcPr>
          <w:p w14:paraId="26ED2FA0"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Clinical symptoms or signs of ischemia or angiographic lesions requiring revascularization, active bleeding, bleeding diathesis, history of intracranial bleeding, STEMI and NSTEMI during last 6 months after DES, previous stent thrombosis, DES in left main coronary artery at index intervention, oral anticoagulation, planned major surgery within next 6 months with need to discontinue antiplatelet therapy</w:t>
            </w:r>
          </w:p>
        </w:tc>
      </w:tr>
      <w:tr w:rsidR="00B14068" w:rsidRPr="00B14068" w14:paraId="565E3566" w14:textId="77777777" w:rsidTr="00CD30B6">
        <w:tc>
          <w:tcPr>
            <w:tcW w:w="1430" w:type="dxa"/>
          </w:tcPr>
          <w:p w14:paraId="2695DFAC"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ITALIC</w:t>
            </w:r>
          </w:p>
        </w:tc>
        <w:tc>
          <w:tcPr>
            <w:tcW w:w="4661" w:type="dxa"/>
          </w:tcPr>
          <w:p w14:paraId="5EB27EC2"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hint="eastAsia"/>
                <w:szCs w:val="21"/>
              </w:rPr>
              <w:t>≥</w:t>
            </w:r>
            <w:r w:rsidRPr="00B14068">
              <w:rPr>
                <w:rFonts w:ascii="Times New Roman" w:hAnsi="Times New Roman" w:cs="Times New Roman"/>
                <w:szCs w:val="21"/>
              </w:rPr>
              <w:t>18-year old eligible for PCI, with ≥1 Xience DES in all clinical situations excluding primary PCI for acute MI and treatment of left main disease</w:t>
            </w:r>
          </w:p>
        </w:tc>
        <w:tc>
          <w:tcPr>
            <w:tcW w:w="7857" w:type="dxa"/>
          </w:tcPr>
          <w:p w14:paraId="00B5B7F0"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Non-responders to aspirin, previous DES implantation within 1-year, known platelet level &lt;100 000/μL or known hemorrhagic diathesis, oral anticoagulation therapy or abciximab treatment during hospital stay, contraindications to aspirin or clopidogrel (prasugrel or ticagrelor), major surgery within preceding 6 weeks, evidence of active gastrointestinal or urogenital bleeding, severe liver failure, any surgery scheduled within 1 year</w:t>
            </w:r>
          </w:p>
        </w:tc>
      </w:tr>
      <w:tr w:rsidR="00B14068" w:rsidRPr="00B14068" w14:paraId="569E693F" w14:textId="77777777" w:rsidTr="00CD30B6">
        <w:tc>
          <w:tcPr>
            <w:tcW w:w="1430" w:type="dxa"/>
          </w:tcPr>
          <w:p w14:paraId="77336145"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OPTIDUAL</w:t>
            </w:r>
          </w:p>
        </w:tc>
        <w:tc>
          <w:tcPr>
            <w:tcW w:w="4661" w:type="dxa"/>
          </w:tcPr>
          <w:p w14:paraId="092789DB"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Stable angina, silent ischemia, or ACS with ≥1 lesion with stenosis &gt;50% located in a native vessel ≥2.25 mm in diameter and who were implanted with ≥1 DES of any type</w:t>
            </w:r>
          </w:p>
        </w:tc>
        <w:tc>
          <w:tcPr>
            <w:tcW w:w="7857" w:type="dxa"/>
          </w:tcPr>
          <w:p w14:paraId="4CE05EB7"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Need for oral anticoagulation, DES implantation in an unprotected left main coronary artery, malignancies or other coexisting conditions associated with a life expectancy of &lt; 2-year after enrolment, or severe concomitant disease with &lt;2 years’ life expectancy</w:t>
            </w:r>
          </w:p>
        </w:tc>
      </w:tr>
      <w:tr w:rsidR="00B14068" w:rsidRPr="00B14068" w14:paraId="3EEDBDC1" w14:textId="77777777" w:rsidTr="00CD30B6">
        <w:tc>
          <w:tcPr>
            <w:tcW w:w="1430" w:type="dxa"/>
          </w:tcPr>
          <w:p w14:paraId="16387CC4"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SECURITY</w:t>
            </w:r>
          </w:p>
        </w:tc>
        <w:tc>
          <w:tcPr>
            <w:tcW w:w="4661" w:type="dxa"/>
          </w:tcPr>
          <w:p w14:paraId="10172DBE"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 xml:space="preserve">&gt;18 years old, stable angina, as defined by CCS or unstable angina, as defined by Braunwald classification, or patients with documented silent </w:t>
            </w:r>
            <w:r w:rsidRPr="00B14068">
              <w:rPr>
                <w:rFonts w:ascii="Times New Roman" w:hAnsi="Times New Roman" w:cs="Times New Roman"/>
                <w:szCs w:val="21"/>
              </w:rPr>
              <w:lastRenderedPageBreak/>
              <w:t>ischemia, treated with</w:t>
            </w:r>
            <w:r w:rsidRPr="00B14068">
              <w:rPr>
                <w:rFonts w:ascii="Times New Roman" w:hAnsi="Times New Roman" w:cs="Times New Roman" w:hint="eastAsia"/>
                <w:szCs w:val="21"/>
              </w:rPr>
              <w:t>≥</w:t>
            </w:r>
            <w:r w:rsidRPr="00B14068">
              <w:rPr>
                <w:rFonts w:ascii="Times New Roman" w:hAnsi="Times New Roman" w:cs="Times New Roman"/>
                <w:szCs w:val="21"/>
              </w:rPr>
              <w:t>1 second generation DES</w:t>
            </w:r>
          </w:p>
          <w:p w14:paraId="644290E3"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implanted in the target lesion past 24-h; presence of ≥1 de novo stenosis ≥70% in a native coronary artery, no other DES implanted before target procedure and no BMS implanted in 3 months before target procedure</w:t>
            </w:r>
          </w:p>
        </w:tc>
        <w:tc>
          <w:tcPr>
            <w:tcW w:w="7857" w:type="dxa"/>
          </w:tcPr>
          <w:p w14:paraId="68BD3D83"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lastRenderedPageBreak/>
              <w:t xml:space="preserve">STEMI in 48-h before the procedure, NSTEMI in previous 6 months, LVEF &lt;30%, known hypersensitivity to aspirin, thienopyridines, heparin, cobalt, chromium, nickel, molybdenum, or contrast media, target lesion in saphenous vein graft, in-stent restenosis, </w:t>
            </w:r>
            <w:r w:rsidRPr="00B14068">
              <w:rPr>
                <w:rFonts w:ascii="Times New Roman" w:hAnsi="Times New Roman" w:cs="Times New Roman"/>
                <w:szCs w:val="21"/>
              </w:rPr>
              <w:lastRenderedPageBreak/>
              <w:t>unprotected LM, history of significant thrombocytopenia with aspirin or thienopyridines, patients with chronic kidney disease (creatinine &gt;2 mg/dL), women during pregnancy or lactation, active bleeding or significant risk of bleeding, uncontrolled hypertension, life expectancy &lt;24 months and any medical condition that could preclude follow-up as defined in protocol</w:t>
            </w:r>
          </w:p>
        </w:tc>
      </w:tr>
      <w:tr w:rsidR="00B14068" w:rsidRPr="00B14068" w14:paraId="729C2938" w14:textId="77777777" w:rsidTr="00CD30B6">
        <w:tc>
          <w:tcPr>
            <w:tcW w:w="1430" w:type="dxa"/>
          </w:tcPr>
          <w:p w14:paraId="419575EC"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lastRenderedPageBreak/>
              <w:t>I-LOVE-IT 2</w:t>
            </w:r>
          </w:p>
        </w:tc>
        <w:tc>
          <w:tcPr>
            <w:tcW w:w="4661" w:type="dxa"/>
          </w:tcPr>
          <w:p w14:paraId="1DD9AC4A"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Stable CAD or ACS, Age ≥18 years, at least 1 coronary lesion with stenosis &gt;70%, patients with MVD must undergo complete revascularization within 30 days using the same study stents</w:t>
            </w:r>
          </w:p>
        </w:tc>
        <w:tc>
          <w:tcPr>
            <w:tcW w:w="7857" w:type="dxa"/>
          </w:tcPr>
          <w:p w14:paraId="42B34649"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Intolerance to a study drug, antiplatelet therapy, metal alloys, or contrast media, life expectancy &lt;1 year, re-stenosed lesions, stent implantation within 1 year, LVEF &lt;40%, severe renal or hepatic dysfunction, hemodynamic instability, planned surgery within 6 months, childbearing potential within 1-year</w:t>
            </w:r>
          </w:p>
        </w:tc>
      </w:tr>
      <w:tr w:rsidR="00B14068" w:rsidRPr="00B14068" w14:paraId="298030D7" w14:textId="77777777" w:rsidTr="00CD30B6">
        <w:tc>
          <w:tcPr>
            <w:tcW w:w="1430" w:type="dxa"/>
          </w:tcPr>
          <w:p w14:paraId="6BE64D37"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IVUS-XPL</w:t>
            </w:r>
          </w:p>
        </w:tc>
        <w:tc>
          <w:tcPr>
            <w:tcW w:w="4661" w:type="dxa"/>
          </w:tcPr>
          <w:p w14:paraId="7D2D2B31"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Age &gt;20-year, typical chest pain or evidence of</w:t>
            </w:r>
          </w:p>
          <w:p w14:paraId="48DEEC83"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myocardial ischemia, stent length &gt;28 mm based on angiographic estimation, &gt;50% coronary artery stenosis</w:t>
            </w:r>
          </w:p>
        </w:tc>
        <w:tc>
          <w:tcPr>
            <w:tcW w:w="7857" w:type="dxa"/>
          </w:tcPr>
          <w:p w14:paraId="2B244538"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Acute MI within 48-h, contraindication to antiplatelet, history of stroke, peripheral artery occlusive disease, thromboembolic disease, stent thrombosis, age &gt; 80 years, severe hepatic dysfunction, renal dysfunction, cardiogenic shock, LVEF&lt; 40%, left main disease requiring PCI, bifurcation lesion with 2-stent technique, CTO, DES within 6-month, in-stent restenosis lesion</w:t>
            </w:r>
          </w:p>
        </w:tc>
      </w:tr>
      <w:tr w:rsidR="00B14068" w:rsidRPr="00B14068" w14:paraId="0ADC24A1" w14:textId="77777777" w:rsidTr="00CD30B6">
        <w:tc>
          <w:tcPr>
            <w:tcW w:w="1430" w:type="dxa"/>
          </w:tcPr>
          <w:p w14:paraId="35DE6420"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GLOBAL LEADERS</w:t>
            </w:r>
          </w:p>
        </w:tc>
        <w:tc>
          <w:tcPr>
            <w:tcW w:w="4661" w:type="dxa"/>
          </w:tcPr>
          <w:p w14:paraId="2FB3E60F"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Age ≥18 years, clinical indication for PCI, presence of one or more coronary artery stenosis of ≥50% in a native coronary artery or in a saphenous venous or arterial bypass conduit suitable for coronary stent implantation in a vessel with a reference vessel diameter of at least 2.25 mm</w:t>
            </w:r>
          </w:p>
        </w:tc>
        <w:tc>
          <w:tcPr>
            <w:tcW w:w="7857" w:type="dxa"/>
          </w:tcPr>
          <w:p w14:paraId="238D9D66"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Intolerance to aspirin, P2Y12 inhibitors, bivalirudin, stainless steel or biolimus, known intake of a strong cytochrome P3A4 inhibitor as co-administration may lead to a substantial increase in exposure to ticagrelor, use of fibrinolytic therapy within 24 h of PCI, planned CABG as a staged procedure (hybrid) within 12 months of the index procedure, planned surgery within 12 months of PCI unless DAPT is maintained throughout the peri-surgical period, need for oral anti-coagulation therapy, PCI for a priori known stent thrombosis, overt major bleeding, history of intracranial hemorrhage, stroke from ischemic or unknown cause within last 30 days</w:t>
            </w:r>
          </w:p>
        </w:tc>
      </w:tr>
      <w:tr w:rsidR="00B14068" w:rsidRPr="00B14068" w14:paraId="27536A16" w14:textId="77777777" w:rsidTr="00CD30B6">
        <w:tc>
          <w:tcPr>
            <w:tcW w:w="1430" w:type="dxa"/>
          </w:tcPr>
          <w:p w14:paraId="3A75EE69"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STOPDAPT-2</w:t>
            </w:r>
          </w:p>
        </w:tc>
        <w:tc>
          <w:tcPr>
            <w:tcW w:w="4661" w:type="dxa"/>
          </w:tcPr>
          <w:p w14:paraId="5947F547"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Patients who have undergone PCI with the everolimus-eluting cobalt-chromium stent (CoCr-EES, XienceTM) and have not experienced major</w:t>
            </w:r>
          </w:p>
          <w:p w14:paraId="38999B68"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lastRenderedPageBreak/>
              <w:t>complications (death, MI, stroke, or major bleeding) during hospital stay for treatment</w:t>
            </w:r>
          </w:p>
        </w:tc>
        <w:tc>
          <w:tcPr>
            <w:tcW w:w="7857" w:type="dxa"/>
          </w:tcPr>
          <w:p w14:paraId="77EBACDC"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lastRenderedPageBreak/>
              <w:t>DES other than Xience implanted in PCI performed at the time of enrollment, need for oral anticoagulation or antiplatelet therapy other than aspirin and P2Y12 inhibitors, history of intracranial bleeding, and known intolerance to clopidogrel</w:t>
            </w:r>
          </w:p>
        </w:tc>
      </w:tr>
      <w:tr w:rsidR="00B14068" w:rsidRPr="00B14068" w14:paraId="6E4A9194" w14:textId="77777777" w:rsidTr="00CD30B6">
        <w:tc>
          <w:tcPr>
            <w:tcW w:w="1430" w:type="dxa"/>
          </w:tcPr>
          <w:p w14:paraId="461992B4"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SMART-CHOICE</w:t>
            </w:r>
          </w:p>
        </w:tc>
        <w:tc>
          <w:tcPr>
            <w:tcW w:w="4661" w:type="dxa"/>
          </w:tcPr>
          <w:p w14:paraId="5E1DCC85"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Age ≥ 20 years, ≥1 coronary artery stenoses of 50% or greater in a native coronary artery with visually estimated diameter of ≥ 2.25 mm and ≤4.25 mm or smaller amenable to stent implantation, and underwent PCI</w:t>
            </w:r>
          </w:p>
        </w:tc>
        <w:tc>
          <w:tcPr>
            <w:tcW w:w="7857" w:type="dxa"/>
          </w:tcPr>
          <w:p w14:paraId="383BEEF2"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Hypersensitivity or contraindication to aspirin, clopidogrel, prasugrel, ticagrelor, everolimus, or sirolimus, hemodynamic instability or cardiogenic shock, active pathologic bleeding, DES implantation within 12 months before the index procedure, women of childbearing potential, noncardiac comorbid conditions with a life expectancy &lt;2 years, or conditions that may result in protocol nonadherence</w:t>
            </w:r>
          </w:p>
        </w:tc>
      </w:tr>
      <w:tr w:rsidR="00B14068" w:rsidRPr="00B14068" w14:paraId="7ACD420F" w14:textId="77777777" w:rsidTr="00CD30B6">
        <w:tc>
          <w:tcPr>
            <w:tcW w:w="1430" w:type="dxa"/>
          </w:tcPr>
          <w:p w14:paraId="3DBFC889"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REDUCE</w:t>
            </w:r>
          </w:p>
        </w:tc>
        <w:tc>
          <w:tcPr>
            <w:tcW w:w="4661" w:type="dxa"/>
          </w:tcPr>
          <w:p w14:paraId="017D0DA9"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Age &gt;18, successful COMBO stent placement, no clinical adverse event during index hospitalization, ACS</w:t>
            </w:r>
          </w:p>
        </w:tc>
        <w:tc>
          <w:tcPr>
            <w:tcW w:w="7857" w:type="dxa"/>
          </w:tcPr>
          <w:p w14:paraId="3581B05C"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Cardiogenic shock, contraindication to DAPT, recent major bleeding, planned cardiac</w:t>
            </w:r>
          </w:p>
          <w:p w14:paraId="4B579A74"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surgery or intervention of another lesion after index hospital discharge, revascularization with other than COMBO stent, need for permanent DAPT, recent DES within 9 months, organ transplant, limited life expectancy</w:t>
            </w:r>
          </w:p>
        </w:tc>
      </w:tr>
      <w:tr w:rsidR="00B14068" w:rsidRPr="00B14068" w14:paraId="0125204B" w14:textId="77777777" w:rsidTr="00CD30B6">
        <w:tc>
          <w:tcPr>
            <w:tcW w:w="1430" w:type="dxa"/>
          </w:tcPr>
          <w:p w14:paraId="2F6C2533"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TWLIGHT</w:t>
            </w:r>
          </w:p>
        </w:tc>
        <w:tc>
          <w:tcPr>
            <w:tcW w:w="4661" w:type="dxa"/>
          </w:tcPr>
          <w:p w14:paraId="62DBD0CB"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Clinical criteria (at least 1): Age &gt;65, female sex, troponin positive ACS, Established vascular disease, DM, CKD AND Angiographic criteria (at least 1): multivessel CAD, stent length &gt; 30 mm, thrombotic target lesion, bifurcation lesion, left main &gt; 50% or proximal LAD &gt; 70% lesion, calcified target lesion requiring atherectomy</w:t>
            </w:r>
          </w:p>
        </w:tc>
        <w:tc>
          <w:tcPr>
            <w:tcW w:w="7857" w:type="dxa"/>
          </w:tcPr>
          <w:p w14:paraId="25E5EF96"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Under 18, contraindication to aspirin or ticagrelor, planned surgery within 90 days, planned coronary revascularization within 90 days, need for chronic oral anticoagulation, prior stroke, dialysis-dependent renal failure, active bleeding or extreme risk for major bleeding, salvage PCI for cardiogenic shock or STEMI presentation, liver cirrhosis, life expectancy &lt;1-year, unable or unwilling to provide informed consent, women of childbearing potential, fibrinolytic therapy within 24 h of PCI, concomitant therapy with a strong cytochrome</w:t>
            </w:r>
            <w:r w:rsidRPr="00B14068">
              <w:t xml:space="preserve"> </w:t>
            </w:r>
            <w:r w:rsidRPr="00B14068">
              <w:rPr>
                <w:rFonts w:ascii="Times New Roman" w:hAnsi="Times New Roman" w:cs="Times New Roman"/>
                <w:szCs w:val="21"/>
              </w:rPr>
              <w:t>P450 3A inhibitor or inducer, platelet count &lt;100,000, requiring ongoing treatment with aspirin &gt; 325 mg daily</w:t>
            </w:r>
          </w:p>
        </w:tc>
      </w:tr>
    </w:tbl>
    <w:p w14:paraId="085485B6" w14:textId="77777777" w:rsidR="00B14068" w:rsidRPr="00B14068" w:rsidRDefault="00B14068" w:rsidP="00B14068">
      <w:pPr>
        <w:rPr>
          <w:rFonts w:ascii="Times New Roman" w:hAnsi="Times New Roman" w:cs="Times New Roman"/>
          <w:szCs w:val="21"/>
        </w:rPr>
      </w:pPr>
      <w:r w:rsidRPr="00B14068">
        <w:rPr>
          <w:rFonts w:ascii="Times New Roman" w:hAnsi="Times New Roman" w:cs="Times New Roman"/>
          <w:szCs w:val="21"/>
        </w:rPr>
        <w:t xml:space="preserve">ACS= Acute coronary syndrome; ARCTIC =Assessment by a double Randomization of a Conventional antiplatelet strategy versus a monitoringguided strategy for drug-eluting stent implantation and, of Treatment Interruption versus Continuation 1 year after stenting; BMS=Bare-metal stent; CAD= Coronary artery disease; CCS=Canadian Cardiovascular Society; CKD= chronic kidney disease; CTO=Chronic total occlusion; </w:t>
      </w:r>
      <w:r w:rsidRPr="00B14068">
        <w:rPr>
          <w:rFonts w:ascii="Times New Roman" w:hAnsi="Times New Roman" w:cs="Times New Roman" w:hint="eastAsia"/>
          <w:szCs w:val="21"/>
        </w:rPr>
        <w:t>D</w:t>
      </w:r>
      <w:r w:rsidRPr="00B14068">
        <w:rPr>
          <w:rFonts w:ascii="Times New Roman" w:hAnsi="Times New Roman" w:cs="Times New Roman"/>
          <w:szCs w:val="21"/>
        </w:rPr>
        <w:t>APT =</w:t>
      </w:r>
      <w:r w:rsidRPr="00B14068">
        <w:t xml:space="preserve"> </w:t>
      </w:r>
      <w:r w:rsidRPr="00B14068">
        <w:rPr>
          <w:rFonts w:ascii="Times New Roman" w:hAnsi="Times New Roman" w:cs="Times New Roman"/>
          <w:szCs w:val="21"/>
        </w:rPr>
        <w:t>Dual Antiplatelet Therapy;</w:t>
      </w:r>
      <w:r w:rsidRPr="00B14068">
        <w:t xml:space="preserve"> </w:t>
      </w:r>
      <w:r w:rsidRPr="00B14068">
        <w:rPr>
          <w:rFonts w:ascii="Times New Roman" w:hAnsi="Times New Roman" w:cs="Times New Roman"/>
          <w:szCs w:val="21"/>
        </w:rPr>
        <w:t>DES=Drug eluting stent; DES LATE=the Optimal Duration of Clopidogrel Therapy With DES to Reduce Late Coronary Arterial Thrombotic Event Trial; DM= Diabetes mellitus; DS= Percent diameter stenosis;</w:t>
      </w:r>
      <w:r w:rsidRPr="00B14068">
        <w:t xml:space="preserve"> </w:t>
      </w:r>
      <w:r w:rsidRPr="00B14068">
        <w:rPr>
          <w:rFonts w:ascii="Times New Roman" w:hAnsi="Times New Roman" w:cs="Times New Roman"/>
          <w:szCs w:val="21"/>
        </w:rPr>
        <w:t xml:space="preserve">ECG=Electrocardiogram; EXCELLENT= The Efficacy of Xience/Promus Versus Cypher to Reduce Late Loss After Stenting Trial; GLOBAL LEADERS=A Clinical Study Comparing Two Forms of Anti-platelet Therapy After Stent Implantation;TVR=Target Vessel Revascularization; GP=Glycoprotein; I-LOVE-IT 2=Evaluate Safety and Effectiveness of the Tivoli DES and the Firebird DES for Treatment of Coronary Revascularization Trial; ISAR-SAFE= Intracoronary </w:t>
      </w:r>
      <w:r w:rsidRPr="00B14068">
        <w:rPr>
          <w:rFonts w:ascii="Times New Roman" w:hAnsi="Times New Roman" w:cs="Times New Roman"/>
          <w:szCs w:val="21"/>
        </w:rPr>
        <w:lastRenderedPageBreak/>
        <w:t>Stenting and Antithrombotic Regimen: Safety And EFficacy of 6-month Dual Antiplatelet Therapy After Drug-Eluting Stenting Trial; ITALIC= Is There A LIfe for DES after Discontinuation of Clopidogrel Trial; IVUS-XPL=Impact of Intravascular Ultrasound Guidance on Outcomes of XIENCE PRIME Stents in Long Lesions Study; LAD= Left anterior descending;</w:t>
      </w:r>
      <w:r w:rsidRPr="00B14068">
        <w:t xml:space="preserve"> </w:t>
      </w:r>
      <w:r w:rsidRPr="00B14068">
        <w:rPr>
          <w:rFonts w:ascii="Times New Roman" w:hAnsi="Times New Roman" w:cs="Times New Roman"/>
          <w:szCs w:val="21"/>
        </w:rPr>
        <w:t>LM= left main trunk; LVEF=Left ventricle; MACE=Major adverse cardiac events;</w:t>
      </w:r>
      <w:r w:rsidRPr="00B14068">
        <w:t xml:space="preserve"> </w:t>
      </w:r>
      <w:r w:rsidRPr="00B14068">
        <w:rPr>
          <w:rFonts w:ascii="Times New Roman" w:hAnsi="Times New Roman" w:cs="Times New Roman"/>
          <w:szCs w:val="21"/>
        </w:rPr>
        <w:t>MI=Myocardial infarction;</w:t>
      </w:r>
      <w:r w:rsidRPr="00B14068">
        <w:t xml:space="preserve"> </w:t>
      </w:r>
      <w:r w:rsidRPr="00B14068">
        <w:rPr>
          <w:rFonts w:ascii="Times New Roman" w:hAnsi="Times New Roman" w:cs="Times New Roman"/>
          <w:szCs w:val="21"/>
        </w:rPr>
        <w:t>MVD=Multivessel disease;</w:t>
      </w:r>
      <w:r w:rsidRPr="00B14068">
        <w:t xml:space="preserve"> </w:t>
      </w:r>
      <w:r w:rsidRPr="00B14068">
        <w:rPr>
          <w:rFonts w:ascii="Times New Roman" w:hAnsi="Times New Roman" w:cs="Times New Roman"/>
          <w:szCs w:val="21"/>
        </w:rPr>
        <w:t>NSTEMI=non-ST segment elevation myocardial infarction; OPTIDUAL=The OPTImal DUAL antiplatelet therapy Trial; OPTIMIZE= Optimized Duration of Clopidogrel Therapy Following Treatment With the Zotarolimus-Eluting Stent in RealWorld Clinical Practice; PCI=percutaneous coronary intervention; REAL-ZEST LATE= Correlation of Clopidogrel Therapy Discontinuation in Real World Patients Treated with Drug-Eluting Stent Implantation-Evaluation of the Long-Term Safety after Zotarolimus-Eluting Stent, Sirolimus-Eluting Stent, or Paclitaxel-Eluting Stent Implantation for Coronary Lesions Late Coronary Arterial Thrombotic Events; REDUCE=Randomized evaluation of short-term dual antiplatelet8 therapy in patients with acute coronary syndrome treated with the COMBO dual therapy stent; RESET=REal Safety and Efficacy of 3-month dual antiplatelet therapy following Endeavor Zotarolimus-eluting stent implantation; RVD=reference vessel diameter; SECURITY= Second Generation Drug-Eluting Stent Implantation Followed by Six- Versus Twelve-Month Dual Antiplatelet Therapy; SMART-CHOICE=Smart Angioplasty Research Team: Comparison Between P2Y12 Antagonist Monotherapy vs Dual Antiplatelet Therapy in Patients Undergoing Implantation of Coronary Drug-Eluting Stents; STEMI=ST segment elevation myocardial infarction; STOPDAPT-2=Short and Optimal Duration of Dual Antiplatelet Therapy After Everolimus-Eluting CobaltChromium Stent; TIA=transient ischemic attack; TWILIGHT = Ticagrelor with Aspirin or Alone in High-Risk Patients after Coronary Intervention</w:t>
      </w:r>
    </w:p>
    <w:p w14:paraId="666F9115" w14:textId="3006274E" w:rsidR="002825A4" w:rsidRPr="00B14068" w:rsidRDefault="002825A4"/>
    <w:sectPr w:rsidR="002825A4" w:rsidRPr="00B14068" w:rsidSect="00B1406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BBBC69" w14:textId="77777777" w:rsidR="00B9289B" w:rsidRDefault="00B9289B" w:rsidP="00B14068">
      <w:r>
        <w:separator/>
      </w:r>
    </w:p>
  </w:endnote>
  <w:endnote w:type="continuationSeparator" w:id="0">
    <w:p w14:paraId="76109BC9" w14:textId="77777777" w:rsidR="00B9289B" w:rsidRDefault="00B9289B" w:rsidP="00B140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F94079" w14:textId="77777777" w:rsidR="00B9289B" w:rsidRDefault="00B9289B" w:rsidP="00B14068">
      <w:r>
        <w:separator/>
      </w:r>
    </w:p>
  </w:footnote>
  <w:footnote w:type="continuationSeparator" w:id="0">
    <w:p w14:paraId="5481862A" w14:textId="77777777" w:rsidR="00B9289B" w:rsidRDefault="00B9289B" w:rsidP="00B140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B48"/>
    <w:rsid w:val="001C4B48"/>
    <w:rsid w:val="002825A4"/>
    <w:rsid w:val="00465FCD"/>
    <w:rsid w:val="00B14068"/>
    <w:rsid w:val="00B33545"/>
    <w:rsid w:val="00B9289B"/>
    <w:rsid w:val="00DC4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E62C10"/>
  <w15:chartTrackingRefBased/>
  <w15:docId w15:val="{39C6BB00-3E7A-4054-A8F5-C9C1E1A3A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40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14068"/>
    <w:rPr>
      <w:sz w:val="18"/>
      <w:szCs w:val="18"/>
    </w:rPr>
  </w:style>
  <w:style w:type="paragraph" w:styleId="a5">
    <w:name w:val="footer"/>
    <w:basedOn w:val="a"/>
    <w:link w:val="a6"/>
    <w:uiPriority w:val="99"/>
    <w:unhideWhenUsed/>
    <w:rsid w:val="00B14068"/>
    <w:pPr>
      <w:tabs>
        <w:tab w:val="center" w:pos="4153"/>
        <w:tab w:val="right" w:pos="8306"/>
      </w:tabs>
      <w:snapToGrid w:val="0"/>
      <w:jc w:val="left"/>
    </w:pPr>
    <w:rPr>
      <w:sz w:val="18"/>
      <w:szCs w:val="18"/>
    </w:rPr>
  </w:style>
  <w:style w:type="character" w:customStyle="1" w:styleId="a6">
    <w:name w:val="页脚 字符"/>
    <w:basedOn w:val="a0"/>
    <w:link w:val="a5"/>
    <w:uiPriority w:val="99"/>
    <w:rsid w:val="00B14068"/>
    <w:rPr>
      <w:sz w:val="18"/>
      <w:szCs w:val="18"/>
    </w:rPr>
  </w:style>
  <w:style w:type="table" w:styleId="a7">
    <w:name w:val="Table Grid"/>
    <w:basedOn w:val="a1"/>
    <w:uiPriority w:val="39"/>
    <w:rsid w:val="00B140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2042</Words>
  <Characters>11641</Characters>
  <Application>Microsoft Office Word</Application>
  <DocSecurity>0</DocSecurity>
  <Lines>97</Lines>
  <Paragraphs>27</Paragraphs>
  <ScaleCrop>false</ScaleCrop>
  <Company/>
  <LinksUpToDate>false</LinksUpToDate>
  <CharactersWithSpaces>13656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 珂</dc:creator>
  <cp:keywords/>
  <dc:description/>
  <cp:lastModifiedBy>安 珂</cp:lastModifiedBy>
  <cp:revision>5</cp:revision>
  <dcterms:created xsi:type="dcterms:W3CDTF">2020-12-28T08:46:00Z</dcterms:created>
  <dcterms:modified xsi:type="dcterms:W3CDTF">2021-01-15T08:50:00Z</dcterms:modified>
</cp:coreProperties>
</file>