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96252" w14:textId="77777777" w:rsidR="00F807AC" w:rsidRDefault="00F807AC" w:rsidP="00F807A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t xml:space="preserve">Association between serum chemokine CC-motif ligand 17 and prognosis of </w:t>
      </w:r>
      <w:bookmarkStart w:id="0" w:name="_Hlk61390719"/>
      <w:r>
        <w:rPr>
          <w:rFonts w:ascii="Times New Roman" w:hAnsi="Times New Roman" w:cs="Times New Roman"/>
          <w:b/>
          <w:sz w:val="24"/>
          <w:szCs w:val="21"/>
        </w:rPr>
        <w:t>patients at risk for coronary heart disease</w:t>
      </w:r>
      <w:bookmarkEnd w:id="0"/>
    </w:p>
    <w:p w14:paraId="7FADCF75" w14:textId="77777777" w:rsidR="00F807AC" w:rsidRDefault="00F807AC" w:rsidP="00F807AC">
      <w:pPr>
        <w:pStyle w:val="a7"/>
        <w:spacing w:line="360" w:lineRule="auto"/>
        <w:ind w:firstLineChars="0" w:firstLine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Ran Tian</w:t>
      </w:r>
      <w:r>
        <w:rPr>
          <w:rFonts w:ascii="Times New Roman" w:hAnsi="Times New Roman" w:cs="Times New Roman"/>
          <w:szCs w:val="21"/>
          <w:vertAlign w:val="superscript"/>
        </w:rPr>
        <w:t>1, *</w:t>
      </w:r>
      <w:r>
        <w:rPr>
          <w:rFonts w:ascii="Times New Roman" w:hAnsi="Times New Roman" w:cs="Times New Roman"/>
          <w:szCs w:val="21"/>
        </w:rPr>
        <w:t>, Si-Qin Feng</w:t>
      </w:r>
      <w:r>
        <w:rPr>
          <w:rFonts w:ascii="Times New Roman" w:hAnsi="Times New Roman" w:cs="Times New Roman"/>
          <w:szCs w:val="21"/>
          <w:vertAlign w:val="superscript"/>
        </w:rPr>
        <w:t>1.</w:t>
      </w:r>
      <w:proofErr w:type="gramStart"/>
      <w:r>
        <w:rPr>
          <w:rFonts w:ascii="Times New Roman" w:hAnsi="Times New Roman" w:cs="Times New Roman"/>
          <w:szCs w:val="21"/>
          <w:vertAlign w:val="superscript"/>
        </w:rPr>
        <w:t>3,*</w:t>
      </w:r>
      <w:proofErr w:type="gramEnd"/>
      <w:r>
        <w:rPr>
          <w:rFonts w:ascii="Times New Roman" w:hAnsi="Times New Roman" w:cs="Times New Roman"/>
          <w:szCs w:val="21"/>
        </w:rPr>
        <w:t>, Lei Wang</w:t>
      </w:r>
      <w:r>
        <w:rPr>
          <w:rFonts w:ascii="Times New Roman" w:hAnsi="Times New Roman" w:cs="Times New Roman"/>
          <w:szCs w:val="21"/>
          <w:vertAlign w:val="superscript"/>
        </w:rPr>
        <w:t>1.3,*</w:t>
      </w:r>
      <w:r>
        <w:rPr>
          <w:rFonts w:ascii="Times New Roman" w:hAnsi="Times New Roman" w:cs="Times New Roman"/>
          <w:szCs w:val="21"/>
        </w:rPr>
        <w:t>, Yi-Fei Wang</w:t>
      </w:r>
      <w:r>
        <w:rPr>
          <w:rFonts w:ascii="Times New Roman" w:hAnsi="Times New Roman" w:cs="Times New Roman"/>
          <w:szCs w:val="21"/>
          <w:vertAlign w:val="superscript"/>
        </w:rPr>
        <w:t>1,2,*</w:t>
      </w:r>
      <w:r>
        <w:rPr>
          <w:rFonts w:ascii="Times New Roman" w:hAnsi="Times New Roman" w:cs="Times New Roman"/>
          <w:szCs w:val="21"/>
        </w:rPr>
        <w:t>, Yi-Yang Wang</w:t>
      </w:r>
      <w:r>
        <w:rPr>
          <w:rFonts w:ascii="Times New Roman" w:hAnsi="Times New Roman" w:cs="Times New Roman"/>
          <w:szCs w:val="21"/>
          <w:vertAlign w:val="superscript"/>
        </w:rPr>
        <w:t>1,2,*</w:t>
      </w:r>
      <w:r>
        <w:rPr>
          <w:rFonts w:ascii="Times New Roman" w:hAnsi="Times New Roman" w:cs="Times New Roman"/>
          <w:szCs w:val="21"/>
        </w:rPr>
        <w:t>, Yu-</w:t>
      </w:r>
      <w:proofErr w:type="spellStart"/>
      <w:r>
        <w:rPr>
          <w:rFonts w:ascii="Times New Roman" w:hAnsi="Times New Roman" w:cs="Times New Roman"/>
          <w:szCs w:val="21"/>
        </w:rPr>
        <w:t>Xiong</w:t>
      </w:r>
      <w:proofErr w:type="spellEnd"/>
      <w:r>
        <w:rPr>
          <w:rFonts w:ascii="Times New Roman" w:hAnsi="Times New Roman" w:cs="Times New Roman"/>
          <w:szCs w:val="21"/>
        </w:rPr>
        <w:t xml:space="preserve"> Chen</w:t>
      </w:r>
      <w:r>
        <w:rPr>
          <w:rFonts w:ascii="Times New Roman" w:hAnsi="Times New Roman" w:cs="Times New Roman"/>
          <w:szCs w:val="21"/>
          <w:vertAlign w:val="superscript"/>
        </w:rPr>
        <w:t>1,3,*</w:t>
      </w:r>
      <w:r>
        <w:rPr>
          <w:rFonts w:ascii="Times New Roman" w:hAnsi="Times New Roman" w:cs="Times New Roman"/>
          <w:szCs w:val="21"/>
        </w:rPr>
        <w:t>, Hui Wang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</w:rPr>
        <w:t>, Hong-Hong Liu</w:t>
      </w:r>
      <w:r>
        <w:rPr>
          <w:rFonts w:ascii="Times New Roman" w:hAnsi="Times New Roman" w:cs="Times New Roman"/>
          <w:szCs w:val="21"/>
          <w:vertAlign w:val="superscript"/>
        </w:rPr>
        <w:t>1.3</w:t>
      </w:r>
      <w:r>
        <w:rPr>
          <w:rFonts w:ascii="Times New Roman" w:hAnsi="Times New Roman" w:cs="Times New Roman"/>
          <w:szCs w:val="21"/>
        </w:rPr>
        <w:t>, Shu-Yang Zhang</w:t>
      </w:r>
      <w:r>
        <w:rPr>
          <w:rFonts w:ascii="Times New Roman" w:hAnsi="Times New Roman" w:cs="Times New Roman"/>
          <w:szCs w:val="21"/>
          <w:vertAlign w:val="superscript"/>
        </w:rPr>
        <w:t>1,2.3,#</w:t>
      </w:r>
    </w:p>
    <w:p w14:paraId="49FCBC61" w14:textId="77777777" w:rsidR="00F807AC" w:rsidRDefault="00F807AC" w:rsidP="00F807AC">
      <w:pPr>
        <w:pStyle w:val="a7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i/>
          <w:szCs w:val="21"/>
        </w:rPr>
      </w:pPr>
      <w:r>
        <w:rPr>
          <w:rFonts w:ascii="Times New Roman" w:hAnsi="Times New Roman" w:cs="Times New Roman"/>
          <w:i/>
          <w:szCs w:val="21"/>
        </w:rPr>
        <w:t>Department of Cardiology, Peking Union Medical College Hospital, Beijing 100730, China</w:t>
      </w:r>
    </w:p>
    <w:p w14:paraId="7FD3BF42" w14:textId="77777777" w:rsidR="00F807AC" w:rsidRDefault="00F807AC" w:rsidP="00F807AC">
      <w:pPr>
        <w:pStyle w:val="a7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i/>
          <w:szCs w:val="21"/>
        </w:rPr>
      </w:pPr>
      <w:r>
        <w:rPr>
          <w:rFonts w:ascii="Times New Roman" w:hAnsi="Times New Roman" w:cs="Times New Roman"/>
          <w:i/>
          <w:szCs w:val="21"/>
        </w:rPr>
        <w:t>School of Medicine, Tsinghua University, Beijing 100084, China</w:t>
      </w:r>
    </w:p>
    <w:p w14:paraId="795D4800" w14:textId="77777777" w:rsidR="00F807AC" w:rsidRDefault="00F807AC" w:rsidP="00F807AC">
      <w:pPr>
        <w:pStyle w:val="a7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i/>
          <w:szCs w:val="21"/>
        </w:rPr>
      </w:pPr>
      <w:r>
        <w:rPr>
          <w:rFonts w:ascii="Times New Roman" w:hAnsi="Times New Roman" w:cs="Times New Roman"/>
          <w:i/>
          <w:szCs w:val="21"/>
        </w:rPr>
        <w:t>Chinese Academy of Medical Sciences and Peking Union Medical College, Beijing 100730, China</w:t>
      </w:r>
    </w:p>
    <w:p w14:paraId="0AA0201D" w14:textId="77777777" w:rsidR="00F807AC" w:rsidRDefault="00F807AC" w:rsidP="00F807AC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szCs w:val="21"/>
        </w:rPr>
        <w:t>: These authors contribute equally to this research.</w:t>
      </w:r>
    </w:p>
    <w:p w14:paraId="3BFCB29B" w14:textId="77777777" w:rsidR="00F807AC" w:rsidRDefault="00F807AC" w:rsidP="00F807AC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#</w:t>
      </w:r>
      <w:r>
        <w:rPr>
          <w:rFonts w:ascii="Times New Roman" w:hAnsi="Times New Roman" w:cs="Times New Roman"/>
          <w:szCs w:val="21"/>
        </w:rPr>
        <w:t>: Corresponding author:</w:t>
      </w:r>
    </w:p>
    <w:p w14:paraId="685CB561" w14:textId="77777777" w:rsidR="00F807AC" w:rsidRDefault="00F807AC" w:rsidP="00F807AC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Prof. </w:t>
      </w:r>
      <w:proofErr w:type="spellStart"/>
      <w:r>
        <w:rPr>
          <w:rFonts w:ascii="Times New Roman" w:hAnsi="Times New Roman" w:cs="Times New Roman"/>
          <w:szCs w:val="21"/>
        </w:rPr>
        <w:t>Shuyang</w:t>
      </w:r>
      <w:proofErr w:type="spellEnd"/>
      <w:r>
        <w:rPr>
          <w:rFonts w:ascii="Times New Roman" w:hAnsi="Times New Roman" w:cs="Times New Roman"/>
          <w:szCs w:val="21"/>
        </w:rPr>
        <w:t xml:space="preserve"> Zhang, MD</w:t>
      </w:r>
    </w:p>
    <w:p w14:paraId="47A7389C" w14:textId="77777777" w:rsidR="00F807AC" w:rsidRDefault="00F807AC" w:rsidP="00F807AC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Department of Cardiology, Peking Union Medical College Hospital, Chinese Academy of Medical Sciences and Peking Union Medical College, Beijing, China</w:t>
      </w:r>
    </w:p>
    <w:p w14:paraId="75338180" w14:textId="77777777" w:rsidR="00F807AC" w:rsidRDefault="00F807AC" w:rsidP="00F807AC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E-mail: </w:t>
      </w:r>
      <w:hyperlink r:id="rId7" w:history="1">
        <w:r>
          <w:rPr>
            <w:rStyle w:val="a9"/>
            <w:rFonts w:ascii="Times New Roman" w:hAnsi="Times New Roman" w:cs="Times New Roman"/>
            <w:szCs w:val="21"/>
          </w:rPr>
          <w:t>shuyangzhang103@nrdrs.org</w:t>
        </w:r>
      </w:hyperlink>
    </w:p>
    <w:p w14:paraId="69D60D67" w14:textId="77777777" w:rsidR="006432F2" w:rsidRDefault="00F807AC" w:rsidP="006B4561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Address: No.1 Shuai Fu Yuan, </w:t>
      </w:r>
      <w:proofErr w:type="spellStart"/>
      <w:r>
        <w:rPr>
          <w:rFonts w:ascii="Times New Roman" w:hAnsi="Times New Roman" w:cs="Times New Roman"/>
          <w:szCs w:val="21"/>
        </w:rPr>
        <w:t>Dongcheng</w:t>
      </w:r>
      <w:proofErr w:type="spellEnd"/>
      <w:r>
        <w:rPr>
          <w:rFonts w:ascii="Times New Roman" w:hAnsi="Times New Roman" w:cs="Times New Roman"/>
          <w:szCs w:val="21"/>
        </w:rPr>
        <w:t xml:space="preserve"> District, Beijing, China, 100730</w:t>
      </w:r>
    </w:p>
    <w:p w14:paraId="7F65BB66" w14:textId="77777777" w:rsidR="006432F2" w:rsidRDefault="006432F2" w:rsidP="006B4561">
      <w:pPr>
        <w:spacing w:line="360" w:lineRule="auto"/>
        <w:rPr>
          <w:rFonts w:ascii="Times New Roman" w:hAnsi="Times New Roman" w:cs="Times New Roman"/>
          <w:b/>
          <w:szCs w:val="21"/>
        </w:rPr>
      </w:pPr>
    </w:p>
    <w:p w14:paraId="24F88762" w14:textId="53CD2087" w:rsidR="006B4561" w:rsidRPr="005F75BC" w:rsidRDefault="006B4561" w:rsidP="006B4561">
      <w:pPr>
        <w:spacing w:line="360" w:lineRule="auto"/>
        <w:rPr>
          <w:rFonts w:ascii="Times New Roman" w:hAnsi="Times New Roman" w:cs="Times New Roman"/>
          <w:b/>
          <w:szCs w:val="21"/>
        </w:rPr>
      </w:pPr>
      <w:bookmarkStart w:id="1" w:name="_GoBack"/>
      <w:bookmarkEnd w:id="1"/>
      <w:r w:rsidRPr="005F75BC">
        <w:rPr>
          <w:rFonts w:ascii="Times New Roman" w:hAnsi="Times New Roman" w:cs="Times New Roman"/>
          <w:b/>
          <w:szCs w:val="21"/>
        </w:rPr>
        <w:t>Supplementary material</w:t>
      </w:r>
    </w:p>
    <w:p w14:paraId="6D6E7A5D" w14:textId="77777777" w:rsidR="006B4561" w:rsidRPr="005F75BC" w:rsidRDefault="006B4561" w:rsidP="006B45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szCs w:val="21"/>
        </w:rPr>
      </w:pPr>
      <w:r w:rsidRPr="005F75BC">
        <w:rPr>
          <w:rFonts w:ascii="Times New Roman" w:hAnsi="Times New Roman" w:cs="Times New Roman"/>
          <w:b/>
          <w:szCs w:val="21"/>
        </w:rPr>
        <w:t>Supplementary Method</w:t>
      </w:r>
    </w:p>
    <w:p w14:paraId="259E2ED9" w14:textId="4077FECB" w:rsidR="00F807AC" w:rsidRPr="00F807AC" w:rsidRDefault="006B4561" w:rsidP="006B4561">
      <w:pPr>
        <w:spacing w:line="360" w:lineRule="auto"/>
        <w:rPr>
          <w:rFonts w:ascii="Times New Roman" w:hAnsi="Times New Roman" w:cs="Times New Roman" w:hint="eastAsia"/>
          <w:szCs w:val="21"/>
        </w:rPr>
      </w:pPr>
      <w:r w:rsidRPr="005F75BC">
        <w:rPr>
          <w:rFonts w:ascii="Times New Roman" w:hAnsi="Times New Roman" w:cs="Times New Roman"/>
          <w:szCs w:val="21"/>
        </w:rPr>
        <w:tab/>
        <w:t xml:space="preserve">Smoking history is defined as patients who smoke </w:t>
      </w:r>
      <w:r>
        <w:rPr>
          <w:rFonts w:ascii="Times New Roman" w:hAnsi="Times New Roman" w:cs="Times New Roman"/>
          <w:szCs w:val="21"/>
        </w:rPr>
        <w:t xml:space="preserve">an </w:t>
      </w:r>
      <w:r w:rsidRPr="005F75BC">
        <w:rPr>
          <w:rFonts w:ascii="Times New Roman" w:hAnsi="Times New Roman" w:cs="Times New Roman"/>
          <w:szCs w:val="21"/>
        </w:rPr>
        <w:t xml:space="preserve">average </w:t>
      </w:r>
      <w:r w:rsidRPr="005F75BC">
        <w:rPr>
          <w:rFonts w:ascii="Times New Roman" w:hAnsi="Times New Roman" w:cs="Times New Roman"/>
          <w:sz w:val="18"/>
          <w:szCs w:val="21"/>
        </w:rPr>
        <w:t xml:space="preserve">≥ </w:t>
      </w:r>
      <w:r w:rsidRPr="005F75BC">
        <w:rPr>
          <w:rFonts w:ascii="Times New Roman" w:hAnsi="Times New Roman" w:cs="Times New Roman"/>
          <w:szCs w:val="21"/>
        </w:rPr>
        <w:t>1 cigarette per day for a cumulative 6 months.</w:t>
      </w:r>
    </w:p>
    <w:p w14:paraId="72D594CB" w14:textId="77777777" w:rsidR="006B4561" w:rsidRPr="005F75BC" w:rsidRDefault="006B4561" w:rsidP="006B4561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5F75BC">
        <w:rPr>
          <w:rFonts w:ascii="Times New Roman" w:hAnsi="Times New Roman" w:cs="Times New Roman"/>
          <w:szCs w:val="21"/>
        </w:rPr>
        <w:tab/>
        <w:t xml:space="preserve">Drinking history is defined as patients who consumed </w:t>
      </w:r>
      <w:r>
        <w:rPr>
          <w:rFonts w:ascii="Times New Roman" w:hAnsi="Times New Roman" w:cs="Times New Roman"/>
          <w:szCs w:val="21"/>
        </w:rPr>
        <w:t xml:space="preserve">an </w:t>
      </w:r>
      <w:r w:rsidRPr="005F75BC">
        <w:rPr>
          <w:rFonts w:ascii="Times New Roman" w:hAnsi="Times New Roman" w:cs="Times New Roman"/>
          <w:szCs w:val="21"/>
        </w:rPr>
        <w:t>average ≥ 50g of alcohol per day.</w:t>
      </w:r>
    </w:p>
    <w:p w14:paraId="06BA22FD" w14:textId="77777777" w:rsidR="006B4561" w:rsidRPr="005F75BC" w:rsidRDefault="006B4561" w:rsidP="006B4561">
      <w:pPr>
        <w:spacing w:line="360" w:lineRule="auto"/>
        <w:rPr>
          <w:rFonts w:ascii="Times New Roman" w:hAnsi="Times New Roman" w:cs="Times New Roman"/>
          <w:szCs w:val="21"/>
        </w:rPr>
      </w:pPr>
      <w:r w:rsidRPr="005F75BC">
        <w:rPr>
          <w:rFonts w:ascii="Times New Roman" w:hAnsi="Times New Roman" w:cs="Times New Roman"/>
          <w:szCs w:val="21"/>
        </w:rPr>
        <w:tab/>
        <w:t>Hypertension is diagnosed if meeting one of the following criteria: 1) Systolic blood pressure over 140 mmHg and/or diastolic blood pressure over 90 mmHg in the resting state for at least 3 times without using antihypertensive drugs; 2) Medical history of hypertension; 3) Under antihypertensive medication.</w:t>
      </w:r>
    </w:p>
    <w:p w14:paraId="2DDD0579" w14:textId="77777777" w:rsidR="006B4561" w:rsidRPr="005F75BC" w:rsidRDefault="006B4561" w:rsidP="006B4561">
      <w:pPr>
        <w:spacing w:line="360" w:lineRule="auto"/>
        <w:rPr>
          <w:rFonts w:ascii="Times New Roman" w:hAnsi="Times New Roman" w:cs="Times New Roman"/>
          <w:szCs w:val="21"/>
        </w:rPr>
      </w:pPr>
      <w:r w:rsidRPr="005F75BC">
        <w:rPr>
          <w:rFonts w:ascii="Times New Roman" w:hAnsi="Times New Roman" w:cs="Times New Roman"/>
          <w:szCs w:val="21"/>
        </w:rPr>
        <w:tab/>
        <w:t>Diabetes is diagnosed if meeting one of the following criteria: 1) Random blood glucose ≥11.1 mmol/L or fasting blood glucose≥7.0 mmol/L or 2h oral glucose tolerance test ≥ 11.1mmol/L, with classical symptoms; 2) HbA1c ≥ 6.5%; 3) Medical history of diabetes; 4) Under blood glucose-lowering medication.</w:t>
      </w:r>
    </w:p>
    <w:p w14:paraId="1327CA54" w14:textId="753946B6" w:rsidR="006B4561" w:rsidRDefault="006B4561" w:rsidP="006B4561">
      <w:pPr>
        <w:spacing w:line="360" w:lineRule="auto"/>
        <w:rPr>
          <w:rFonts w:ascii="Times New Roman" w:hAnsi="Times New Roman" w:cs="Times New Roman"/>
          <w:szCs w:val="21"/>
        </w:rPr>
      </w:pPr>
      <w:r w:rsidRPr="005F75BC">
        <w:rPr>
          <w:rFonts w:ascii="Times New Roman" w:hAnsi="Times New Roman" w:cs="Times New Roman"/>
          <w:szCs w:val="21"/>
        </w:rPr>
        <w:tab/>
        <w:t xml:space="preserve">Dyslipidemia is diagnosed if meeting one of the following criteria: 1) Hypercholesterolemia: </w:t>
      </w:r>
      <w:r w:rsidRPr="005F75BC">
        <w:rPr>
          <w:rFonts w:ascii="Times New Roman" w:hAnsi="Times New Roman" w:cs="Times New Roman"/>
          <w:szCs w:val="21"/>
        </w:rPr>
        <w:lastRenderedPageBreak/>
        <w:t xml:space="preserve">serum total cholesterol &gt; 5.2 mmol/L or low-density lipoprotein cholesterol &gt; 3.4 mmol/L or high-density lipoprotein cholesterol &lt; 1.0 mmol/L; 2) Hypertriglyceridemia: serum total </w:t>
      </w:r>
      <w:proofErr w:type="spellStart"/>
      <w:r w:rsidRPr="005F75BC">
        <w:rPr>
          <w:rFonts w:ascii="Times New Roman" w:hAnsi="Times New Roman" w:cs="Times New Roman"/>
          <w:szCs w:val="21"/>
        </w:rPr>
        <w:t>triglyceridemia</w:t>
      </w:r>
      <w:proofErr w:type="spellEnd"/>
      <w:r w:rsidRPr="005F75BC">
        <w:rPr>
          <w:rFonts w:ascii="Times New Roman" w:hAnsi="Times New Roman" w:cs="Times New Roman"/>
          <w:szCs w:val="21"/>
        </w:rPr>
        <w:t xml:space="preserve"> &gt; 1.7 mmol/L; 3) Serum lipoprotein (a) &gt; 300mg/L; 4) Medical history of dyslipidemia; 5) Under blood lipid-lowering medication.</w:t>
      </w:r>
    </w:p>
    <w:p w14:paraId="315AAA5B" w14:textId="77777777" w:rsidR="006B4561" w:rsidRPr="005F75BC" w:rsidRDefault="006B4561" w:rsidP="006B4561">
      <w:pPr>
        <w:spacing w:line="360" w:lineRule="auto"/>
        <w:rPr>
          <w:rFonts w:ascii="Times New Roman" w:hAnsi="Times New Roman" w:cs="Times New Roman"/>
          <w:szCs w:val="21"/>
        </w:rPr>
      </w:pPr>
    </w:p>
    <w:p w14:paraId="7889A40C" w14:textId="77777777" w:rsidR="006B4561" w:rsidRPr="005F75BC" w:rsidRDefault="006B4561" w:rsidP="006B4561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szCs w:val="21"/>
        </w:rPr>
      </w:pPr>
      <w:r w:rsidRPr="005F75BC">
        <w:rPr>
          <w:rFonts w:ascii="Times New Roman" w:hAnsi="Times New Roman" w:cs="Times New Roman"/>
          <w:b/>
          <w:szCs w:val="21"/>
        </w:rPr>
        <w:t>Supplementary figure and table</w:t>
      </w:r>
    </w:p>
    <w:p w14:paraId="53674EA7" w14:textId="77777777" w:rsidR="006B4561" w:rsidRPr="005F75BC" w:rsidRDefault="006B4561" w:rsidP="006B4561">
      <w:pPr>
        <w:spacing w:line="360" w:lineRule="auto"/>
        <w:rPr>
          <w:rFonts w:ascii="Times New Roman" w:hAnsi="Times New Roman" w:cs="Times New Roman"/>
          <w:szCs w:val="21"/>
        </w:rPr>
      </w:pPr>
      <w:r w:rsidRPr="005F75BC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1AD2ADC" wp14:editId="4B5232C8">
            <wp:extent cx="5274310" cy="2637155"/>
            <wp:effectExtent l="0" t="0" r="254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745497FF-1847-4095-AE14-F2B4DC1B56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745497FF-1847-4095-AE14-F2B4DC1B56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144E5" w14:textId="77777777" w:rsidR="006B4561" w:rsidRPr="005F75BC" w:rsidRDefault="006B4561" w:rsidP="006B4561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5F75BC">
        <w:rPr>
          <w:rFonts w:ascii="Times New Roman" w:hAnsi="Times New Roman" w:cs="Times New Roman"/>
          <w:b/>
          <w:szCs w:val="21"/>
        </w:rPr>
        <w:t>Supplementary Figure 1. Set of CCL17 cutoff points</w:t>
      </w:r>
    </w:p>
    <w:p w14:paraId="0BFCD212" w14:textId="77777777" w:rsidR="006B4561" w:rsidRPr="005F75BC" w:rsidRDefault="006B4561" w:rsidP="006B4561">
      <w:pPr>
        <w:spacing w:line="360" w:lineRule="auto"/>
        <w:jc w:val="left"/>
        <w:rPr>
          <w:rFonts w:ascii="Times New Roman" w:hAnsi="Times New Roman" w:cs="Times New Roman"/>
          <w:sz w:val="18"/>
          <w:szCs w:val="21"/>
        </w:rPr>
      </w:pPr>
      <w:r w:rsidRPr="005F75BC">
        <w:rPr>
          <w:rFonts w:ascii="Times New Roman" w:hAnsi="Times New Roman" w:cs="Times New Roman"/>
          <w:sz w:val="18"/>
          <w:szCs w:val="21"/>
        </w:rPr>
        <w:t>The ROC (receiver operating characteristic) curve was drawn based on CCL17 and the occu</w:t>
      </w:r>
      <w:r>
        <w:rPr>
          <w:rFonts w:ascii="Times New Roman" w:hAnsi="Times New Roman" w:cs="Times New Roman"/>
          <w:sz w:val="18"/>
          <w:szCs w:val="21"/>
        </w:rPr>
        <w:t>r</w:t>
      </w:r>
      <w:r w:rsidRPr="005F75BC">
        <w:rPr>
          <w:rFonts w:ascii="Times New Roman" w:hAnsi="Times New Roman" w:cs="Times New Roman"/>
          <w:sz w:val="18"/>
          <w:szCs w:val="21"/>
        </w:rPr>
        <w:t xml:space="preserve">rence of MACE. Based on </w:t>
      </w:r>
      <w:r>
        <w:rPr>
          <w:rFonts w:ascii="Times New Roman" w:hAnsi="Times New Roman" w:cs="Times New Roman"/>
          <w:sz w:val="18"/>
          <w:szCs w:val="21"/>
        </w:rPr>
        <w:t xml:space="preserve">the </w:t>
      </w:r>
      <w:r w:rsidRPr="005F75BC">
        <w:rPr>
          <w:rFonts w:ascii="Times New Roman" w:hAnsi="Times New Roman" w:cs="Times New Roman"/>
          <w:sz w:val="18"/>
          <w:szCs w:val="21"/>
        </w:rPr>
        <w:t>calculated Youden index, the concentration</w:t>
      </w:r>
      <w:r>
        <w:rPr>
          <w:rFonts w:ascii="Times New Roman" w:hAnsi="Times New Roman" w:cs="Times New Roman"/>
          <w:sz w:val="18"/>
          <w:szCs w:val="21"/>
        </w:rPr>
        <w:t>s</w:t>
      </w:r>
      <w:r w:rsidRPr="005F75BC">
        <w:rPr>
          <w:rFonts w:ascii="Times New Roman" w:hAnsi="Times New Roman" w:cs="Times New Roman"/>
          <w:sz w:val="18"/>
          <w:szCs w:val="21"/>
        </w:rPr>
        <w:t xml:space="preserve"> 185.960 </w:t>
      </w:r>
      <w:proofErr w:type="spellStart"/>
      <w:r w:rsidRPr="005F75BC">
        <w:rPr>
          <w:rFonts w:ascii="Times New Roman" w:hAnsi="Times New Roman" w:cs="Times New Roman"/>
          <w:sz w:val="18"/>
          <w:szCs w:val="21"/>
        </w:rPr>
        <w:t>pg</w:t>
      </w:r>
      <w:proofErr w:type="spellEnd"/>
      <w:r w:rsidRPr="005F75BC">
        <w:rPr>
          <w:rFonts w:ascii="Times New Roman" w:hAnsi="Times New Roman" w:cs="Times New Roman"/>
          <w:sz w:val="18"/>
          <w:szCs w:val="21"/>
        </w:rPr>
        <w:t xml:space="preserve">/mL and 268.173 </w:t>
      </w:r>
      <w:proofErr w:type="spellStart"/>
      <w:r w:rsidRPr="005F75BC">
        <w:rPr>
          <w:rFonts w:ascii="Times New Roman" w:hAnsi="Times New Roman" w:cs="Times New Roman"/>
          <w:sz w:val="18"/>
          <w:szCs w:val="21"/>
        </w:rPr>
        <w:t>pg</w:t>
      </w:r>
      <w:proofErr w:type="spellEnd"/>
      <w:r w:rsidRPr="005F75BC">
        <w:rPr>
          <w:rFonts w:ascii="Times New Roman" w:hAnsi="Times New Roman" w:cs="Times New Roman"/>
          <w:sz w:val="18"/>
          <w:szCs w:val="21"/>
        </w:rPr>
        <w:t>/mL were set as cutoff points, to divide the study population into 3 groups: CCL17 low, CCL17 medium</w:t>
      </w:r>
      <w:r>
        <w:rPr>
          <w:rFonts w:ascii="Times New Roman" w:hAnsi="Times New Roman" w:cs="Times New Roman"/>
          <w:sz w:val="18"/>
          <w:szCs w:val="21"/>
        </w:rPr>
        <w:t>,</w:t>
      </w:r>
      <w:r w:rsidRPr="005F75BC">
        <w:rPr>
          <w:rFonts w:ascii="Times New Roman" w:hAnsi="Times New Roman" w:cs="Times New Roman"/>
          <w:sz w:val="18"/>
          <w:szCs w:val="21"/>
        </w:rPr>
        <w:t xml:space="preserve"> and CCL17 high groups. ROC curve analysis showed the AUC (area under curve) of CCL17 for predicting MACE was 0.655 (95% CI 0.340-0.931) and 0.524 (95%CI 0.412-0.694) separately for two cutoff points.</w:t>
      </w:r>
    </w:p>
    <w:p w14:paraId="7D13BDF3" w14:textId="77777777" w:rsidR="006B4561" w:rsidRPr="005F75BC" w:rsidRDefault="006B4561" w:rsidP="006B4561">
      <w:pPr>
        <w:spacing w:line="360" w:lineRule="auto"/>
        <w:jc w:val="left"/>
        <w:rPr>
          <w:rFonts w:ascii="Times New Roman" w:hAnsi="Times New Roman" w:cs="Times New Roman"/>
          <w:szCs w:val="21"/>
        </w:rPr>
      </w:pPr>
    </w:p>
    <w:p w14:paraId="796B0311" w14:textId="77777777" w:rsidR="006B4561" w:rsidRPr="005F75BC" w:rsidRDefault="006B4561" w:rsidP="006B4561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  <w:r w:rsidRPr="005F75BC">
        <w:rPr>
          <w:rFonts w:ascii="Times New Roman" w:hAnsi="Times New Roman" w:cs="Times New Roman"/>
          <w:b/>
          <w:szCs w:val="21"/>
        </w:rPr>
        <w:t>Supplementary Table 1. Correlation between Conventional risk factors and MACE</w: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0"/>
        <w:gridCol w:w="1085"/>
        <w:gridCol w:w="1425"/>
        <w:gridCol w:w="1125"/>
        <w:gridCol w:w="851"/>
        <w:gridCol w:w="708"/>
        <w:gridCol w:w="1502"/>
      </w:tblGrid>
      <w:tr w:rsidR="006B4561" w:rsidRPr="005F75BC" w14:paraId="13A94870" w14:textId="77777777" w:rsidTr="00E15951">
        <w:trPr>
          <w:trHeight w:val="278"/>
        </w:trPr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61A3A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D1117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All patients</w:t>
            </w:r>
          </w:p>
          <w:p w14:paraId="5C97F87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(N=495)</w:t>
            </w:r>
          </w:p>
        </w:tc>
        <w:tc>
          <w:tcPr>
            <w:tcW w:w="858" w:type="pct"/>
            <w:tcBorders>
              <w:top w:val="single" w:sz="4" w:space="0" w:color="auto"/>
              <w:bottom w:val="single" w:sz="4" w:space="0" w:color="auto"/>
            </w:tcBorders>
          </w:tcPr>
          <w:p w14:paraId="4D23DF3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MACE</w:t>
            </w:r>
          </w:p>
          <w:p w14:paraId="7436659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(N=116)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E354CC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No MACE</w:t>
            </w:r>
          </w:p>
          <w:p w14:paraId="5D39105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(N=379)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</w:tcPr>
          <w:p w14:paraId="7133D71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Statistic Value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CCF0A6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P-value</w:t>
            </w:r>
          </w:p>
        </w:tc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</w:tcPr>
          <w:p w14:paraId="5DD01B0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HR (95% CI)</w:t>
            </w:r>
          </w:p>
        </w:tc>
      </w:tr>
      <w:tr w:rsidR="006B4561" w:rsidRPr="005F75BC" w14:paraId="178307C1" w14:textId="77777777" w:rsidTr="00E15951">
        <w:trPr>
          <w:trHeight w:val="278"/>
        </w:trPr>
        <w:tc>
          <w:tcPr>
            <w:tcW w:w="969" w:type="pct"/>
            <w:tcBorders>
              <w:top w:val="single" w:sz="4" w:space="0" w:color="auto"/>
            </w:tcBorders>
            <w:shd w:val="clear" w:color="auto" w:fill="DEEAF6" w:themeFill="accent5" w:themeFillTint="33"/>
            <w:noWrap/>
          </w:tcPr>
          <w:p w14:paraId="604CBE50" w14:textId="77777777" w:rsidR="006B4561" w:rsidRPr="005F75BC" w:rsidRDefault="006B4561" w:rsidP="00E15951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Demographics</w:t>
            </w:r>
          </w:p>
        </w:tc>
        <w:tc>
          <w:tcPr>
            <w:tcW w:w="653" w:type="pct"/>
            <w:tcBorders>
              <w:top w:val="single" w:sz="4" w:space="0" w:color="auto"/>
            </w:tcBorders>
            <w:shd w:val="clear" w:color="auto" w:fill="DEEAF6" w:themeFill="accent5" w:themeFillTint="33"/>
            <w:noWrap/>
          </w:tcPr>
          <w:p w14:paraId="7B2DE3C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8" w:type="pct"/>
            <w:tcBorders>
              <w:top w:val="single" w:sz="4" w:space="0" w:color="auto"/>
            </w:tcBorders>
            <w:shd w:val="clear" w:color="auto" w:fill="DEEAF6" w:themeFill="accent5" w:themeFillTint="33"/>
          </w:tcPr>
          <w:p w14:paraId="2A88CFB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DEEAF6" w:themeFill="accent5" w:themeFillTint="33"/>
            <w:noWrap/>
          </w:tcPr>
          <w:p w14:paraId="5D94975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12" w:type="pct"/>
            <w:tcBorders>
              <w:top w:val="single" w:sz="4" w:space="0" w:color="auto"/>
            </w:tcBorders>
            <w:shd w:val="clear" w:color="auto" w:fill="DEEAF6" w:themeFill="accent5" w:themeFillTint="33"/>
          </w:tcPr>
          <w:p w14:paraId="287E968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DEEAF6" w:themeFill="accent5" w:themeFillTint="33"/>
            <w:noWrap/>
          </w:tcPr>
          <w:p w14:paraId="1B60D20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04" w:type="pct"/>
            <w:tcBorders>
              <w:top w:val="single" w:sz="4" w:space="0" w:color="auto"/>
            </w:tcBorders>
            <w:shd w:val="clear" w:color="auto" w:fill="DEEAF6" w:themeFill="accent5" w:themeFillTint="33"/>
          </w:tcPr>
          <w:p w14:paraId="6C65C6A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4561" w:rsidRPr="005F75BC" w14:paraId="0D52388A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  <w:hideMark/>
          </w:tcPr>
          <w:p w14:paraId="18CD402C" w14:textId="77777777" w:rsidR="006B4561" w:rsidRPr="005F75BC" w:rsidRDefault="006B4561" w:rsidP="00E15951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Age, years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  <w:hideMark/>
          </w:tcPr>
          <w:p w14:paraId="15238F4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61.38±10.37</w:t>
            </w:r>
          </w:p>
        </w:tc>
        <w:tc>
          <w:tcPr>
            <w:tcW w:w="858" w:type="pct"/>
            <w:shd w:val="clear" w:color="auto" w:fill="DEEAF6" w:themeFill="accent5" w:themeFillTint="33"/>
          </w:tcPr>
          <w:p w14:paraId="103C98F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64.2±10.0</w:t>
            </w:r>
          </w:p>
        </w:tc>
        <w:tc>
          <w:tcPr>
            <w:tcW w:w="677" w:type="pct"/>
            <w:shd w:val="clear" w:color="auto" w:fill="DEEAF6" w:themeFill="accent5" w:themeFillTint="33"/>
            <w:noWrap/>
            <w:hideMark/>
          </w:tcPr>
          <w:p w14:paraId="7FC442F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60.5±10.4</w:t>
            </w:r>
          </w:p>
        </w:tc>
        <w:tc>
          <w:tcPr>
            <w:tcW w:w="512" w:type="pct"/>
            <w:shd w:val="clear" w:color="auto" w:fill="DEEAF6" w:themeFill="accent5" w:themeFillTint="33"/>
          </w:tcPr>
          <w:p w14:paraId="27491F3F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47.181</w:t>
            </w:r>
          </w:p>
        </w:tc>
        <w:tc>
          <w:tcPr>
            <w:tcW w:w="426" w:type="pct"/>
            <w:shd w:val="clear" w:color="auto" w:fill="DEEAF6" w:themeFill="accent5" w:themeFillTint="33"/>
            <w:noWrap/>
            <w:hideMark/>
          </w:tcPr>
          <w:p w14:paraId="3B408BE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0.699</w:t>
            </w:r>
          </w:p>
        </w:tc>
        <w:tc>
          <w:tcPr>
            <w:tcW w:w="904" w:type="pct"/>
            <w:shd w:val="clear" w:color="auto" w:fill="DEEAF6" w:themeFill="accent5" w:themeFillTint="33"/>
          </w:tcPr>
          <w:p w14:paraId="3644ED5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1.033 (1.013-1.053)</w:t>
            </w:r>
          </w:p>
        </w:tc>
      </w:tr>
      <w:tr w:rsidR="006B4561" w:rsidRPr="005F75BC" w14:paraId="6044A1FA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  <w:hideMark/>
          </w:tcPr>
          <w:p w14:paraId="264FCB5E" w14:textId="77777777" w:rsidR="006B4561" w:rsidRPr="005F75BC" w:rsidRDefault="006B4561" w:rsidP="00E15951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Sex, male, n (%)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  <w:hideMark/>
          </w:tcPr>
          <w:p w14:paraId="5E39A8B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347 (70.1)</w:t>
            </w:r>
          </w:p>
        </w:tc>
        <w:tc>
          <w:tcPr>
            <w:tcW w:w="858" w:type="pct"/>
            <w:shd w:val="clear" w:color="auto" w:fill="DEEAF6" w:themeFill="accent5" w:themeFillTint="33"/>
          </w:tcPr>
          <w:p w14:paraId="65097C7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79 (68.1)</w:t>
            </w:r>
          </w:p>
        </w:tc>
        <w:tc>
          <w:tcPr>
            <w:tcW w:w="677" w:type="pct"/>
            <w:shd w:val="clear" w:color="auto" w:fill="DEEAF6" w:themeFill="accent5" w:themeFillTint="33"/>
            <w:noWrap/>
            <w:hideMark/>
          </w:tcPr>
          <w:p w14:paraId="37F7FBB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268 (70.7)</w:t>
            </w:r>
          </w:p>
        </w:tc>
        <w:tc>
          <w:tcPr>
            <w:tcW w:w="512" w:type="pct"/>
            <w:shd w:val="clear" w:color="auto" w:fill="DEEAF6" w:themeFill="accent5" w:themeFillTint="33"/>
          </w:tcPr>
          <w:p w14:paraId="3F7FFD8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426" w:type="pct"/>
            <w:shd w:val="clear" w:color="auto" w:fill="DEEAF6" w:themeFill="accent5" w:themeFillTint="33"/>
            <w:noWrap/>
            <w:hideMark/>
          </w:tcPr>
          <w:p w14:paraId="2C2D4B4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0.976</w:t>
            </w:r>
          </w:p>
        </w:tc>
        <w:tc>
          <w:tcPr>
            <w:tcW w:w="904" w:type="pct"/>
            <w:shd w:val="clear" w:color="auto" w:fill="DEEAF6" w:themeFill="accent5" w:themeFillTint="33"/>
          </w:tcPr>
          <w:p w14:paraId="60ACCD1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1.065 (0.721-1.574)</w:t>
            </w:r>
          </w:p>
        </w:tc>
      </w:tr>
      <w:tr w:rsidR="006B4561" w:rsidRPr="005F75BC" w14:paraId="618113E3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  <w:hideMark/>
          </w:tcPr>
          <w:p w14:paraId="4406DD9E" w14:textId="77777777" w:rsidR="006B4561" w:rsidRPr="005F75BC" w:rsidRDefault="006B4561" w:rsidP="00E15951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BMI, kg/m</w:t>
            </w:r>
            <w:r w:rsidRPr="005F75B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  <w:hideMark/>
          </w:tcPr>
          <w:p w14:paraId="5670E28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25.79±3.48</w:t>
            </w:r>
          </w:p>
        </w:tc>
        <w:tc>
          <w:tcPr>
            <w:tcW w:w="858" w:type="pct"/>
            <w:shd w:val="clear" w:color="auto" w:fill="DEEAF6" w:themeFill="accent5" w:themeFillTint="33"/>
          </w:tcPr>
          <w:p w14:paraId="43AEE64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25.48±3.51</w:t>
            </w:r>
          </w:p>
        </w:tc>
        <w:tc>
          <w:tcPr>
            <w:tcW w:w="677" w:type="pct"/>
            <w:shd w:val="clear" w:color="auto" w:fill="DEEAF6" w:themeFill="accent5" w:themeFillTint="33"/>
            <w:noWrap/>
            <w:hideMark/>
          </w:tcPr>
          <w:p w14:paraId="27C5031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25.88±3.46</w:t>
            </w:r>
          </w:p>
        </w:tc>
        <w:tc>
          <w:tcPr>
            <w:tcW w:w="512" w:type="pct"/>
            <w:shd w:val="clear" w:color="auto" w:fill="DEEAF6" w:themeFill="accent5" w:themeFillTint="33"/>
          </w:tcPr>
          <w:p w14:paraId="4C14664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1600.382</w:t>
            </w:r>
          </w:p>
        </w:tc>
        <w:tc>
          <w:tcPr>
            <w:tcW w:w="426" w:type="pct"/>
            <w:shd w:val="clear" w:color="auto" w:fill="DEEAF6" w:themeFill="accent5" w:themeFillTint="33"/>
            <w:noWrap/>
            <w:hideMark/>
          </w:tcPr>
          <w:p w14:paraId="45A4218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  <w:shd w:val="clear" w:color="auto" w:fill="DEEAF6" w:themeFill="accent5" w:themeFillTint="33"/>
          </w:tcPr>
          <w:p w14:paraId="44A74EA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0.971 (0.920-1.025)</w:t>
            </w:r>
          </w:p>
        </w:tc>
      </w:tr>
      <w:tr w:rsidR="006B4561" w:rsidRPr="005F75BC" w14:paraId="108B2CA0" w14:textId="77777777" w:rsidTr="00E15951">
        <w:trPr>
          <w:trHeight w:val="278"/>
        </w:trPr>
        <w:tc>
          <w:tcPr>
            <w:tcW w:w="969" w:type="pct"/>
            <w:noWrap/>
          </w:tcPr>
          <w:p w14:paraId="2FE4E6A6" w14:textId="77777777" w:rsidR="006B4561" w:rsidRPr="005F75BC" w:rsidRDefault="006B4561" w:rsidP="00E15951">
            <w:pPr>
              <w:jc w:val="left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Disease History</w:t>
            </w:r>
          </w:p>
        </w:tc>
        <w:tc>
          <w:tcPr>
            <w:tcW w:w="653" w:type="pct"/>
            <w:noWrap/>
          </w:tcPr>
          <w:p w14:paraId="7B71397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8" w:type="pct"/>
          </w:tcPr>
          <w:p w14:paraId="41B61E7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pct"/>
            <w:noWrap/>
          </w:tcPr>
          <w:p w14:paraId="02BB708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12" w:type="pct"/>
          </w:tcPr>
          <w:p w14:paraId="6BD7E45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pct"/>
            <w:noWrap/>
          </w:tcPr>
          <w:p w14:paraId="545F075D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04" w:type="pct"/>
          </w:tcPr>
          <w:p w14:paraId="5CAA690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4561" w:rsidRPr="005F75BC" w14:paraId="6A92BF7B" w14:textId="77777777" w:rsidTr="00E15951">
        <w:trPr>
          <w:trHeight w:val="278"/>
        </w:trPr>
        <w:tc>
          <w:tcPr>
            <w:tcW w:w="969" w:type="pct"/>
            <w:noWrap/>
            <w:hideMark/>
          </w:tcPr>
          <w:p w14:paraId="463BA0C2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Smoke</w:t>
            </w:r>
          </w:p>
        </w:tc>
        <w:tc>
          <w:tcPr>
            <w:tcW w:w="653" w:type="pct"/>
            <w:noWrap/>
            <w:hideMark/>
          </w:tcPr>
          <w:p w14:paraId="789319E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382 (77.2)</w:t>
            </w:r>
          </w:p>
        </w:tc>
        <w:tc>
          <w:tcPr>
            <w:tcW w:w="858" w:type="pct"/>
          </w:tcPr>
          <w:p w14:paraId="3E5499B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90 (77.6)</w:t>
            </w:r>
          </w:p>
        </w:tc>
        <w:tc>
          <w:tcPr>
            <w:tcW w:w="677" w:type="pct"/>
            <w:noWrap/>
            <w:hideMark/>
          </w:tcPr>
          <w:p w14:paraId="4E98E3C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297 (78.4)</w:t>
            </w:r>
          </w:p>
        </w:tc>
        <w:tc>
          <w:tcPr>
            <w:tcW w:w="512" w:type="pct"/>
          </w:tcPr>
          <w:p w14:paraId="5A6655C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0.152</w:t>
            </w:r>
          </w:p>
        </w:tc>
        <w:tc>
          <w:tcPr>
            <w:tcW w:w="426" w:type="pct"/>
            <w:noWrap/>
            <w:hideMark/>
          </w:tcPr>
          <w:p w14:paraId="22F4A38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0.697</w:t>
            </w:r>
          </w:p>
        </w:tc>
        <w:tc>
          <w:tcPr>
            <w:tcW w:w="904" w:type="pct"/>
          </w:tcPr>
          <w:p w14:paraId="1E31764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1.091 (0.705-1.689)</w:t>
            </w:r>
          </w:p>
        </w:tc>
      </w:tr>
      <w:tr w:rsidR="006B4561" w:rsidRPr="005F75BC" w14:paraId="4BA8366A" w14:textId="77777777" w:rsidTr="00E15951">
        <w:trPr>
          <w:trHeight w:val="278"/>
        </w:trPr>
        <w:tc>
          <w:tcPr>
            <w:tcW w:w="969" w:type="pct"/>
            <w:noWrap/>
            <w:hideMark/>
          </w:tcPr>
          <w:p w14:paraId="1AC8B50B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Drinking</w:t>
            </w:r>
          </w:p>
        </w:tc>
        <w:tc>
          <w:tcPr>
            <w:tcW w:w="653" w:type="pct"/>
            <w:noWrap/>
            <w:hideMark/>
          </w:tcPr>
          <w:p w14:paraId="20D614E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151 (31.1)</w:t>
            </w:r>
          </w:p>
        </w:tc>
        <w:tc>
          <w:tcPr>
            <w:tcW w:w="858" w:type="pct"/>
          </w:tcPr>
          <w:p w14:paraId="4FEDAF3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38 (33.9)</w:t>
            </w:r>
          </w:p>
        </w:tc>
        <w:tc>
          <w:tcPr>
            <w:tcW w:w="677" w:type="pct"/>
            <w:noWrap/>
            <w:hideMark/>
          </w:tcPr>
          <w:p w14:paraId="6C670EF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116 (31.0)</w:t>
            </w:r>
          </w:p>
        </w:tc>
        <w:tc>
          <w:tcPr>
            <w:tcW w:w="512" w:type="pct"/>
          </w:tcPr>
          <w:p w14:paraId="48B618F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0.373</w:t>
            </w:r>
          </w:p>
        </w:tc>
        <w:tc>
          <w:tcPr>
            <w:tcW w:w="426" w:type="pct"/>
            <w:noWrap/>
            <w:hideMark/>
          </w:tcPr>
          <w:p w14:paraId="0CE8595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0.541</w:t>
            </w:r>
          </w:p>
        </w:tc>
        <w:tc>
          <w:tcPr>
            <w:tcW w:w="904" w:type="pct"/>
          </w:tcPr>
          <w:p w14:paraId="48B7BBB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1.130 (0.764-1.670)</w:t>
            </w:r>
          </w:p>
        </w:tc>
      </w:tr>
      <w:tr w:rsidR="006B4561" w:rsidRPr="005F75BC" w14:paraId="00BB0110" w14:textId="77777777" w:rsidTr="00E15951">
        <w:trPr>
          <w:trHeight w:val="278"/>
        </w:trPr>
        <w:tc>
          <w:tcPr>
            <w:tcW w:w="969" w:type="pct"/>
            <w:noWrap/>
            <w:hideMark/>
          </w:tcPr>
          <w:p w14:paraId="0F3C546E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   Hypertension</w:t>
            </w:r>
          </w:p>
        </w:tc>
        <w:tc>
          <w:tcPr>
            <w:tcW w:w="653" w:type="pct"/>
            <w:noWrap/>
            <w:hideMark/>
          </w:tcPr>
          <w:p w14:paraId="187FC43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339 (68.5)</w:t>
            </w:r>
          </w:p>
        </w:tc>
        <w:tc>
          <w:tcPr>
            <w:tcW w:w="858" w:type="pct"/>
          </w:tcPr>
          <w:p w14:paraId="7897846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78 (67.2)</w:t>
            </w:r>
          </w:p>
        </w:tc>
        <w:tc>
          <w:tcPr>
            <w:tcW w:w="677" w:type="pct"/>
            <w:noWrap/>
            <w:hideMark/>
          </w:tcPr>
          <w:p w14:paraId="67BEC75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261 (68.9)</w:t>
            </w:r>
          </w:p>
        </w:tc>
        <w:tc>
          <w:tcPr>
            <w:tcW w:w="512" w:type="pct"/>
          </w:tcPr>
          <w:p w14:paraId="1CF16A4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0.006</w:t>
            </w:r>
          </w:p>
        </w:tc>
        <w:tc>
          <w:tcPr>
            <w:tcW w:w="426" w:type="pct"/>
            <w:noWrap/>
            <w:hideMark/>
          </w:tcPr>
          <w:p w14:paraId="74872FA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0.937</w:t>
            </w:r>
          </w:p>
        </w:tc>
        <w:tc>
          <w:tcPr>
            <w:tcW w:w="904" w:type="pct"/>
          </w:tcPr>
          <w:p w14:paraId="013C48A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0.971 (0.657-1.436)</w:t>
            </w:r>
          </w:p>
        </w:tc>
      </w:tr>
      <w:tr w:rsidR="006B4561" w:rsidRPr="005F75BC" w14:paraId="42804749" w14:textId="77777777" w:rsidTr="00E15951">
        <w:trPr>
          <w:trHeight w:val="278"/>
        </w:trPr>
        <w:tc>
          <w:tcPr>
            <w:tcW w:w="969" w:type="pct"/>
            <w:noWrap/>
            <w:hideMark/>
          </w:tcPr>
          <w:p w14:paraId="21247B9D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Dyslipidemia</w:t>
            </w:r>
          </w:p>
        </w:tc>
        <w:tc>
          <w:tcPr>
            <w:tcW w:w="653" w:type="pct"/>
            <w:noWrap/>
            <w:hideMark/>
          </w:tcPr>
          <w:p w14:paraId="0FA6E8E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339 (68.5)</w:t>
            </w:r>
          </w:p>
        </w:tc>
        <w:tc>
          <w:tcPr>
            <w:tcW w:w="858" w:type="pct"/>
          </w:tcPr>
          <w:p w14:paraId="1140925C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77 (65.8)</w:t>
            </w:r>
          </w:p>
        </w:tc>
        <w:tc>
          <w:tcPr>
            <w:tcW w:w="677" w:type="pct"/>
            <w:noWrap/>
            <w:hideMark/>
          </w:tcPr>
          <w:p w14:paraId="753B9F5C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262 (69.1)</w:t>
            </w:r>
          </w:p>
        </w:tc>
        <w:tc>
          <w:tcPr>
            <w:tcW w:w="512" w:type="pct"/>
          </w:tcPr>
          <w:p w14:paraId="0B5D7D0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0.462</w:t>
            </w:r>
          </w:p>
        </w:tc>
        <w:tc>
          <w:tcPr>
            <w:tcW w:w="426" w:type="pct"/>
            <w:noWrap/>
            <w:hideMark/>
          </w:tcPr>
          <w:p w14:paraId="1C9152E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0.497</w:t>
            </w:r>
          </w:p>
        </w:tc>
        <w:tc>
          <w:tcPr>
            <w:tcW w:w="904" w:type="pct"/>
          </w:tcPr>
          <w:p w14:paraId="0E25281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0.876 (0.597-1.284)</w:t>
            </w:r>
          </w:p>
        </w:tc>
      </w:tr>
      <w:tr w:rsidR="006B4561" w:rsidRPr="005F75BC" w14:paraId="78CB051D" w14:textId="77777777" w:rsidTr="00E15951">
        <w:trPr>
          <w:trHeight w:val="278"/>
        </w:trPr>
        <w:tc>
          <w:tcPr>
            <w:tcW w:w="969" w:type="pct"/>
            <w:noWrap/>
            <w:hideMark/>
          </w:tcPr>
          <w:p w14:paraId="4E3B8D31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 Diabetes</w:t>
            </w:r>
          </w:p>
        </w:tc>
        <w:tc>
          <w:tcPr>
            <w:tcW w:w="653" w:type="pct"/>
            <w:noWrap/>
            <w:hideMark/>
          </w:tcPr>
          <w:p w14:paraId="5DA46A3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181 (36.6)</w:t>
            </w:r>
          </w:p>
        </w:tc>
        <w:tc>
          <w:tcPr>
            <w:tcW w:w="858" w:type="pct"/>
          </w:tcPr>
          <w:p w14:paraId="078AA80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56 (48.3)</w:t>
            </w:r>
          </w:p>
        </w:tc>
        <w:tc>
          <w:tcPr>
            <w:tcW w:w="677" w:type="pct"/>
            <w:noWrap/>
            <w:hideMark/>
          </w:tcPr>
          <w:p w14:paraId="6D5CE04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125 (33.0)</w:t>
            </w:r>
          </w:p>
        </w:tc>
        <w:tc>
          <w:tcPr>
            <w:tcW w:w="512" w:type="pct"/>
          </w:tcPr>
          <w:p w14:paraId="1F158F9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5.028</w:t>
            </w:r>
          </w:p>
        </w:tc>
        <w:tc>
          <w:tcPr>
            <w:tcW w:w="426" w:type="pct"/>
            <w:noWrap/>
            <w:hideMark/>
          </w:tcPr>
          <w:p w14:paraId="19324E8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0.025</w:t>
            </w:r>
          </w:p>
        </w:tc>
        <w:tc>
          <w:tcPr>
            <w:tcW w:w="904" w:type="pct"/>
          </w:tcPr>
          <w:p w14:paraId="39FB4D2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1.698 (1.179-2.445)</w:t>
            </w:r>
          </w:p>
        </w:tc>
      </w:tr>
      <w:tr w:rsidR="006B4561" w:rsidRPr="005F75BC" w14:paraId="26801ED0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</w:tcPr>
          <w:p w14:paraId="1F901BBA" w14:textId="77777777" w:rsidR="006B4561" w:rsidRPr="005F75BC" w:rsidRDefault="006B4561" w:rsidP="00E15951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Cardiac Evaluation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</w:tcPr>
          <w:p w14:paraId="7684818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8" w:type="pct"/>
            <w:shd w:val="clear" w:color="auto" w:fill="DEEAF6" w:themeFill="accent5" w:themeFillTint="33"/>
          </w:tcPr>
          <w:p w14:paraId="546981B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pct"/>
            <w:shd w:val="clear" w:color="auto" w:fill="DEEAF6" w:themeFill="accent5" w:themeFillTint="33"/>
            <w:noWrap/>
          </w:tcPr>
          <w:p w14:paraId="6EA21E8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12" w:type="pct"/>
            <w:shd w:val="clear" w:color="auto" w:fill="DEEAF6" w:themeFill="accent5" w:themeFillTint="33"/>
          </w:tcPr>
          <w:p w14:paraId="5C79DABD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pct"/>
            <w:shd w:val="clear" w:color="auto" w:fill="DEEAF6" w:themeFill="accent5" w:themeFillTint="33"/>
            <w:noWrap/>
          </w:tcPr>
          <w:p w14:paraId="49C9596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04" w:type="pct"/>
            <w:shd w:val="clear" w:color="auto" w:fill="DEEAF6" w:themeFill="accent5" w:themeFillTint="33"/>
          </w:tcPr>
          <w:p w14:paraId="4C77AEF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4561" w:rsidRPr="005F75BC" w14:paraId="774AE8EA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</w:tcPr>
          <w:p w14:paraId="1C2AC651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Gensini Score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</w:tcPr>
          <w:p w14:paraId="3006C01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36.62±34.47</w:t>
            </w:r>
          </w:p>
        </w:tc>
        <w:tc>
          <w:tcPr>
            <w:tcW w:w="858" w:type="pct"/>
            <w:shd w:val="clear" w:color="auto" w:fill="DEEAF6" w:themeFill="accent5" w:themeFillTint="33"/>
          </w:tcPr>
          <w:p w14:paraId="0E04ABDF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43.83±35.81</w:t>
            </w:r>
          </w:p>
        </w:tc>
        <w:tc>
          <w:tcPr>
            <w:tcW w:w="677" w:type="pct"/>
            <w:shd w:val="clear" w:color="auto" w:fill="DEEAF6" w:themeFill="accent5" w:themeFillTint="33"/>
            <w:noWrap/>
          </w:tcPr>
          <w:p w14:paraId="6442383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34.40±33.78</w:t>
            </w:r>
          </w:p>
        </w:tc>
        <w:tc>
          <w:tcPr>
            <w:tcW w:w="512" w:type="pct"/>
            <w:shd w:val="clear" w:color="auto" w:fill="DEEAF6" w:themeFill="accent5" w:themeFillTint="33"/>
          </w:tcPr>
          <w:p w14:paraId="5B747F2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874.392</w:t>
            </w:r>
          </w:p>
        </w:tc>
        <w:tc>
          <w:tcPr>
            <w:tcW w:w="426" w:type="pct"/>
            <w:shd w:val="clear" w:color="auto" w:fill="DEEAF6" w:themeFill="accent5" w:themeFillTint="33"/>
            <w:noWrap/>
          </w:tcPr>
          <w:p w14:paraId="1F3E28AD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  <w:shd w:val="clear" w:color="auto" w:fill="DEEAF6" w:themeFill="accent5" w:themeFillTint="33"/>
          </w:tcPr>
          <w:p w14:paraId="2EAB28D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1.006 (1.002-1.011)</w:t>
            </w:r>
          </w:p>
        </w:tc>
      </w:tr>
      <w:tr w:rsidR="006B4561" w:rsidRPr="005F75BC" w14:paraId="0775E489" w14:textId="77777777" w:rsidTr="00E15951">
        <w:trPr>
          <w:trHeight w:val="278"/>
        </w:trPr>
        <w:tc>
          <w:tcPr>
            <w:tcW w:w="969" w:type="pct"/>
            <w:shd w:val="clear" w:color="auto" w:fill="DEEAF6" w:themeFill="accent5" w:themeFillTint="33"/>
            <w:noWrap/>
          </w:tcPr>
          <w:p w14:paraId="0FD66248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No. of lesion vessels</w:t>
            </w:r>
          </w:p>
        </w:tc>
        <w:tc>
          <w:tcPr>
            <w:tcW w:w="653" w:type="pct"/>
            <w:shd w:val="clear" w:color="auto" w:fill="DEEAF6" w:themeFill="accent5" w:themeFillTint="33"/>
            <w:noWrap/>
          </w:tcPr>
          <w:p w14:paraId="2E850EA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1.97±1.04</w:t>
            </w:r>
          </w:p>
        </w:tc>
        <w:tc>
          <w:tcPr>
            <w:tcW w:w="858" w:type="pct"/>
            <w:shd w:val="clear" w:color="auto" w:fill="DEEAF6" w:themeFill="accent5" w:themeFillTint="33"/>
          </w:tcPr>
          <w:p w14:paraId="418F830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2.30±0.86</w:t>
            </w:r>
          </w:p>
        </w:tc>
        <w:tc>
          <w:tcPr>
            <w:tcW w:w="677" w:type="pct"/>
            <w:shd w:val="clear" w:color="auto" w:fill="DEEAF6" w:themeFill="accent5" w:themeFillTint="33"/>
            <w:noWrap/>
          </w:tcPr>
          <w:p w14:paraId="39A3123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1.86±1.07</w:t>
            </w:r>
          </w:p>
        </w:tc>
        <w:tc>
          <w:tcPr>
            <w:tcW w:w="512" w:type="pct"/>
            <w:shd w:val="clear" w:color="auto" w:fill="DEEAF6" w:themeFill="accent5" w:themeFillTint="33"/>
          </w:tcPr>
          <w:p w14:paraId="3FFDA96F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12.961</w:t>
            </w:r>
          </w:p>
        </w:tc>
        <w:tc>
          <w:tcPr>
            <w:tcW w:w="426" w:type="pct"/>
            <w:shd w:val="clear" w:color="auto" w:fill="DEEAF6" w:themeFill="accent5" w:themeFillTint="33"/>
            <w:noWrap/>
          </w:tcPr>
          <w:p w14:paraId="0159D3A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904" w:type="pct"/>
            <w:shd w:val="clear" w:color="auto" w:fill="DEEAF6" w:themeFill="accent5" w:themeFillTint="33"/>
          </w:tcPr>
          <w:p w14:paraId="6E1A713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1.473 (1.206-1.800)</w:t>
            </w:r>
          </w:p>
        </w:tc>
      </w:tr>
      <w:tr w:rsidR="006B4561" w:rsidRPr="005F75BC" w14:paraId="548EA10A" w14:textId="77777777" w:rsidTr="00E15951">
        <w:trPr>
          <w:trHeight w:val="278"/>
        </w:trPr>
        <w:tc>
          <w:tcPr>
            <w:tcW w:w="969" w:type="pct"/>
            <w:noWrap/>
          </w:tcPr>
          <w:p w14:paraId="50CD1889" w14:textId="77777777" w:rsidR="006B4561" w:rsidRPr="005F75BC" w:rsidRDefault="006B4561" w:rsidP="00E15951">
            <w:pPr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b/>
                <w:sz w:val="15"/>
                <w:szCs w:val="15"/>
              </w:rPr>
              <w:t>Laboratory results</w:t>
            </w:r>
          </w:p>
        </w:tc>
        <w:tc>
          <w:tcPr>
            <w:tcW w:w="653" w:type="pct"/>
            <w:noWrap/>
          </w:tcPr>
          <w:p w14:paraId="6733258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8" w:type="pct"/>
          </w:tcPr>
          <w:p w14:paraId="303352C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pct"/>
            <w:noWrap/>
          </w:tcPr>
          <w:p w14:paraId="3BFB98F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512" w:type="pct"/>
          </w:tcPr>
          <w:p w14:paraId="3E286BE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426" w:type="pct"/>
            <w:noWrap/>
          </w:tcPr>
          <w:p w14:paraId="2FBFBEB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04" w:type="pct"/>
          </w:tcPr>
          <w:p w14:paraId="6A04C88C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B4561" w:rsidRPr="005F75BC" w14:paraId="14E51AC3" w14:textId="77777777" w:rsidTr="00E15951">
        <w:trPr>
          <w:trHeight w:val="278"/>
        </w:trPr>
        <w:tc>
          <w:tcPr>
            <w:tcW w:w="969" w:type="pct"/>
            <w:noWrap/>
          </w:tcPr>
          <w:p w14:paraId="7EC4D1F9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PLT</w:t>
            </w:r>
          </w:p>
        </w:tc>
        <w:tc>
          <w:tcPr>
            <w:tcW w:w="653" w:type="pct"/>
            <w:noWrap/>
          </w:tcPr>
          <w:p w14:paraId="5FB83963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218.59±63.15</w:t>
            </w:r>
          </w:p>
        </w:tc>
        <w:tc>
          <w:tcPr>
            <w:tcW w:w="858" w:type="pct"/>
          </w:tcPr>
          <w:p w14:paraId="397E759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224.50±70.81</w:t>
            </w:r>
          </w:p>
        </w:tc>
        <w:tc>
          <w:tcPr>
            <w:tcW w:w="677" w:type="pct"/>
            <w:noWrap/>
          </w:tcPr>
          <w:p w14:paraId="4371E78A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216.82±60.66</w:t>
            </w:r>
          </w:p>
        </w:tc>
        <w:tc>
          <w:tcPr>
            <w:tcW w:w="512" w:type="pct"/>
          </w:tcPr>
          <w:p w14:paraId="03CC7021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666.754</w:t>
            </w:r>
          </w:p>
        </w:tc>
        <w:tc>
          <w:tcPr>
            <w:tcW w:w="426" w:type="pct"/>
            <w:noWrap/>
          </w:tcPr>
          <w:p w14:paraId="54F6510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</w:tcPr>
          <w:p w14:paraId="088FEF8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1.002 (0.999-1.004)</w:t>
            </w:r>
          </w:p>
        </w:tc>
      </w:tr>
      <w:tr w:rsidR="006B4561" w:rsidRPr="005F75BC" w14:paraId="3DE5342D" w14:textId="77777777" w:rsidTr="00E15951">
        <w:trPr>
          <w:trHeight w:val="278"/>
        </w:trPr>
        <w:tc>
          <w:tcPr>
            <w:tcW w:w="969" w:type="pct"/>
            <w:noWrap/>
          </w:tcPr>
          <w:p w14:paraId="344062F6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HbA1c</w:t>
            </w:r>
          </w:p>
        </w:tc>
        <w:tc>
          <w:tcPr>
            <w:tcW w:w="653" w:type="pct"/>
            <w:noWrap/>
          </w:tcPr>
          <w:p w14:paraId="2521531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6.61±1.43</w:t>
            </w:r>
          </w:p>
        </w:tc>
        <w:tc>
          <w:tcPr>
            <w:tcW w:w="858" w:type="pct"/>
          </w:tcPr>
          <w:p w14:paraId="0A7D0CB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7.07±1.60</w:t>
            </w:r>
          </w:p>
        </w:tc>
        <w:tc>
          <w:tcPr>
            <w:tcW w:w="677" w:type="pct"/>
            <w:noWrap/>
          </w:tcPr>
          <w:p w14:paraId="7A5CC7C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6.45±1.33</w:t>
            </w:r>
          </w:p>
        </w:tc>
        <w:tc>
          <w:tcPr>
            <w:tcW w:w="512" w:type="pct"/>
          </w:tcPr>
          <w:p w14:paraId="54680EB4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112.550</w:t>
            </w:r>
          </w:p>
        </w:tc>
        <w:tc>
          <w:tcPr>
            <w:tcW w:w="426" w:type="pct"/>
            <w:noWrap/>
          </w:tcPr>
          <w:p w14:paraId="3708F64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</w:tcPr>
          <w:p w14:paraId="6DDC779A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1.270 (1.087-1.484)</w:t>
            </w:r>
          </w:p>
        </w:tc>
      </w:tr>
      <w:tr w:rsidR="006B4561" w:rsidRPr="005F75BC" w14:paraId="2286E68D" w14:textId="77777777" w:rsidTr="00E15951">
        <w:trPr>
          <w:trHeight w:val="278"/>
        </w:trPr>
        <w:tc>
          <w:tcPr>
            <w:tcW w:w="969" w:type="pct"/>
            <w:noWrap/>
          </w:tcPr>
          <w:p w14:paraId="1D0F651C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  <w:proofErr w:type="spellStart"/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hsCRP</w:t>
            </w:r>
            <w:proofErr w:type="spellEnd"/>
          </w:p>
        </w:tc>
        <w:tc>
          <w:tcPr>
            <w:tcW w:w="653" w:type="pct"/>
            <w:noWrap/>
          </w:tcPr>
          <w:p w14:paraId="72A6B6F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7.58±30.27</w:t>
            </w:r>
          </w:p>
        </w:tc>
        <w:tc>
          <w:tcPr>
            <w:tcW w:w="858" w:type="pct"/>
          </w:tcPr>
          <w:p w14:paraId="00C5183E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8.34±21.34</w:t>
            </w:r>
          </w:p>
        </w:tc>
        <w:tc>
          <w:tcPr>
            <w:tcW w:w="677" w:type="pct"/>
            <w:noWrap/>
          </w:tcPr>
          <w:p w14:paraId="243FAA2A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7.37±32.36</w:t>
            </w:r>
          </w:p>
        </w:tc>
        <w:tc>
          <w:tcPr>
            <w:tcW w:w="512" w:type="pct"/>
          </w:tcPr>
          <w:p w14:paraId="396FC41B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621.370</w:t>
            </w:r>
          </w:p>
        </w:tc>
        <w:tc>
          <w:tcPr>
            <w:tcW w:w="426" w:type="pct"/>
            <w:noWrap/>
          </w:tcPr>
          <w:p w14:paraId="0FC323A7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</w:tcPr>
          <w:p w14:paraId="4C3B85C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1.001 (0.994-1.002)</w:t>
            </w:r>
          </w:p>
        </w:tc>
      </w:tr>
      <w:tr w:rsidR="006B4561" w:rsidRPr="005F75BC" w14:paraId="2CC6327B" w14:textId="77777777" w:rsidTr="00E15951">
        <w:trPr>
          <w:trHeight w:val="278"/>
        </w:trPr>
        <w:tc>
          <w:tcPr>
            <w:tcW w:w="969" w:type="pct"/>
            <w:noWrap/>
          </w:tcPr>
          <w:p w14:paraId="2C4773DC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eGFR</w:t>
            </w:r>
          </w:p>
        </w:tc>
        <w:tc>
          <w:tcPr>
            <w:tcW w:w="653" w:type="pct"/>
            <w:noWrap/>
          </w:tcPr>
          <w:p w14:paraId="4C34811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83.70±22.99</w:t>
            </w:r>
          </w:p>
        </w:tc>
        <w:tc>
          <w:tcPr>
            <w:tcW w:w="858" w:type="pct"/>
          </w:tcPr>
          <w:p w14:paraId="1548EB6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81.38±20.36</w:t>
            </w:r>
          </w:p>
        </w:tc>
        <w:tc>
          <w:tcPr>
            <w:tcW w:w="677" w:type="pct"/>
            <w:noWrap/>
          </w:tcPr>
          <w:p w14:paraId="297ABF88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84.39±23.69</w:t>
            </w:r>
          </w:p>
        </w:tc>
        <w:tc>
          <w:tcPr>
            <w:tcW w:w="512" w:type="pct"/>
          </w:tcPr>
          <w:p w14:paraId="65128F5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1641.082</w:t>
            </w:r>
          </w:p>
        </w:tc>
        <w:tc>
          <w:tcPr>
            <w:tcW w:w="426" w:type="pct"/>
            <w:noWrap/>
          </w:tcPr>
          <w:p w14:paraId="1411A24C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</w:tcPr>
          <w:p w14:paraId="038BFF1A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0.994 (0.985-1.002)</w:t>
            </w:r>
          </w:p>
        </w:tc>
      </w:tr>
      <w:tr w:rsidR="006B4561" w:rsidRPr="005F75BC" w14:paraId="44987952" w14:textId="77777777" w:rsidTr="00E15951">
        <w:trPr>
          <w:trHeight w:val="278"/>
        </w:trPr>
        <w:tc>
          <w:tcPr>
            <w:tcW w:w="969" w:type="pct"/>
            <w:tcBorders>
              <w:bottom w:val="single" w:sz="4" w:space="0" w:color="auto"/>
            </w:tcBorders>
            <w:noWrap/>
          </w:tcPr>
          <w:p w14:paraId="4A8B6EB3" w14:textId="77777777" w:rsidR="006B4561" w:rsidRPr="005F75BC" w:rsidRDefault="006B4561" w:rsidP="00E15951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 xml:space="preserve">  ALT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noWrap/>
          </w:tcPr>
          <w:p w14:paraId="6222B6F2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29.01±21.37</w:t>
            </w:r>
          </w:p>
        </w:tc>
        <w:tc>
          <w:tcPr>
            <w:tcW w:w="858" w:type="pct"/>
            <w:tcBorders>
              <w:bottom w:val="single" w:sz="4" w:space="0" w:color="auto"/>
            </w:tcBorders>
          </w:tcPr>
          <w:p w14:paraId="68D14DA9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28.63±22.27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noWrap/>
          </w:tcPr>
          <w:p w14:paraId="409D2DE0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29.13±21.13</w:t>
            </w:r>
          </w:p>
        </w:tc>
        <w:tc>
          <w:tcPr>
            <w:tcW w:w="512" w:type="pct"/>
            <w:tcBorders>
              <w:bottom w:val="single" w:sz="4" w:space="0" w:color="auto"/>
            </w:tcBorders>
          </w:tcPr>
          <w:p w14:paraId="68F5D046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203.082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noWrap/>
          </w:tcPr>
          <w:p w14:paraId="39440ED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&lt;0.001</w:t>
            </w:r>
          </w:p>
        </w:tc>
        <w:tc>
          <w:tcPr>
            <w:tcW w:w="904" w:type="pct"/>
            <w:tcBorders>
              <w:bottom w:val="single" w:sz="4" w:space="0" w:color="auto"/>
            </w:tcBorders>
          </w:tcPr>
          <w:p w14:paraId="02F9CF75" w14:textId="77777777" w:rsidR="006B4561" w:rsidRPr="005F75BC" w:rsidRDefault="006B4561" w:rsidP="00E15951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F75BC">
              <w:rPr>
                <w:rFonts w:ascii="Times New Roman" w:hAnsi="Times New Roman" w:cs="Times New Roman"/>
                <w:sz w:val="15"/>
                <w:szCs w:val="15"/>
              </w:rPr>
              <w:t>0.999 (0.990-1.008)</w:t>
            </w:r>
          </w:p>
        </w:tc>
      </w:tr>
    </w:tbl>
    <w:p w14:paraId="28731303" w14:textId="239D4932" w:rsidR="006B4561" w:rsidRDefault="006B4561" w:rsidP="006B4561">
      <w:pPr>
        <w:spacing w:line="360" w:lineRule="auto"/>
        <w:rPr>
          <w:rFonts w:ascii="Times New Roman" w:hAnsi="Times New Roman" w:cs="Times New Roman"/>
          <w:sz w:val="18"/>
          <w:szCs w:val="21"/>
        </w:rPr>
      </w:pPr>
      <w:r w:rsidRPr="005F75BC">
        <w:rPr>
          <w:rFonts w:ascii="Times New Roman" w:hAnsi="Times New Roman" w:cs="Times New Roman"/>
          <w:sz w:val="18"/>
          <w:szCs w:val="21"/>
        </w:rPr>
        <w:t>The correlation between different risk factors and MACE was calculated by the Log-rank test. With Hazard ratio (HR) and 95% confidence interval calculated by univariate Cox survival test.</w:t>
      </w:r>
    </w:p>
    <w:p w14:paraId="61FB5534" w14:textId="77777777" w:rsidR="00B343FF" w:rsidRPr="00763DC3" w:rsidRDefault="00B343FF">
      <w:pPr>
        <w:rPr>
          <w:sz w:val="16"/>
        </w:rPr>
      </w:pPr>
    </w:p>
    <w:sectPr w:rsidR="00B343FF" w:rsidRPr="00763D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BF5CB" w14:textId="77777777" w:rsidR="00492F1D" w:rsidRDefault="00492F1D" w:rsidP="006B4561">
      <w:r>
        <w:separator/>
      </w:r>
    </w:p>
  </w:endnote>
  <w:endnote w:type="continuationSeparator" w:id="0">
    <w:p w14:paraId="1B7D0620" w14:textId="77777777" w:rsidR="00492F1D" w:rsidRDefault="00492F1D" w:rsidP="006B4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778067" w14:textId="77777777" w:rsidR="00492F1D" w:rsidRDefault="00492F1D" w:rsidP="006B4561">
      <w:r>
        <w:separator/>
      </w:r>
    </w:p>
  </w:footnote>
  <w:footnote w:type="continuationSeparator" w:id="0">
    <w:p w14:paraId="008711AC" w14:textId="77777777" w:rsidR="00492F1D" w:rsidRDefault="00492F1D" w:rsidP="006B4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63694"/>
    <w:multiLevelType w:val="hybridMultilevel"/>
    <w:tmpl w:val="3812796A"/>
    <w:lvl w:ilvl="0" w:tplc="653C402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23000E9"/>
    <w:multiLevelType w:val="hybridMultilevel"/>
    <w:tmpl w:val="099AA2EC"/>
    <w:lvl w:ilvl="0" w:tplc="9C2E2AFA">
      <w:start w:val="1"/>
      <w:numFmt w:val="decimal"/>
      <w:lvlText w:val="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12AC1030"/>
    <w:multiLevelType w:val="multilevel"/>
    <w:tmpl w:val="F4AE6C12"/>
    <w:lvl w:ilvl="0">
      <w:start w:val="1"/>
      <w:numFmt w:val="decimal"/>
      <w:pStyle w:val="Style1"/>
      <w:lvlText w:val="%1."/>
      <w:lvlJc w:val="left"/>
      <w:pPr>
        <w:ind w:left="360" w:hanging="360"/>
      </w:pPr>
      <w:rPr>
        <w:rFonts w:cs="宋体"/>
        <w:b/>
      </w:rPr>
    </w:lvl>
    <w:lvl w:ilvl="1">
      <w:start w:val="1"/>
      <w:numFmt w:val="decimal"/>
      <w:pStyle w:val="Style2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2160" w:hanging="1080"/>
      </w:pPr>
    </w:lvl>
    <w:lvl w:ilvl="4">
      <w:start w:val="1"/>
      <w:numFmt w:val="decimal"/>
      <w:isLgl/>
      <w:lvlText w:val="%1.%2.%3.%4.%5"/>
      <w:lvlJc w:val="left"/>
      <w:pPr>
        <w:ind w:left="252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440"/>
      </w:pPr>
    </w:lvl>
    <w:lvl w:ilvl="6">
      <w:start w:val="1"/>
      <w:numFmt w:val="decimal"/>
      <w:isLgl/>
      <w:lvlText w:val="%1.%2.%3.%4.%5.%6.%7"/>
      <w:lvlJc w:val="left"/>
      <w:pPr>
        <w:ind w:left="360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</w:lvl>
  </w:abstractNum>
  <w:abstractNum w:abstractNumId="3" w15:restartNumberingAfterBreak="0">
    <w:nsid w:val="52DE4B01"/>
    <w:multiLevelType w:val="hybridMultilevel"/>
    <w:tmpl w:val="68866AFC"/>
    <w:lvl w:ilvl="0" w:tplc="957C22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AEA6714"/>
    <w:multiLevelType w:val="multilevel"/>
    <w:tmpl w:val="A50AD9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"/>
      <w:lvlJc w:val="left"/>
      <w:pPr>
        <w:ind w:left="360" w:hanging="36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2NzYBUiZG5kZmJko6SsGpxcWZ+XkgBUa1ABVSf5MsAAAA"/>
  </w:docVars>
  <w:rsids>
    <w:rsidRoot w:val="001012DD"/>
    <w:rsid w:val="001012DD"/>
    <w:rsid w:val="002A5C67"/>
    <w:rsid w:val="00492F1D"/>
    <w:rsid w:val="006432F2"/>
    <w:rsid w:val="00687074"/>
    <w:rsid w:val="006B4561"/>
    <w:rsid w:val="00763DC3"/>
    <w:rsid w:val="00805E60"/>
    <w:rsid w:val="00B343FF"/>
    <w:rsid w:val="00CF65FE"/>
    <w:rsid w:val="00F8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72FBF9"/>
  <w15:chartTrackingRefBased/>
  <w15:docId w15:val="{774E3C5B-FC40-42B0-8268-BDA23F4F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4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5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561"/>
    <w:rPr>
      <w:sz w:val="18"/>
      <w:szCs w:val="18"/>
    </w:rPr>
  </w:style>
  <w:style w:type="paragraph" w:styleId="a7">
    <w:name w:val="List Paragraph"/>
    <w:basedOn w:val="a"/>
    <w:uiPriority w:val="34"/>
    <w:qFormat/>
    <w:rsid w:val="006B4561"/>
    <w:pPr>
      <w:ind w:firstLineChars="200" w:firstLine="420"/>
    </w:pPr>
  </w:style>
  <w:style w:type="table" w:styleId="a8">
    <w:name w:val="Table Grid"/>
    <w:basedOn w:val="a1"/>
    <w:uiPriority w:val="39"/>
    <w:rsid w:val="006B4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7"/>
    <w:qFormat/>
    <w:rsid w:val="00B343FF"/>
    <w:pPr>
      <w:widowControl/>
      <w:numPr>
        <w:numId w:val="2"/>
      </w:numPr>
      <w:tabs>
        <w:tab w:val="num" w:pos="360"/>
      </w:tabs>
      <w:ind w:left="0" w:firstLineChars="0" w:firstLine="0"/>
      <w:contextualSpacing/>
      <w:jc w:val="left"/>
    </w:pPr>
    <w:rPr>
      <w:rFonts w:ascii="Cambria" w:hAnsi="Cambria" w:cs="宋体"/>
      <w:b/>
      <w:kern w:val="0"/>
      <w:sz w:val="24"/>
      <w:szCs w:val="24"/>
    </w:rPr>
  </w:style>
  <w:style w:type="paragraph" w:customStyle="1" w:styleId="Style2">
    <w:name w:val="Style2"/>
    <w:basedOn w:val="a7"/>
    <w:qFormat/>
    <w:rsid w:val="00B343FF"/>
    <w:pPr>
      <w:widowControl/>
      <w:numPr>
        <w:ilvl w:val="1"/>
        <w:numId w:val="2"/>
      </w:numPr>
      <w:tabs>
        <w:tab w:val="num" w:pos="360"/>
      </w:tabs>
      <w:ind w:left="0" w:firstLineChars="0" w:firstLine="0"/>
      <w:contextualSpacing/>
      <w:jc w:val="left"/>
    </w:pPr>
    <w:rPr>
      <w:rFonts w:ascii="Cambria" w:hAnsi="Cambria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F807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6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shuyangzhang103@nrdr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一斐</dc:creator>
  <cp:keywords/>
  <dc:description/>
  <cp:lastModifiedBy>王 一斐</cp:lastModifiedBy>
  <cp:revision>6</cp:revision>
  <dcterms:created xsi:type="dcterms:W3CDTF">2021-01-17T16:10:00Z</dcterms:created>
  <dcterms:modified xsi:type="dcterms:W3CDTF">2021-02-24T00:06:00Z</dcterms:modified>
</cp:coreProperties>
</file>