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E8E548" w14:textId="77777777" w:rsidR="00D87AF7" w:rsidRDefault="00D87AF7" w:rsidP="005B567D">
      <w:pPr>
        <w:pStyle w:val="TableTitle"/>
      </w:pPr>
      <w:bookmarkStart w:id="0" w:name="OLE_LINK1"/>
      <w:r w:rsidRPr="003F652A">
        <w:t xml:space="preserve">STROBE </w:t>
      </w:r>
      <w:r w:rsidR="00F0752A">
        <w:t>S</w:t>
      </w:r>
      <w:r w:rsidRPr="003F652A">
        <w:t>tatement</w:t>
      </w:r>
      <w:bookmarkEnd w:id="0"/>
      <w:r w:rsidRPr="003F652A">
        <w:t xml:space="preserve">—checklist of items that should be </w:t>
      </w:r>
      <w:r w:rsidR="00B60EFB">
        <w:t xml:space="preserve">included </w:t>
      </w:r>
      <w:r w:rsidRPr="003F652A">
        <w:t>in r</w:t>
      </w:r>
      <w:r w:rsidR="004A32C8">
        <w:t>eports of observational studies</w:t>
      </w:r>
    </w:p>
    <w:p w14:paraId="1FB0C7E3"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304"/>
        <w:gridCol w:w="3090"/>
      </w:tblGrid>
      <w:tr w:rsidR="00191A23" w:rsidRPr="0022554A" w14:paraId="2A72AA1F" w14:textId="77777777" w:rsidTr="00F954C6">
        <w:tc>
          <w:tcPr>
            <w:tcW w:w="1951" w:type="dxa"/>
          </w:tcPr>
          <w:p w14:paraId="5BF102F0" w14:textId="77777777" w:rsidR="00191A23" w:rsidRPr="0022554A" w:rsidRDefault="00191A2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616" w:type="dxa"/>
          </w:tcPr>
          <w:p w14:paraId="480AA939"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5C0AC918"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304" w:type="dxa"/>
          </w:tcPr>
          <w:p w14:paraId="24D1924F"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3090" w:type="dxa"/>
          </w:tcPr>
          <w:p w14:paraId="16E6AC74"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DEB132F" w14:textId="77777777" w:rsidTr="00F954C6">
        <w:tc>
          <w:tcPr>
            <w:tcW w:w="1951" w:type="dxa"/>
            <w:vMerge w:val="restart"/>
          </w:tcPr>
          <w:p w14:paraId="0BF521C9" w14:textId="3CCEA547" w:rsidR="00191A23" w:rsidRPr="002602FB" w:rsidRDefault="00191A23"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616" w:type="dxa"/>
            <w:vMerge w:val="restart"/>
          </w:tcPr>
          <w:p w14:paraId="561DCA2D" w14:textId="77777777" w:rsidR="00191A23" w:rsidRPr="0022554A" w:rsidRDefault="00191A23" w:rsidP="0022554A">
            <w:pPr>
              <w:tabs>
                <w:tab w:val="left" w:pos="5400"/>
              </w:tabs>
              <w:jc w:val="center"/>
              <w:rPr>
                <w:sz w:val="20"/>
              </w:rPr>
            </w:pPr>
            <w:r w:rsidRPr="0022554A">
              <w:rPr>
                <w:sz w:val="20"/>
              </w:rPr>
              <w:t>1</w:t>
            </w:r>
          </w:p>
        </w:tc>
        <w:tc>
          <w:tcPr>
            <w:tcW w:w="8031" w:type="dxa"/>
          </w:tcPr>
          <w:p w14:paraId="4FE1F5FD"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304" w:type="dxa"/>
          </w:tcPr>
          <w:p w14:paraId="2AA6DC5A" w14:textId="36572DA8" w:rsidR="00191A23" w:rsidRPr="0022554A" w:rsidRDefault="00D547AB" w:rsidP="00007ADF">
            <w:pPr>
              <w:tabs>
                <w:tab w:val="left" w:pos="5400"/>
              </w:tabs>
              <w:jc w:val="center"/>
              <w:rPr>
                <w:sz w:val="20"/>
              </w:rPr>
            </w:pPr>
            <w:r>
              <w:rPr>
                <w:sz w:val="20"/>
              </w:rPr>
              <w:t>2</w:t>
            </w:r>
          </w:p>
        </w:tc>
        <w:tc>
          <w:tcPr>
            <w:tcW w:w="3090" w:type="dxa"/>
          </w:tcPr>
          <w:p w14:paraId="5E6042AF" w14:textId="790C668A" w:rsidR="00191A23" w:rsidRPr="0022554A" w:rsidRDefault="00D547AB" w:rsidP="0022554A">
            <w:pPr>
              <w:tabs>
                <w:tab w:val="left" w:pos="5400"/>
              </w:tabs>
              <w:rPr>
                <w:sz w:val="20"/>
              </w:rPr>
            </w:pPr>
            <w:r>
              <w:rPr>
                <w:sz w:val="20"/>
              </w:rPr>
              <w:t>T</w:t>
            </w:r>
            <w:r w:rsidRPr="00D547AB">
              <w:rPr>
                <w:sz w:val="20"/>
              </w:rPr>
              <w:t>his retrospective clinical study</w:t>
            </w:r>
          </w:p>
        </w:tc>
      </w:tr>
      <w:tr w:rsidR="00191A23" w:rsidRPr="0022554A" w14:paraId="17FD437F" w14:textId="77777777" w:rsidTr="00F954C6">
        <w:tc>
          <w:tcPr>
            <w:tcW w:w="1951" w:type="dxa"/>
            <w:vMerge/>
          </w:tcPr>
          <w:p w14:paraId="2E4BC339" w14:textId="77777777" w:rsidR="00191A23" w:rsidRPr="0022554A" w:rsidRDefault="00191A23" w:rsidP="0022554A">
            <w:pPr>
              <w:tabs>
                <w:tab w:val="left" w:pos="5400"/>
              </w:tabs>
              <w:rPr>
                <w:bCs/>
                <w:sz w:val="20"/>
              </w:rPr>
            </w:pPr>
            <w:bookmarkStart w:id="12" w:name="bold6" w:colFirst="0" w:colLast="0"/>
            <w:bookmarkStart w:id="13" w:name="italic7" w:colFirst="0" w:colLast="0"/>
          </w:p>
        </w:tc>
        <w:tc>
          <w:tcPr>
            <w:tcW w:w="616" w:type="dxa"/>
            <w:vMerge/>
          </w:tcPr>
          <w:p w14:paraId="2B8D30AF" w14:textId="77777777" w:rsidR="00191A23" w:rsidRPr="0022554A" w:rsidRDefault="00191A23" w:rsidP="0022554A">
            <w:pPr>
              <w:tabs>
                <w:tab w:val="left" w:pos="5400"/>
              </w:tabs>
              <w:jc w:val="center"/>
              <w:rPr>
                <w:sz w:val="20"/>
              </w:rPr>
            </w:pPr>
          </w:p>
        </w:tc>
        <w:tc>
          <w:tcPr>
            <w:tcW w:w="8031" w:type="dxa"/>
          </w:tcPr>
          <w:p w14:paraId="62916E48"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304" w:type="dxa"/>
          </w:tcPr>
          <w:p w14:paraId="0040AFA7" w14:textId="0D028FED" w:rsidR="00191A23" w:rsidRPr="0022554A" w:rsidRDefault="00D547AB" w:rsidP="00007ADF">
            <w:pPr>
              <w:tabs>
                <w:tab w:val="left" w:pos="5400"/>
              </w:tabs>
              <w:jc w:val="center"/>
              <w:rPr>
                <w:sz w:val="20"/>
                <w:lang w:eastAsia="zh-CN"/>
              </w:rPr>
            </w:pPr>
            <w:r>
              <w:rPr>
                <w:sz w:val="20"/>
                <w:lang w:eastAsia="zh-CN"/>
              </w:rPr>
              <w:t>2</w:t>
            </w:r>
          </w:p>
        </w:tc>
        <w:tc>
          <w:tcPr>
            <w:tcW w:w="3090" w:type="dxa"/>
          </w:tcPr>
          <w:p w14:paraId="4C9F57EF" w14:textId="4D54F8F1" w:rsidR="00191A23" w:rsidRPr="0022554A" w:rsidRDefault="00D547AB" w:rsidP="0022554A">
            <w:pPr>
              <w:tabs>
                <w:tab w:val="left" w:pos="5400"/>
              </w:tabs>
              <w:rPr>
                <w:sz w:val="20"/>
              </w:rPr>
            </w:pPr>
            <w:r w:rsidRPr="00D547AB">
              <w:rPr>
                <w:sz w:val="20"/>
              </w:rPr>
              <w:t>The study aims to investigate the incidence and possible influencing factors of AKI in patients undergoning the radical operation of tetralogy of Fallot (TOF) with different preoperative oxygen partial pressure.</w:t>
            </w:r>
            <w:r>
              <w:rPr>
                <w:sz w:val="20"/>
              </w:rPr>
              <w:t xml:space="preserve"> </w:t>
            </w:r>
            <w:r w:rsidRPr="00D547AB">
              <w:rPr>
                <w:sz w:val="20"/>
              </w:rPr>
              <w:t>Low preoperative PaO2 does not significantly increase the incidence of AKI and Pv-aCO2/Ca-vO2 is associated with postoperative AKI and persistent.</w:t>
            </w:r>
          </w:p>
        </w:tc>
      </w:tr>
      <w:tr w:rsidR="00191A23" w:rsidRPr="0022554A" w14:paraId="64D4BD0C" w14:textId="77777777" w:rsidTr="00F954C6">
        <w:tc>
          <w:tcPr>
            <w:tcW w:w="11902" w:type="dxa"/>
            <w:gridSpan w:val="4"/>
          </w:tcPr>
          <w:p w14:paraId="6A130E90" w14:textId="77777777" w:rsidR="00191A23" w:rsidRPr="0022554A" w:rsidRDefault="00191A23" w:rsidP="0022554A">
            <w:pPr>
              <w:pStyle w:val="TableSubHead"/>
              <w:tabs>
                <w:tab w:val="left" w:pos="5400"/>
              </w:tabs>
              <w:rPr>
                <w:sz w:val="20"/>
              </w:rPr>
            </w:pPr>
            <w:bookmarkStart w:id="14" w:name="bold7"/>
            <w:bookmarkStart w:id="15" w:name="italic8"/>
            <w:bookmarkEnd w:id="12"/>
            <w:bookmarkEnd w:id="13"/>
            <w:r w:rsidRPr="0022554A">
              <w:rPr>
                <w:sz w:val="20"/>
              </w:rPr>
              <w:t>Introduction</w:t>
            </w:r>
          </w:p>
        </w:tc>
        <w:bookmarkEnd w:id="14"/>
        <w:bookmarkEnd w:id="15"/>
        <w:tc>
          <w:tcPr>
            <w:tcW w:w="3090" w:type="dxa"/>
          </w:tcPr>
          <w:p w14:paraId="7822A9B0" w14:textId="77777777" w:rsidR="00191A23" w:rsidRPr="0022554A" w:rsidRDefault="00191A23" w:rsidP="0022554A">
            <w:pPr>
              <w:pStyle w:val="TableSubHead"/>
              <w:tabs>
                <w:tab w:val="left" w:pos="5400"/>
              </w:tabs>
              <w:rPr>
                <w:sz w:val="20"/>
              </w:rPr>
            </w:pPr>
          </w:p>
        </w:tc>
      </w:tr>
      <w:tr w:rsidR="00191A23" w:rsidRPr="0022554A" w14:paraId="5C20BAFC" w14:textId="77777777" w:rsidTr="00F954C6">
        <w:tc>
          <w:tcPr>
            <w:tcW w:w="1951" w:type="dxa"/>
          </w:tcPr>
          <w:p w14:paraId="506555CB" w14:textId="3D1C9038" w:rsidR="00191A23" w:rsidRPr="0022554A" w:rsidRDefault="00191A23"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616" w:type="dxa"/>
          </w:tcPr>
          <w:p w14:paraId="5A991DD1" w14:textId="77777777" w:rsidR="00191A23" w:rsidRPr="0022554A" w:rsidRDefault="00191A23" w:rsidP="0022554A">
            <w:pPr>
              <w:tabs>
                <w:tab w:val="left" w:pos="5400"/>
              </w:tabs>
              <w:jc w:val="center"/>
              <w:rPr>
                <w:sz w:val="20"/>
              </w:rPr>
            </w:pPr>
            <w:r w:rsidRPr="0022554A">
              <w:rPr>
                <w:sz w:val="20"/>
              </w:rPr>
              <w:t>2</w:t>
            </w:r>
          </w:p>
        </w:tc>
        <w:tc>
          <w:tcPr>
            <w:tcW w:w="8031" w:type="dxa"/>
          </w:tcPr>
          <w:p w14:paraId="3F19C94C"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304" w:type="dxa"/>
          </w:tcPr>
          <w:p w14:paraId="5B4C3170" w14:textId="58C19A6F" w:rsidR="00191A23" w:rsidRPr="0022554A" w:rsidRDefault="00D547AB" w:rsidP="00007ADF">
            <w:pPr>
              <w:tabs>
                <w:tab w:val="left" w:pos="5400"/>
              </w:tabs>
              <w:jc w:val="center"/>
              <w:rPr>
                <w:sz w:val="20"/>
                <w:lang w:eastAsia="zh-CN"/>
              </w:rPr>
            </w:pPr>
            <w:r>
              <w:rPr>
                <w:sz w:val="20"/>
                <w:lang w:eastAsia="zh-CN"/>
              </w:rPr>
              <w:t>3</w:t>
            </w:r>
          </w:p>
        </w:tc>
        <w:tc>
          <w:tcPr>
            <w:tcW w:w="3090" w:type="dxa"/>
          </w:tcPr>
          <w:p w14:paraId="61D39536" w14:textId="77777777" w:rsidR="00D547AB" w:rsidRDefault="00D547AB" w:rsidP="00F954C6">
            <w:pPr>
              <w:tabs>
                <w:tab w:val="left" w:pos="5400"/>
              </w:tabs>
              <w:rPr>
                <w:sz w:val="20"/>
              </w:rPr>
            </w:pPr>
            <w:r w:rsidRPr="00D547AB">
              <w:rPr>
                <w:sz w:val="20"/>
              </w:rPr>
              <w:t>Acute kidney injury (AKI) is a severe complication of pediatric cardiothoracic surgery (CTS).</w:t>
            </w:r>
          </w:p>
          <w:p w14:paraId="151184CF" w14:textId="04E860BB" w:rsidR="00191A23" w:rsidRPr="0022554A" w:rsidRDefault="00607EAB" w:rsidP="00F954C6">
            <w:pPr>
              <w:tabs>
                <w:tab w:val="left" w:pos="5400"/>
              </w:tabs>
              <w:rPr>
                <w:sz w:val="20"/>
                <w:lang w:eastAsia="zh-CN"/>
              </w:rPr>
            </w:pPr>
            <w:r>
              <w:rPr>
                <w:rFonts w:hint="eastAsia"/>
                <w:sz w:val="20"/>
                <w:lang w:eastAsia="zh-CN"/>
              </w:rPr>
              <w:t>.</w:t>
            </w:r>
          </w:p>
        </w:tc>
      </w:tr>
      <w:tr w:rsidR="00191A23" w:rsidRPr="0022554A" w14:paraId="1DACD2A5" w14:textId="77777777" w:rsidTr="00F954C6">
        <w:tc>
          <w:tcPr>
            <w:tcW w:w="1951" w:type="dxa"/>
          </w:tcPr>
          <w:p w14:paraId="6EB241D1" w14:textId="77777777" w:rsidR="00191A23" w:rsidRPr="0022554A" w:rsidRDefault="00191A23"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616" w:type="dxa"/>
          </w:tcPr>
          <w:p w14:paraId="4793DAD3" w14:textId="77777777" w:rsidR="00191A23" w:rsidRPr="0022554A" w:rsidRDefault="00191A23" w:rsidP="0022554A">
            <w:pPr>
              <w:tabs>
                <w:tab w:val="left" w:pos="5400"/>
              </w:tabs>
              <w:jc w:val="center"/>
              <w:rPr>
                <w:sz w:val="20"/>
              </w:rPr>
            </w:pPr>
            <w:r w:rsidRPr="0022554A">
              <w:rPr>
                <w:sz w:val="20"/>
              </w:rPr>
              <w:t>3</w:t>
            </w:r>
          </w:p>
        </w:tc>
        <w:tc>
          <w:tcPr>
            <w:tcW w:w="8031" w:type="dxa"/>
          </w:tcPr>
          <w:p w14:paraId="0E3E99B6"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304" w:type="dxa"/>
          </w:tcPr>
          <w:p w14:paraId="129B926B" w14:textId="61EFA31E" w:rsidR="00191A23" w:rsidRPr="0022554A" w:rsidRDefault="00FE0822" w:rsidP="00007ADF">
            <w:pPr>
              <w:tabs>
                <w:tab w:val="left" w:pos="5400"/>
              </w:tabs>
              <w:jc w:val="center"/>
              <w:rPr>
                <w:sz w:val="20"/>
                <w:lang w:eastAsia="zh-CN"/>
              </w:rPr>
            </w:pPr>
            <w:r>
              <w:rPr>
                <w:sz w:val="20"/>
                <w:lang w:eastAsia="zh-CN"/>
              </w:rPr>
              <w:t>4</w:t>
            </w:r>
          </w:p>
        </w:tc>
        <w:tc>
          <w:tcPr>
            <w:tcW w:w="3090" w:type="dxa"/>
          </w:tcPr>
          <w:p w14:paraId="754CC84B" w14:textId="6984C0D9" w:rsidR="00191A23" w:rsidRPr="0022554A" w:rsidRDefault="00D547AB" w:rsidP="0022554A">
            <w:pPr>
              <w:tabs>
                <w:tab w:val="left" w:pos="5400"/>
              </w:tabs>
              <w:rPr>
                <w:sz w:val="20"/>
              </w:rPr>
            </w:pPr>
            <w:r w:rsidRPr="00D547AB">
              <w:rPr>
                <w:sz w:val="20"/>
              </w:rPr>
              <w:t xml:space="preserve">Evidence from basic studies, repetitive hypoxic preconditioning increases renal hypoxia-inducible factor 1-alpha mRNA and protein levels and decreases mitochondrial Bax translocation, cytochrome c release, and tubular apoptosis, which has supported that idea (11). This study aimed to explore the </w:t>
            </w:r>
            <w:r w:rsidRPr="00D547AB">
              <w:rPr>
                <w:sz w:val="20"/>
              </w:rPr>
              <w:lastRenderedPageBreak/>
              <w:t>relationship between the degree of hypoxia before CTS and postoperative AKI and analyze the risk factors of postoperative AKI.</w:t>
            </w:r>
          </w:p>
        </w:tc>
      </w:tr>
      <w:tr w:rsidR="00191A23" w:rsidRPr="0022554A" w14:paraId="43C5EBF4" w14:textId="77777777" w:rsidTr="00F954C6">
        <w:tc>
          <w:tcPr>
            <w:tcW w:w="11902" w:type="dxa"/>
            <w:gridSpan w:val="4"/>
          </w:tcPr>
          <w:p w14:paraId="0A19BEEA" w14:textId="77777777" w:rsidR="00191A23" w:rsidRPr="0022554A" w:rsidRDefault="00191A23" w:rsidP="0022554A">
            <w:pPr>
              <w:pStyle w:val="TableSubHead"/>
              <w:tabs>
                <w:tab w:val="left" w:pos="5400"/>
              </w:tabs>
              <w:rPr>
                <w:sz w:val="20"/>
              </w:rPr>
            </w:pPr>
            <w:bookmarkStart w:id="22" w:name="bold11"/>
            <w:bookmarkStart w:id="23" w:name="italic12"/>
            <w:bookmarkEnd w:id="20"/>
            <w:bookmarkEnd w:id="21"/>
            <w:r w:rsidRPr="0022554A">
              <w:rPr>
                <w:sz w:val="20"/>
              </w:rPr>
              <w:lastRenderedPageBreak/>
              <w:t>Methods</w:t>
            </w:r>
          </w:p>
        </w:tc>
        <w:bookmarkEnd w:id="22"/>
        <w:bookmarkEnd w:id="23"/>
        <w:tc>
          <w:tcPr>
            <w:tcW w:w="3090" w:type="dxa"/>
          </w:tcPr>
          <w:p w14:paraId="18BDC89D" w14:textId="77777777" w:rsidR="00191A23" w:rsidRPr="0022554A" w:rsidRDefault="00191A23" w:rsidP="0022554A">
            <w:pPr>
              <w:pStyle w:val="TableSubHead"/>
              <w:tabs>
                <w:tab w:val="left" w:pos="5400"/>
              </w:tabs>
              <w:rPr>
                <w:sz w:val="20"/>
              </w:rPr>
            </w:pPr>
          </w:p>
        </w:tc>
      </w:tr>
      <w:tr w:rsidR="00191A23" w:rsidRPr="0022554A" w14:paraId="1502FE49" w14:textId="77777777" w:rsidTr="00F954C6">
        <w:tc>
          <w:tcPr>
            <w:tcW w:w="1951" w:type="dxa"/>
          </w:tcPr>
          <w:p w14:paraId="1AF9BCF8" w14:textId="77777777" w:rsidR="00191A23" w:rsidRPr="0022554A" w:rsidRDefault="00191A23"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616" w:type="dxa"/>
          </w:tcPr>
          <w:p w14:paraId="79D33AF3" w14:textId="77777777" w:rsidR="00191A23" w:rsidRPr="0022554A" w:rsidRDefault="00191A23" w:rsidP="0022554A">
            <w:pPr>
              <w:tabs>
                <w:tab w:val="left" w:pos="5400"/>
              </w:tabs>
              <w:jc w:val="center"/>
              <w:rPr>
                <w:sz w:val="20"/>
              </w:rPr>
            </w:pPr>
            <w:r w:rsidRPr="0022554A">
              <w:rPr>
                <w:sz w:val="20"/>
              </w:rPr>
              <w:t>4</w:t>
            </w:r>
          </w:p>
        </w:tc>
        <w:tc>
          <w:tcPr>
            <w:tcW w:w="8031" w:type="dxa"/>
          </w:tcPr>
          <w:p w14:paraId="378979B5"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304" w:type="dxa"/>
          </w:tcPr>
          <w:p w14:paraId="300EF14B" w14:textId="40A41A14" w:rsidR="00191A23" w:rsidRPr="0022554A" w:rsidRDefault="00D547AB" w:rsidP="00007ADF">
            <w:pPr>
              <w:tabs>
                <w:tab w:val="left" w:pos="5400"/>
              </w:tabs>
              <w:jc w:val="center"/>
              <w:rPr>
                <w:sz w:val="20"/>
                <w:lang w:eastAsia="zh-CN"/>
              </w:rPr>
            </w:pPr>
            <w:r>
              <w:rPr>
                <w:sz w:val="20"/>
                <w:lang w:eastAsia="zh-CN"/>
              </w:rPr>
              <w:t>4</w:t>
            </w:r>
          </w:p>
        </w:tc>
        <w:tc>
          <w:tcPr>
            <w:tcW w:w="3090" w:type="dxa"/>
          </w:tcPr>
          <w:p w14:paraId="484B8A3C" w14:textId="587F7E92" w:rsidR="00191A23" w:rsidRPr="0022554A" w:rsidRDefault="00D547AB" w:rsidP="0022554A">
            <w:pPr>
              <w:tabs>
                <w:tab w:val="left" w:pos="5400"/>
              </w:tabs>
              <w:rPr>
                <w:sz w:val="20"/>
              </w:rPr>
            </w:pPr>
            <w:r w:rsidRPr="00D547AB">
              <w:rPr>
                <w:sz w:val="20"/>
              </w:rPr>
              <w:t>This retrospective, single-center study enrolled 46 patients with TOF aged between 1-month and 12-month, who underwent CTS from July 1, 2017, to September 30, 2019.</w:t>
            </w:r>
          </w:p>
        </w:tc>
      </w:tr>
      <w:tr w:rsidR="00191A23" w:rsidRPr="0022554A" w14:paraId="08A762BE" w14:textId="77777777" w:rsidTr="00F954C6">
        <w:tc>
          <w:tcPr>
            <w:tcW w:w="1951" w:type="dxa"/>
          </w:tcPr>
          <w:p w14:paraId="2EE1EBDF" w14:textId="77777777" w:rsidR="00191A23" w:rsidRPr="0022554A" w:rsidRDefault="00191A23"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616" w:type="dxa"/>
          </w:tcPr>
          <w:p w14:paraId="2C228A14" w14:textId="77777777" w:rsidR="00191A23" w:rsidRPr="0022554A" w:rsidRDefault="00191A23" w:rsidP="0022554A">
            <w:pPr>
              <w:tabs>
                <w:tab w:val="left" w:pos="5400"/>
              </w:tabs>
              <w:jc w:val="center"/>
              <w:rPr>
                <w:sz w:val="20"/>
              </w:rPr>
            </w:pPr>
            <w:r w:rsidRPr="0022554A">
              <w:rPr>
                <w:sz w:val="20"/>
              </w:rPr>
              <w:t>5</w:t>
            </w:r>
          </w:p>
        </w:tc>
        <w:tc>
          <w:tcPr>
            <w:tcW w:w="8031" w:type="dxa"/>
          </w:tcPr>
          <w:p w14:paraId="4417E05B"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304" w:type="dxa"/>
          </w:tcPr>
          <w:p w14:paraId="6306DAA6" w14:textId="054D1C7B" w:rsidR="00191A23" w:rsidRPr="0022554A" w:rsidRDefault="00D547AB" w:rsidP="00007ADF">
            <w:pPr>
              <w:tabs>
                <w:tab w:val="left" w:pos="5400"/>
              </w:tabs>
              <w:jc w:val="center"/>
              <w:rPr>
                <w:rFonts w:hint="eastAsia"/>
                <w:sz w:val="20"/>
                <w:lang w:eastAsia="zh-CN"/>
              </w:rPr>
            </w:pPr>
            <w:r>
              <w:rPr>
                <w:rFonts w:hint="eastAsia"/>
                <w:sz w:val="20"/>
                <w:lang w:eastAsia="zh-CN"/>
              </w:rPr>
              <w:t>4</w:t>
            </w:r>
          </w:p>
        </w:tc>
        <w:tc>
          <w:tcPr>
            <w:tcW w:w="3090" w:type="dxa"/>
          </w:tcPr>
          <w:p w14:paraId="18FEF91C" w14:textId="28577AAE" w:rsidR="00191A23" w:rsidRPr="0022554A" w:rsidRDefault="00D547AB" w:rsidP="0022554A">
            <w:pPr>
              <w:tabs>
                <w:tab w:val="left" w:pos="5400"/>
              </w:tabs>
              <w:rPr>
                <w:sz w:val="20"/>
              </w:rPr>
            </w:pPr>
            <w:r w:rsidRPr="00D547AB">
              <w:rPr>
                <w:sz w:val="20"/>
              </w:rPr>
              <w:t>This retrospective, single-center study enrolled 46 patients with TOF aged between 1-month and 12-month, who underwent CTS from July 1, 2017, to September 30, 2019.</w:t>
            </w:r>
          </w:p>
        </w:tc>
      </w:tr>
      <w:bookmarkEnd w:id="26"/>
      <w:bookmarkEnd w:id="27"/>
      <w:tr w:rsidR="00191A23" w:rsidRPr="0022554A" w14:paraId="78ADC8FC" w14:textId="77777777" w:rsidTr="00F954C6">
        <w:tc>
          <w:tcPr>
            <w:tcW w:w="1951" w:type="dxa"/>
            <w:vMerge w:val="restart"/>
          </w:tcPr>
          <w:p w14:paraId="1883D603"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14B5F368" w14:textId="77777777" w:rsidR="00191A23" w:rsidRPr="0022554A" w:rsidRDefault="00191A23" w:rsidP="0022554A">
            <w:pPr>
              <w:tabs>
                <w:tab w:val="left" w:pos="5400"/>
              </w:tabs>
              <w:jc w:val="center"/>
              <w:rPr>
                <w:sz w:val="20"/>
              </w:rPr>
            </w:pPr>
            <w:r w:rsidRPr="0022554A">
              <w:rPr>
                <w:sz w:val="20"/>
              </w:rPr>
              <w:t>6</w:t>
            </w:r>
          </w:p>
        </w:tc>
        <w:tc>
          <w:tcPr>
            <w:tcW w:w="8031" w:type="dxa"/>
          </w:tcPr>
          <w:p w14:paraId="234786BE"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A08F614"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4D50295"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304" w:type="dxa"/>
          </w:tcPr>
          <w:p w14:paraId="4AD0D323" w14:textId="0CC28DCE" w:rsidR="00191A23" w:rsidRPr="0022554A" w:rsidRDefault="00D547AB" w:rsidP="00007ADF">
            <w:pPr>
              <w:tabs>
                <w:tab w:val="left" w:pos="5400"/>
              </w:tabs>
              <w:jc w:val="center"/>
              <w:rPr>
                <w:sz w:val="20"/>
                <w:lang w:eastAsia="zh-CN"/>
              </w:rPr>
            </w:pPr>
            <w:r>
              <w:rPr>
                <w:rFonts w:hint="eastAsia"/>
                <w:sz w:val="20"/>
                <w:lang w:eastAsia="zh-CN"/>
              </w:rPr>
              <w:t>4</w:t>
            </w:r>
          </w:p>
        </w:tc>
        <w:tc>
          <w:tcPr>
            <w:tcW w:w="3090" w:type="dxa"/>
          </w:tcPr>
          <w:p w14:paraId="4840CAB8" w14:textId="2786390C" w:rsidR="00191A23" w:rsidRPr="0022554A" w:rsidRDefault="00D547AB" w:rsidP="0022554A">
            <w:pPr>
              <w:tabs>
                <w:tab w:val="left" w:pos="5400"/>
              </w:tabs>
              <w:rPr>
                <w:sz w:val="20"/>
              </w:rPr>
            </w:pPr>
            <w:r w:rsidRPr="00D547AB">
              <w:rPr>
                <w:sz w:val="20"/>
              </w:rPr>
              <w:t>This retrospective, single-center study enrolled 46 patients with TOF aged between 1-month and 12-month, who underwent CTS from July 1, 2017, to September 30, 2019.</w:t>
            </w:r>
          </w:p>
        </w:tc>
      </w:tr>
      <w:tr w:rsidR="00191A23" w:rsidRPr="0022554A" w14:paraId="099F526C" w14:textId="77777777" w:rsidTr="00F954C6">
        <w:tc>
          <w:tcPr>
            <w:tcW w:w="1951" w:type="dxa"/>
            <w:vMerge/>
          </w:tcPr>
          <w:p w14:paraId="3E046B13" w14:textId="77777777" w:rsidR="00191A23" w:rsidRPr="0022554A" w:rsidRDefault="00191A23" w:rsidP="0022554A">
            <w:pPr>
              <w:tabs>
                <w:tab w:val="left" w:pos="5400"/>
              </w:tabs>
              <w:rPr>
                <w:bCs/>
                <w:sz w:val="20"/>
              </w:rPr>
            </w:pPr>
            <w:bookmarkStart w:id="28" w:name="bold14" w:colFirst="0" w:colLast="0"/>
            <w:bookmarkStart w:id="29" w:name="italic15" w:colFirst="0" w:colLast="0"/>
          </w:p>
        </w:tc>
        <w:tc>
          <w:tcPr>
            <w:tcW w:w="616" w:type="dxa"/>
            <w:vMerge/>
          </w:tcPr>
          <w:p w14:paraId="4A8C97BC" w14:textId="77777777" w:rsidR="00191A23" w:rsidRPr="0022554A" w:rsidRDefault="00191A23" w:rsidP="0022554A">
            <w:pPr>
              <w:tabs>
                <w:tab w:val="left" w:pos="5400"/>
              </w:tabs>
              <w:jc w:val="center"/>
              <w:rPr>
                <w:sz w:val="20"/>
              </w:rPr>
            </w:pPr>
          </w:p>
        </w:tc>
        <w:tc>
          <w:tcPr>
            <w:tcW w:w="8031" w:type="dxa"/>
          </w:tcPr>
          <w:p w14:paraId="0EA5ED5A"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E8F584F"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304" w:type="dxa"/>
          </w:tcPr>
          <w:p w14:paraId="2C3B9489" w14:textId="02F05116" w:rsidR="00191A23" w:rsidRPr="0022554A" w:rsidRDefault="00FE0822" w:rsidP="00007ADF">
            <w:pPr>
              <w:tabs>
                <w:tab w:val="left" w:pos="5400"/>
              </w:tabs>
              <w:jc w:val="center"/>
              <w:rPr>
                <w:sz w:val="20"/>
                <w:lang w:eastAsia="zh-CN"/>
              </w:rPr>
            </w:pPr>
            <w:r>
              <w:rPr>
                <w:rFonts w:hint="eastAsia"/>
                <w:sz w:val="20"/>
                <w:lang w:eastAsia="zh-CN"/>
              </w:rPr>
              <w:t>3</w:t>
            </w:r>
          </w:p>
        </w:tc>
        <w:tc>
          <w:tcPr>
            <w:tcW w:w="3090" w:type="dxa"/>
          </w:tcPr>
          <w:p w14:paraId="04BE0A57" w14:textId="2EB0C965" w:rsidR="00191A23" w:rsidRPr="0022554A" w:rsidRDefault="00D547AB" w:rsidP="0022554A">
            <w:pPr>
              <w:tabs>
                <w:tab w:val="left" w:pos="5400"/>
              </w:tabs>
              <w:rPr>
                <w:sz w:val="20"/>
              </w:rPr>
            </w:pPr>
            <w:r w:rsidRPr="00D547AB">
              <w:rPr>
                <w:sz w:val="20"/>
              </w:rPr>
              <w:t xml:space="preserve">Inclusion criteria for patients were: (1) age from 1-month to 12-month; (2) TOF was confirmed by preoperative echocardiography and intraoperative findings. TOF consists of a tetrad, or a group of 4 defects, which are ventricular septal defect, pulmonary stenosis, </w:t>
            </w:r>
            <w:r w:rsidRPr="00D547AB">
              <w:rPr>
                <w:sz w:val="20"/>
              </w:rPr>
              <w:lastRenderedPageBreak/>
              <w:t>overriding aorta, and right ventricular hypertrophy (12); (3) the first time to receive CTS treatment and undergo complete surgical repair. Complete surgical repair includes closing the ventricular septal defect, resecting muscle bundles within the right ventricular outflow tract with or without patch augmentation (13); (4) complete clinical information such as history and laboratory examination.</w:t>
            </w:r>
          </w:p>
        </w:tc>
      </w:tr>
      <w:tr w:rsidR="00191A23" w:rsidRPr="0022554A" w14:paraId="7ADA8731" w14:textId="77777777" w:rsidTr="00F954C6">
        <w:tc>
          <w:tcPr>
            <w:tcW w:w="1951" w:type="dxa"/>
          </w:tcPr>
          <w:p w14:paraId="4029B028" w14:textId="77777777" w:rsidR="00191A23" w:rsidRPr="0022554A" w:rsidRDefault="00191A23"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lastRenderedPageBreak/>
              <w:t>Variables</w:t>
            </w:r>
          </w:p>
        </w:tc>
        <w:tc>
          <w:tcPr>
            <w:tcW w:w="616" w:type="dxa"/>
          </w:tcPr>
          <w:p w14:paraId="1A57CDD8" w14:textId="77777777" w:rsidR="00191A23" w:rsidRPr="0022554A" w:rsidRDefault="00191A23" w:rsidP="0022554A">
            <w:pPr>
              <w:tabs>
                <w:tab w:val="left" w:pos="5400"/>
              </w:tabs>
              <w:jc w:val="center"/>
              <w:rPr>
                <w:sz w:val="20"/>
              </w:rPr>
            </w:pPr>
            <w:r w:rsidRPr="0022554A">
              <w:rPr>
                <w:sz w:val="20"/>
              </w:rPr>
              <w:t>7</w:t>
            </w:r>
          </w:p>
        </w:tc>
        <w:tc>
          <w:tcPr>
            <w:tcW w:w="8031" w:type="dxa"/>
          </w:tcPr>
          <w:p w14:paraId="35808CBE"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304" w:type="dxa"/>
          </w:tcPr>
          <w:p w14:paraId="1FA4347C" w14:textId="6585534B" w:rsidR="00191A23" w:rsidRPr="0022554A" w:rsidRDefault="00D547AB" w:rsidP="00007ADF">
            <w:pPr>
              <w:tabs>
                <w:tab w:val="left" w:pos="5400"/>
              </w:tabs>
              <w:jc w:val="center"/>
              <w:rPr>
                <w:sz w:val="20"/>
                <w:lang w:eastAsia="zh-CN"/>
              </w:rPr>
            </w:pPr>
            <w:r>
              <w:rPr>
                <w:sz w:val="20"/>
                <w:lang w:eastAsia="zh-CN"/>
              </w:rPr>
              <w:t>4-5</w:t>
            </w:r>
          </w:p>
        </w:tc>
        <w:tc>
          <w:tcPr>
            <w:tcW w:w="3090" w:type="dxa"/>
          </w:tcPr>
          <w:p w14:paraId="797E3C41" w14:textId="5D0F8480" w:rsidR="00191A23" w:rsidRPr="0022554A" w:rsidRDefault="00194CA3" w:rsidP="0022554A">
            <w:pPr>
              <w:tabs>
                <w:tab w:val="left" w:pos="5400"/>
              </w:tabs>
              <w:rPr>
                <w:sz w:val="20"/>
              </w:rPr>
            </w:pPr>
            <w:r w:rsidRPr="00194CA3">
              <w:rPr>
                <w:sz w:val="20"/>
              </w:rPr>
              <w:t>Diagnosis and staging of AKI were performed according to the Kidney Disease: Improving Global Outcomes (KDIGO) 2012 clinical practice guidelines</w:t>
            </w:r>
          </w:p>
        </w:tc>
      </w:tr>
      <w:tr w:rsidR="000A5437" w:rsidRPr="0022554A" w14:paraId="7010B366" w14:textId="77777777" w:rsidTr="00F954C6">
        <w:trPr>
          <w:trHeight w:val="294"/>
        </w:trPr>
        <w:tc>
          <w:tcPr>
            <w:tcW w:w="1951" w:type="dxa"/>
          </w:tcPr>
          <w:p w14:paraId="2C814D20" w14:textId="747D289B" w:rsidR="000A5437" w:rsidRPr="0022554A" w:rsidRDefault="000A5437" w:rsidP="000A5437">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14:paraId="777894DF" w14:textId="77777777" w:rsidR="000A5437" w:rsidRPr="0022554A" w:rsidRDefault="000A5437" w:rsidP="000A5437">
            <w:pPr>
              <w:tabs>
                <w:tab w:val="left" w:pos="5400"/>
              </w:tabs>
              <w:jc w:val="center"/>
              <w:rPr>
                <w:sz w:val="20"/>
              </w:rPr>
            </w:pPr>
            <w:r w:rsidRPr="0022554A">
              <w:rPr>
                <w:sz w:val="20"/>
              </w:rPr>
              <w:t>8</w:t>
            </w:r>
            <w:bookmarkStart w:id="36" w:name="bold19"/>
            <w:r w:rsidRPr="0022554A">
              <w:rPr>
                <w:bCs/>
                <w:sz w:val="20"/>
              </w:rPr>
              <w:t>*</w:t>
            </w:r>
            <w:bookmarkEnd w:id="36"/>
          </w:p>
        </w:tc>
        <w:tc>
          <w:tcPr>
            <w:tcW w:w="8031" w:type="dxa"/>
          </w:tcPr>
          <w:p w14:paraId="67F41D74" w14:textId="77777777" w:rsidR="000A5437" w:rsidRPr="0022554A" w:rsidRDefault="000A5437" w:rsidP="000A5437">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304" w:type="dxa"/>
          </w:tcPr>
          <w:p w14:paraId="1B1AE174" w14:textId="334B8F7C" w:rsidR="000A5437" w:rsidRPr="000A5437" w:rsidRDefault="00FE0822" w:rsidP="00007ADF">
            <w:pPr>
              <w:tabs>
                <w:tab w:val="left" w:pos="5400"/>
              </w:tabs>
              <w:jc w:val="center"/>
              <w:rPr>
                <w:iCs/>
                <w:sz w:val="20"/>
                <w:lang w:eastAsia="zh-CN"/>
              </w:rPr>
            </w:pPr>
            <w:r>
              <w:rPr>
                <w:iCs/>
                <w:sz w:val="20"/>
                <w:lang w:eastAsia="zh-CN"/>
              </w:rPr>
              <w:t>5-6</w:t>
            </w:r>
          </w:p>
        </w:tc>
        <w:tc>
          <w:tcPr>
            <w:tcW w:w="3090" w:type="dxa"/>
          </w:tcPr>
          <w:p w14:paraId="783DBB69" w14:textId="77777777" w:rsidR="00D547AB" w:rsidRPr="00D547AB" w:rsidRDefault="00D547AB" w:rsidP="00D547AB">
            <w:pPr>
              <w:tabs>
                <w:tab w:val="left" w:pos="5400"/>
              </w:tabs>
              <w:rPr>
                <w:sz w:val="20"/>
              </w:rPr>
            </w:pPr>
            <w:r w:rsidRPr="00D547AB">
              <w:rPr>
                <w:sz w:val="20"/>
              </w:rPr>
              <w:t>CaO2 = (1.34 × SaO2 × Hb) + (0.003 × PaO2)</w:t>
            </w:r>
          </w:p>
          <w:p w14:paraId="734BB3A9" w14:textId="77777777" w:rsidR="00D547AB" w:rsidRPr="00D547AB" w:rsidRDefault="00D547AB" w:rsidP="00D547AB">
            <w:pPr>
              <w:tabs>
                <w:tab w:val="left" w:pos="5400"/>
              </w:tabs>
              <w:rPr>
                <w:sz w:val="20"/>
              </w:rPr>
            </w:pPr>
            <w:r w:rsidRPr="00D547AB">
              <w:rPr>
                <w:rFonts w:hint="eastAsia"/>
                <w:sz w:val="20"/>
              </w:rPr>
              <w:t>·</w:t>
            </w:r>
            <w:r w:rsidRPr="00D547AB">
              <w:rPr>
                <w:sz w:val="20"/>
              </w:rPr>
              <w:t xml:space="preserve"> CcvO2 = (1.34 × ScvO2 × Hb) + (0.003 × PcvO2)</w:t>
            </w:r>
          </w:p>
          <w:p w14:paraId="3A3858CD" w14:textId="77777777" w:rsidR="00D547AB" w:rsidRPr="00D547AB" w:rsidRDefault="00D547AB" w:rsidP="00D547AB">
            <w:pPr>
              <w:tabs>
                <w:tab w:val="left" w:pos="5400"/>
              </w:tabs>
              <w:rPr>
                <w:sz w:val="20"/>
              </w:rPr>
            </w:pPr>
            <w:r w:rsidRPr="00D547AB">
              <w:rPr>
                <w:rFonts w:hint="eastAsia"/>
                <w:sz w:val="20"/>
              </w:rPr>
              <w:t>·</w:t>
            </w:r>
            <w:r w:rsidRPr="00D547AB">
              <w:rPr>
                <w:sz w:val="20"/>
              </w:rPr>
              <w:t xml:space="preserve"> Ca−vO2 = CaO2 − CcvO2</w:t>
            </w:r>
          </w:p>
          <w:p w14:paraId="1EB3746F" w14:textId="77777777" w:rsidR="00D547AB" w:rsidRPr="00D547AB" w:rsidRDefault="00D547AB" w:rsidP="00D547AB">
            <w:pPr>
              <w:tabs>
                <w:tab w:val="left" w:pos="5400"/>
              </w:tabs>
              <w:rPr>
                <w:sz w:val="20"/>
              </w:rPr>
            </w:pPr>
            <w:r w:rsidRPr="00D547AB">
              <w:rPr>
                <w:rFonts w:hint="eastAsia"/>
                <w:sz w:val="20"/>
              </w:rPr>
              <w:t>·</w:t>
            </w:r>
            <w:r w:rsidRPr="00D547AB">
              <w:rPr>
                <w:sz w:val="20"/>
              </w:rPr>
              <w:t xml:space="preserve"> Pv-aCO2 = PcvCO2 − PaCO2</w:t>
            </w:r>
          </w:p>
          <w:p w14:paraId="6586967F" w14:textId="77777777" w:rsidR="00D547AB" w:rsidRPr="00D547AB" w:rsidRDefault="00D547AB" w:rsidP="00D547AB">
            <w:pPr>
              <w:tabs>
                <w:tab w:val="left" w:pos="5400"/>
              </w:tabs>
              <w:rPr>
                <w:sz w:val="20"/>
              </w:rPr>
            </w:pPr>
            <w:r w:rsidRPr="00D547AB">
              <w:rPr>
                <w:rFonts w:hint="eastAsia"/>
                <w:sz w:val="20"/>
              </w:rPr>
              <w:t>·</w:t>
            </w:r>
            <w:r w:rsidRPr="00D547AB">
              <w:rPr>
                <w:sz w:val="20"/>
              </w:rPr>
              <w:t xml:space="preserve"> Pv-aCO2 /Ca−vO2 ratio = Pv-aCO2 /Ca−vO2</w:t>
            </w:r>
          </w:p>
          <w:p w14:paraId="77486D9C" w14:textId="77777777" w:rsidR="00D547AB" w:rsidRPr="00D547AB" w:rsidRDefault="00D547AB" w:rsidP="00D547AB">
            <w:pPr>
              <w:tabs>
                <w:tab w:val="left" w:pos="5400"/>
              </w:tabs>
              <w:rPr>
                <w:sz w:val="20"/>
              </w:rPr>
            </w:pPr>
            <w:r w:rsidRPr="00D547AB">
              <w:rPr>
                <w:rFonts w:hint="eastAsia"/>
                <w:sz w:val="20"/>
              </w:rPr>
              <w:t>·</w:t>
            </w:r>
            <w:r w:rsidRPr="00D547AB">
              <w:rPr>
                <w:sz w:val="20"/>
              </w:rPr>
              <w:t xml:space="preserve"> Pa−vO2 = PaO2 − PcvO2</w:t>
            </w:r>
          </w:p>
          <w:p w14:paraId="30A1F3F5" w14:textId="77777777" w:rsidR="00D547AB" w:rsidRPr="00D547AB" w:rsidRDefault="00D547AB" w:rsidP="00D547AB">
            <w:pPr>
              <w:tabs>
                <w:tab w:val="left" w:pos="5400"/>
              </w:tabs>
              <w:rPr>
                <w:sz w:val="20"/>
              </w:rPr>
            </w:pPr>
            <w:r w:rsidRPr="00D547AB">
              <w:rPr>
                <w:rFonts w:hint="eastAsia"/>
                <w:sz w:val="20"/>
              </w:rPr>
              <w:t>·</w:t>
            </w:r>
            <w:r w:rsidRPr="00D547AB">
              <w:rPr>
                <w:sz w:val="20"/>
              </w:rPr>
              <w:t xml:space="preserve"> Sa−vO2 = SaO2 − ScvO2</w:t>
            </w:r>
          </w:p>
          <w:p w14:paraId="7147F1B5" w14:textId="5018C243" w:rsidR="000A5437" w:rsidRPr="0022554A" w:rsidRDefault="00D547AB" w:rsidP="00D547AB">
            <w:pPr>
              <w:tabs>
                <w:tab w:val="left" w:pos="5400"/>
              </w:tabs>
              <w:rPr>
                <w:i/>
                <w:sz w:val="20"/>
              </w:rPr>
            </w:pPr>
            <w:r w:rsidRPr="00D547AB">
              <w:rPr>
                <w:rFonts w:hint="eastAsia"/>
                <w:sz w:val="20"/>
              </w:rPr>
              <w:t>·</w:t>
            </w:r>
            <w:r w:rsidRPr="00D547AB">
              <w:rPr>
                <w:sz w:val="20"/>
              </w:rPr>
              <w:t xml:space="preserve"> O2 ER = Ca-vO2 /CaO2</w:t>
            </w:r>
          </w:p>
        </w:tc>
      </w:tr>
      <w:tr w:rsidR="000A5437" w:rsidRPr="0022554A" w14:paraId="6CB61C06" w14:textId="77777777" w:rsidTr="00F954C6">
        <w:tc>
          <w:tcPr>
            <w:tcW w:w="1951" w:type="dxa"/>
          </w:tcPr>
          <w:p w14:paraId="4BBF39A1" w14:textId="77777777" w:rsidR="000A5437" w:rsidRPr="0022554A" w:rsidRDefault="000A5437" w:rsidP="000A5437">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616" w:type="dxa"/>
          </w:tcPr>
          <w:p w14:paraId="0212ACC9" w14:textId="77777777" w:rsidR="000A5437" w:rsidRPr="0022554A" w:rsidRDefault="000A5437" w:rsidP="000A5437">
            <w:pPr>
              <w:tabs>
                <w:tab w:val="left" w:pos="5400"/>
              </w:tabs>
              <w:jc w:val="center"/>
              <w:rPr>
                <w:sz w:val="20"/>
              </w:rPr>
            </w:pPr>
            <w:r w:rsidRPr="0022554A">
              <w:rPr>
                <w:sz w:val="20"/>
              </w:rPr>
              <w:t>9</w:t>
            </w:r>
          </w:p>
        </w:tc>
        <w:tc>
          <w:tcPr>
            <w:tcW w:w="8031" w:type="dxa"/>
          </w:tcPr>
          <w:p w14:paraId="217B3F96" w14:textId="77777777" w:rsidR="000A5437" w:rsidRPr="0022554A" w:rsidRDefault="000A5437" w:rsidP="000A5437">
            <w:pPr>
              <w:tabs>
                <w:tab w:val="left" w:pos="5400"/>
              </w:tabs>
              <w:rPr>
                <w:color w:val="000000"/>
                <w:sz w:val="20"/>
              </w:rPr>
            </w:pPr>
            <w:r w:rsidRPr="0022554A">
              <w:rPr>
                <w:color w:val="000000"/>
                <w:sz w:val="20"/>
              </w:rPr>
              <w:t>Describe any efforts to address potential sources of bias</w:t>
            </w:r>
          </w:p>
        </w:tc>
        <w:tc>
          <w:tcPr>
            <w:tcW w:w="1304" w:type="dxa"/>
          </w:tcPr>
          <w:p w14:paraId="1043298D" w14:textId="2D249BBF" w:rsidR="000A5437" w:rsidRPr="0022554A" w:rsidRDefault="00D547AB" w:rsidP="00007ADF">
            <w:pPr>
              <w:tabs>
                <w:tab w:val="left" w:pos="5400"/>
              </w:tabs>
              <w:jc w:val="center"/>
              <w:rPr>
                <w:color w:val="000000"/>
                <w:sz w:val="20"/>
                <w:lang w:eastAsia="zh-CN"/>
              </w:rPr>
            </w:pPr>
            <w:r>
              <w:rPr>
                <w:iCs/>
                <w:sz w:val="20"/>
                <w:lang w:eastAsia="zh-CN"/>
              </w:rPr>
              <w:t>4</w:t>
            </w:r>
          </w:p>
        </w:tc>
        <w:tc>
          <w:tcPr>
            <w:tcW w:w="3090" w:type="dxa"/>
          </w:tcPr>
          <w:p w14:paraId="7B9DB859" w14:textId="5C87B56D" w:rsidR="000A5437" w:rsidRPr="0022554A" w:rsidRDefault="00D547AB" w:rsidP="000A5437">
            <w:pPr>
              <w:tabs>
                <w:tab w:val="left" w:pos="5400"/>
              </w:tabs>
              <w:rPr>
                <w:color w:val="000000"/>
                <w:sz w:val="20"/>
              </w:rPr>
            </w:pPr>
            <w:r w:rsidRPr="00D547AB">
              <w:rPr>
                <w:color w:val="000000"/>
                <w:sz w:val="20"/>
              </w:rPr>
              <w:t xml:space="preserve">The exclusion criteria were: (1) preexisting renal dysfunction (RD) </w:t>
            </w:r>
            <w:r w:rsidRPr="00D547AB">
              <w:rPr>
                <w:color w:val="000000"/>
                <w:sz w:val="20"/>
              </w:rPr>
              <w:lastRenderedPageBreak/>
              <w:t>or requirement of renal replacement therapy before surgery. RD was defined as kidney injury denoted by pathological changes, or other indicators such as abnormal blood, urine, or imaging findings or an estimated glomerular filtration rate (eGFR) of less than 60 ml/min*1.73 m2 for more than 3 months (14);  (2) a history of nephrotoxic drug use within 7 days before surgery; (3)a lack of postoperative renal data; (4) delayed sternal closure or reoperation was required due to bleeding and other reasons.</w:t>
            </w:r>
          </w:p>
        </w:tc>
      </w:tr>
      <w:tr w:rsidR="000A5437" w:rsidRPr="0022554A" w14:paraId="6E3554D7" w14:textId="77777777" w:rsidTr="00F954C6">
        <w:tc>
          <w:tcPr>
            <w:tcW w:w="1951" w:type="dxa"/>
          </w:tcPr>
          <w:p w14:paraId="215E0F63" w14:textId="77777777" w:rsidR="000A5437" w:rsidRPr="0022554A" w:rsidRDefault="000A5437" w:rsidP="000A5437">
            <w:pPr>
              <w:tabs>
                <w:tab w:val="left" w:pos="5400"/>
              </w:tabs>
              <w:rPr>
                <w:bCs/>
                <w:sz w:val="20"/>
              </w:rPr>
            </w:pPr>
            <w:bookmarkStart w:id="39" w:name="bold21" w:colFirst="0" w:colLast="0"/>
            <w:bookmarkStart w:id="40" w:name="italic21" w:colFirst="0" w:colLast="0"/>
            <w:bookmarkEnd w:id="37"/>
            <w:bookmarkEnd w:id="38"/>
            <w:r w:rsidRPr="0022554A">
              <w:rPr>
                <w:bCs/>
                <w:sz w:val="20"/>
              </w:rPr>
              <w:lastRenderedPageBreak/>
              <w:t>Study size</w:t>
            </w:r>
          </w:p>
        </w:tc>
        <w:tc>
          <w:tcPr>
            <w:tcW w:w="616" w:type="dxa"/>
          </w:tcPr>
          <w:p w14:paraId="30811086" w14:textId="77777777" w:rsidR="000A5437" w:rsidRPr="0022554A" w:rsidRDefault="000A5437" w:rsidP="000A5437">
            <w:pPr>
              <w:tabs>
                <w:tab w:val="left" w:pos="5400"/>
              </w:tabs>
              <w:jc w:val="center"/>
              <w:rPr>
                <w:sz w:val="20"/>
              </w:rPr>
            </w:pPr>
            <w:r w:rsidRPr="0022554A">
              <w:rPr>
                <w:sz w:val="20"/>
              </w:rPr>
              <w:t>10</w:t>
            </w:r>
          </w:p>
        </w:tc>
        <w:tc>
          <w:tcPr>
            <w:tcW w:w="8031" w:type="dxa"/>
          </w:tcPr>
          <w:p w14:paraId="6263AA10" w14:textId="77777777" w:rsidR="000A5437" w:rsidRPr="0022554A" w:rsidRDefault="000A5437" w:rsidP="000A5437">
            <w:pPr>
              <w:tabs>
                <w:tab w:val="left" w:pos="5400"/>
              </w:tabs>
              <w:rPr>
                <w:sz w:val="20"/>
              </w:rPr>
            </w:pPr>
            <w:r w:rsidRPr="0022554A">
              <w:rPr>
                <w:sz w:val="20"/>
              </w:rPr>
              <w:t>Explain how the study size was arrived at</w:t>
            </w:r>
          </w:p>
        </w:tc>
        <w:tc>
          <w:tcPr>
            <w:tcW w:w="1304" w:type="dxa"/>
          </w:tcPr>
          <w:p w14:paraId="2480094C" w14:textId="6CCBBAE8" w:rsidR="000A5437" w:rsidRPr="0022554A" w:rsidRDefault="00D547AB" w:rsidP="00007ADF">
            <w:pPr>
              <w:tabs>
                <w:tab w:val="left" w:pos="5400"/>
              </w:tabs>
              <w:jc w:val="center"/>
              <w:rPr>
                <w:sz w:val="20"/>
                <w:lang w:eastAsia="zh-CN"/>
              </w:rPr>
            </w:pPr>
            <w:r>
              <w:rPr>
                <w:rFonts w:hint="eastAsia"/>
                <w:sz w:val="20"/>
                <w:lang w:eastAsia="zh-CN"/>
              </w:rPr>
              <w:t>4</w:t>
            </w:r>
          </w:p>
        </w:tc>
        <w:tc>
          <w:tcPr>
            <w:tcW w:w="3090" w:type="dxa"/>
          </w:tcPr>
          <w:p w14:paraId="5EF16826" w14:textId="2A4A77F4" w:rsidR="000A5437" w:rsidRPr="0022554A" w:rsidRDefault="00D547AB" w:rsidP="000A5437">
            <w:pPr>
              <w:tabs>
                <w:tab w:val="left" w:pos="5400"/>
              </w:tabs>
              <w:rPr>
                <w:sz w:val="20"/>
              </w:rPr>
            </w:pPr>
            <w:r w:rsidRPr="00D547AB">
              <w:rPr>
                <w:sz w:val="20"/>
              </w:rPr>
              <w:t>This retrospective, single-center study enrolled 46 patients with TOF aged between 1-month and 12-month, who underwent CTS from July 1, 2017, to September 30, 2019.</w:t>
            </w:r>
          </w:p>
        </w:tc>
      </w:tr>
    </w:tbl>
    <w:p w14:paraId="0F04B08C" w14:textId="77777777" w:rsidR="00191A23" w:rsidRDefault="00191A23">
      <w:bookmarkStart w:id="41" w:name="bold22"/>
      <w:bookmarkStart w:id="42" w:name="italic22"/>
      <w:bookmarkEnd w:id="39"/>
      <w:bookmarkEnd w:id="4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5A674986" w14:textId="77777777" w:rsidTr="00517788">
        <w:tc>
          <w:tcPr>
            <w:tcW w:w="1521" w:type="dxa"/>
          </w:tcPr>
          <w:p w14:paraId="41F5A8D3" w14:textId="77777777"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14:paraId="085A88D0" w14:textId="77777777" w:rsidR="00191A23" w:rsidRPr="0022554A" w:rsidRDefault="00191A23" w:rsidP="00191A23">
            <w:pPr>
              <w:tabs>
                <w:tab w:val="left" w:pos="5400"/>
              </w:tabs>
              <w:jc w:val="center"/>
              <w:rPr>
                <w:sz w:val="20"/>
              </w:rPr>
            </w:pPr>
            <w:r w:rsidRPr="0022554A">
              <w:rPr>
                <w:sz w:val="20"/>
              </w:rPr>
              <w:t>11</w:t>
            </w:r>
          </w:p>
        </w:tc>
        <w:tc>
          <w:tcPr>
            <w:tcW w:w="8328" w:type="dxa"/>
          </w:tcPr>
          <w:p w14:paraId="143F4518"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5A4A5FAA" w14:textId="2AEF24BB" w:rsidR="00191A23" w:rsidRPr="0022554A" w:rsidRDefault="00D547AB" w:rsidP="00007ADF">
            <w:pPr>
              <w:tabs>
                <w:tab w:val="left" w:pos="5400"/>
              </w:tabs>
              <w:jc w:val="center"/>
              <w:rPr>
                <w:sz w:val="20"/>
                <w:lang w:eastAsia="zh-CN"/>
              </w:rPr>
            </w:pPr>
            <w:r>
              <w:rPr>
                <w:sz w:val="20"/>
                <w:lang w:eastAsia="zh-CN"/>
              </w:rPr>
              <w:t>4-5</w:t>
            </w:r>
          </w:p>
        </w:tc>
        <w:tc>
          <w:tcPr>
            <w:tcW w:w="3118" w:type="dxa"/>
          </w:tcPr>
          <w:p w14:paraId="7244F491" w14:textId="48879E41" w:rsidR="00191A23" w:rsidRPr="0022554A" w:rsidRDefault="00D547AB" w:rsidP="00191A23">
            <w:pPr>
              <w:tabs>
                <w:tab w:val="left" w:pos="5400"/>
              </w:tabs>
              <w:rPr>
                <w:sz w:val="20"/>
              </w:rPr>
            </w:pPr>
            <w:r w:rsidRPr="00D547AB">
              <w:rPr>
                <w:sz w:val="20"/>
              </w:rPr>
              <w:t>Finally, 36 patients were included in the study, of which 17 had AKI.  Diagnosis and staging of AKI were performed according to the Kidney Disease: Improving Global Outcomes (KDIGO) 2012 clinical practice guidelines</w:t>
            </w:r>
          </w:p>
        </w:tc>
      </w:tr>
      <w:tr w:rsidR="00191A23" w:rsidRPr="0022554A" w14:paraId="1E99B603" w14:textId="77777777" w:rsidTr="00517788">
        <w:tc>
          <w:tcPr>
            <w:tcW w:w="1521" w:type="dxa"/>
            <w:vMerge w:val="restart"/>
          </w:tcPr>
          <w:p w14:paraId="477C746B" w14:textId="38E47137"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14:paraId="0C8B0571" w14:textId="77777777" w:rsidR="00191A23" w:rsidRPr="0022554A" w:rsidRDefault="00191A23" w:rsidP="00191A23">
            <w:pPr>
              <w:tabs>
                <w:tab w:val="left" w:pos="5400"/>
              </w:tabs>
              <w:jc w:val="center"/>
              <w:rPr>
                <w:sz w:val="20"/>
              </w:rPr>
            </w:pPr>
            <w:r w:rsidRPr="0022554A">
              <w:rPr>
                <w:sz w:val="20"/>
              </w:rPr>
              <w:t>12</w:t>
            </w:r>
          </w:p>
        </w:tc>
        <w:tc>
          <w:tcPr>
            <w:tcW w:w="8328" w:type="dxa"/>
          </w:tcPr>
          <w:p w14:paraId="4C5C67FD"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100E27A2" w14:textId="3A13DD11" w:rsidR="00191A23" w:rsidRPr="0022554A" w:rsidRDefault="00FE0822" w:rsidP="00007ADF">
            <w:pPr>
              <w:tabs>
                <w:tab w:val="left" w:pos="5400"/>
              </w:tabs>
              <w:jc w:val="center"/>
              <w:rPr>
                <w:sz w:val="20"/>
                <w:lang w:eastAsia="zh-CN"/>
              </w:rPr>
            </w:pPr>
            <w:r>
              <w:rPr>
                <w:sz w:val="20"/>
                <w:lang w:eastAsia="zh-CN"/>
              </w:rPr>
              <w:t>6</w:t>
            </w:r>
            <w:r w:rsidR="00D547AB">
              <w:rPr>
                <w:sz w:val="20"/>
                <w:lang w:eastAsia="zh-CN"/>
              </w:rPr>
              <w:t>-7</w:t>
            </w:r>
          </w:p>
        </w:tc>
        <w:tc>
          <w:tcPr>
            <w:tcW w:w="3118" w:type="dxa"/>
          </w:tcPr>
          <w:p w14:paraId="0A1339B6" w14:textId="6321075D" w:rsidR="00191A23" w:rsidRPr="0022554A" w:rsidRDefault="00D547AB" w:rsidP="00191A23">
            <w:pPr>
              <w:tabs>
                <w:tab w:val="left" w:pos="5400"/>
              </w:tabs>
              <w:rPr>
                <w:sz w:val="20"/>
              </w:rPr>
            </w:pPr>
            <w:r w:rsidRPr="00D547AB">
              <w:rPr>
                <w:sz w:val="20"/>
              </w:rPr>
              <w:t xml:space="preserve">Shapiro-Wilk test was used to check the normality of the data; continuous variables with normal distribution were expressed in terms of mean and standard deviation. Group comparisons were analyzed by independent sample t-tests or ANOVA test. The continuous variables with the non-normal distribution were expressed as median (P25 and P75) and were compared using non-parametric factorial Kruskal-Wallis sum-rank test. Frequencies and proportions were estimated for categorical variables and were compared using the chi-squared test or Fisher's test. Odds ratios (ORs) with 95% confidence intervals (CIs) for the development of AKI in each group were calculated using a logistic regression model. Persistent AKI was defined as a continuance of AKI according to the KDIGO criteria beyond 48 h according to </w:t>
            </w:r>
            <w:r w:rsidRPr="00D547AB">
              <w:rPr>
                <w:sz w:val="20"/>
              </w:rPr>
              <w:lastRenderedPageBreak/>
              <w:t xml:space="preserve">the consensus report of the ADQI 16 workgroup (21). Transient AKI was defined as AKI of less than 48 h duration. To investigate the relationship between preoperative PaO2 and postoperative AKI, Univariate analysis was performed on the general preoperative data, hemodynamic indexes and oxygen metabolism indexes of the 4 groups at 24 and 48 hours after operation and the incidence, severity, and duration of AKI in the 4 groups were compared. Subgroup analysis was performed to explore the relationship between oxygen metabolism index (Sa-vO2, Pa-vO2, Pv-aCO2, Ca-vO2, Pv-aCO2/Ca-vO2, O2ER) and persistent AKI. Single-factor regression analysis was performed to explore the risk factors with certain significance in univariate analysis (P&lt;0.05) of postoperative AKI and persistent AKI. All statistical analyses were performed with SPSS version 23 (IBM Corp. Released (2015) IBM SPSS Statistics for Windows. IBM Corp., Armonk, NY). The difference was considered significant when the </w:t>
            </w:r>
            <w:r w:rsidRPr="00D547AB">
              <w:rPr>
                <w:sz w:val="20"/>
              </w:rPr>
              <w:lastRenderedPageBreak/>
              <w:t>two-tailed P-value was less than 0.05.</w:t>
            </w:r>
          </w:p>
        </w:tc>
      </w:tr>
      <w:tr w:rsidR="00191A23" w:rsidRPr="0022554A" w14:paraId="74AEE461" w14:textId="77777777" w:rsidTr="00517788">
        <w:tc>
          <w:tcPr>
            <w:tcW w:w="1521" w:type="dxa"/>
            <w:vMerge/>
          </w:tcPr>
          <w:p w14:paraId="09E86217" w14:textId="77777777"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14:paraId="3307CD65" w14:textId="77777777" w:rsidR="00191A23" w:rsidRPr="0022554A" w:rsidRDefault="00191A23" w:rsidP="00191A23">
            <w:pPr>
              <w:tabs>
                <w:tab w:val="left" w:pos="5400"/>
              </w:tabs>
              <w:jc w:val="center"/>
              <w:rPr>
                <w:sz w:val="20"/>
              </w:rPr>
            </w:pPr>
          </w:p>
        </w:tc>
        <w:tc>
          <w:tcPr>
            <w:tcW w:w="8328" w:type="dxa"/>
          </w:tcPr>
          <w:p w14:paraId="4D5F68A4"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03E4A52" w14:textId="7CEC6080" w:rsidR="00191A23" w:rsidRPr="0022554A" w:rsidRDefault="00D547AB" w:rsidP="00007ADF">
            <w:pPr>
              <w:tabs>
                <w:tab w:val="left" w:pos="5400"/>
              </w:tabs>
              <w:jc w:val="center"/>
              <w:rPr>
                <w:sz w:val="20"/>
                <w:lang w:eastAsia="zh-CN"/>
              </w:rPr>
            </w:pPr>
            <w:r>
              <w:rPr>
                <w:rFonts w:hint="eastAsia"/>
                <w:sz w:val="20"/>
                <w:lang w:eastAsia="zh-CN"/>
              </w:rPr>
              <w:t>7</w:t>
            </w:r>
          </w:p>
        </w:tc>
        <w:tc>
          <w:tcPr>
            <w:tcW w:w="3118" w:type="dxa"/>
          </w:tcPr>
          <w:p w14:paraId="50B61776" w14:textId="45F6FA6C" w:rsidR="00191A23" w:rsidRPr="0022554A" w:rsidRDefault="00D547AB" w:rsidP="00191A23">
            <w:pPr>
              <w:tabs>
                <w:tab w:val="left" w:pos="5400"/>
              </w:tabs>
              <w:rPr>
                <w:sz w:val="20"/>
              </w:rPr>
            </w:pPr>
            <w:r w:rsidRPr="00D547AB">
              <w:rPr>
                <w:sz w:val="20"/>
              </w:rPr>
              <w:t>To investigate the relationship between preoperative PaO2 and postoperative AKI, Univariate analysis was performed on the general preoperative data, hemodynamic indexes and oxygen metabolism indexes of the 4 groups at 24 and 48 hours after operation and the incidence, severity, and duration of AKI in the 4 groups were compared. Subgroup analysis was performed to explore the relationship between oxygen metabolism index (Sa-vO2, Pa-vO2, Pv-aCO2, Ca-vO2, Pv-aCO2/Ca-vO2, O2ER) and persistent AKI.</w:t>
            </w:r>
          </w:p>
        </w:tc>
      </w:tr>
      <w:tr w:rsidR="00496BCD" w:rsidRPr="0022554A" w14:paraId="109B3DE3" w14:textId="77777777" w:rsidTr="00517788">
        <w:tc>
          <w:tcPr>
            <w:tcW w:w="1521" w:type="dxa"/>
            <w:vMerge/>
          </w:tcPr>
          <w:p w14:paraId="747C4742" w14:textId="77777777" w:rsidR="00496BCD" w:rsidRPr="0022554A" w:rsidRDefault="00496BCD" w:rsidP="00496BCD">
            <w:pPr>
              <w:tabs>
                <w:tab w:val="left" w:pos="5400"/>
              </w:tabs>
              <w:rPr>
                <w:bCs/>
                <w:sz w:val="20"/>
              </w:rPr>
            </w:pPr>
            <w:bookmarkStart w:id="49" w:name="bold25" w:colFirst="0" w:colLast="0"/>
            <w:bookmarkStart w:id="50" w:name="italic27" w:colFirst="0" w:colLast="0"/>
            <w:bookmarkEnd w:id="47"/>
            <w:bookmarkEnd w:id="48"/>
          </w:p>
        </w:tc>
        <w:tc>
          <w:tcPr>
            <w:tcW w:w="749" w:type="dxa"/>
            <w:vMerge/>
          </w:tcPr>
          <w:p w14:paraId="5EC6B014" w14:textId="77777777" w:rsidR="00496BCD" w:rsidRPr="0022554A" w:rsidRDefault="00496BCD" w:rsidP="00496BCD">
            <w:pPr>
              <w:tabs>
                <w:tab w:val="left" w:pos="5400"/>
              </w:tabs>
              <w:jc w:val="center"/>
              <w:rPr>
                <w:sz w:val="20"/>
              </w:rPr>
            </w:pPr>
          </w:p>
        </w:tc>
        <w:tc>
          <w:tcPr>
            <w:tcW w:w="8328" w:type="dxa"/>
          </w:tcPr>
          <w:p w14:paraId="075DC7E9" w14:textId="77777777" w:rsidR="00496BCD" w:rsidRPr="0022554A" w:rsidRDefault="00496BCD" w:rsidP="00496BCD">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3CAE48D" w14:textId="41EDC46D" w:rsidR="00496BCD" w:rsidRPr="0022554A" w:rsidRDefault="00D547AB" w:rsidP="00007ADF">
            <w:pPr>
              <w:tabs>
                <w:tab w:val="left" w:pos="5400"/>
              </w:tabs>
              <w:jc w:val="center"/>
              <w:rPr>
                <w:sz w:val="20"/>
                <w:lang w:eastAsia="zh-CN"/>
              </w:rPr>
            </w:pPr>
            <w:r>
              <w:rPr>
                <w:rFonts w:hint="eastAsia"/>
                <w:sz w:val="20"/>
                <w:lang w:eastAsia="zh-CN"/>
              </w:rPr>
              <w:t>4</w:t>
            </w:r>
          </w:p>
        </w:tc>
        <w:tc>
          <w:tcPr>
            <w:tcW w:w="3118" w:type="dxa"/>
          </w:tcPr>
          <w:p w14:paraId="09AEC3D3" w14:textId="67A4DBAD" w:rsidR="00496BCD" w:rsidRPr="0022554A" w:rsidRDefault="00496BCD" w:rsidP="00496BCD">
            <w:pPr>
              <w:tabs>
                <w:tab w:val="left" w:pos="5400"/>
              </w:tabs>
              <w:rPr>
                <w:sz w:val="20"/>
              </w:rPr>
            </w:pPr>
            <w:r w:rsidRPr="00E6787D">
              <w:rPr>
                <w:color w:val="000000"/>
                <w:sz w:val="20"/>
              </w:rPr>
              <w:t>The exclusion criteria included a lack of postoperative renal data</w:t>
            </w:r>
          </w:p>
        </w:tc>
      </w:tr>
      <w:tr w:rsidR="00496BCD" w:rsidRPr="0022554A" w14:paraId="7251202D" w14:textId="77777777" w:rsidTr="00517788">
        <w:tc>
          <w:tcPr>
            <w:tcW w:w="1521" w:type="dxa"/>
            <w:vMerge/>
          </w:tcPr>
          <w:p w14:paraId="2EA1E4D7" w14:textId="77777777" w:rsidR="00496BCD" w:rsidRPr="0022554A" w:rsidRDefault="00496BCD" w:rsidP="00496BCD">
            <w:pPr>
              <w:tabs>
                <w:tab w:val="left" w:pos="5400"/>
              </w:tabs>
              <w:rPr>
                <w:bCs/>
                <w:sz w:val="20"/>
              </w:rPr>
            </w:pPr>
            <w:bookmarkStart w:id="51" w:name="bold26" w:colFirst="0" w:colLast="0"/>
            <w:bookmarkStart w:id="52" w:name="italic28" w:colFirst="0" w:colLast="0"/>
            <w:bookmarkEnd w:id="49"/>
            <w:bookmarkEnd w:id="50"/>
          </w:p>
        </w:tc>
        <w:tc>
          <w:tcPr>
            <w:tcW w:w="749" w:type="dxa"/>
            <w:vMerge/>
          </w:tcPr>
          <w:p w14:paraId="13D4C880" w14:textId="77777777" w:rsidR="00496BCD" w:rsidRPr="0022554A" w:rsidRDefault="00496BCD" w:rsidP="00496BCD">
            <w:pPr>
              <w:tabs>
                <w:tab w:val="left" w:pos="5400"/>
              </w:tabs>
              <w:jc w:val="center"/>
              <w:rPr>
                <w:sz w:val="20"/>
              </w:rPr>
            </w:pPr>
          </w:p>
        </w:tc>
        <w:tc>
          <w:tcPr>
            <w:tcW w:w="8328" w:type="dxa"/>
          </w:tcPr>
          <w:p w14:paraId="651C9969" w14:textId="77777777" w:rsidR="00496BCD" w:rsidRPr="0022554A" w:rsidRDefault="00496BCD" w:rsidP="00496BCD">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53632DB" w14:textId="77777777" w:rsidR="00496BCD" w:rsidRPr="0022554A" w:rsidRDefault="00496BCD" w:rsidP="00496BCD">
            <w:pPr>
              <w:tabs>
                <w:tab w:val="left" w:pos="5400"/>
              </w:tabs>
              <w:rPr>
                <w:sz w:val="20"/>
              </w:rPr>
            </w:pPr>
            <w:r w:rsidRPr="0022554A">
              <w:rPr>
                <w:bCs/>
                <w:i/>
                <w:sz w:val="20"/>
              </w:rPr>
              <w:t>Case-control study</w:t>
            </w:r>
            <w:r w:rsidRPr="0022554A">
              <w:rPr>
                <w:sz w:val="20"/>
              </w:rPr>
              <w:t>—If applicable, explain how matching of cases and controls was addressed</w:t>
            </w:r>
          </w:p>
          <w:p w14:paraId="5B49A9A3" w14:textId="77777777" w:rsidR="00496BCD" w:rsidRPr="0022554A" w:rsidRDefault="00496BCD" w:rsidP="00496BCD">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33FDC741" w14:textId="79DED479" w:rsidR="00496BCD" w:rsidRPr="0022554A" w:rsidRDefault="00D547AB" w:rsidP="00007ADF">
            <w:pPr>
              <w:tabs>
                <w:tab w:val="left" w:pos="5400"/>
              </w:tabs>
              <w:jc w:val="center"/>
              <w:rPr>
                <w:sz w:val="20"/>
                <w:lang w:eastAsia="zh-CN"/>
              </w:rPr>
            </w:pPr>
            <w:r>
              <w:rPr>
                <w:sz w:val="20"/>
                <w:lang w:eastAsia="zh-CN"/>
              </w:rPr>
              <w:t>4-5</w:t>
            </w:r>
          </w:p>
        </w:tc>
        <w:tc>
          <w:tcPr>
            <w:tcW w:w="3118" w:type="dxa"/>
          </w:tcPr>
          <w:p w14:paraId="29D1D7D0" w14:textId="209A1EBD" w:rsidR="00496BCD" w:rsidRPr="0022554A" w:rsidRDefault="00194CA3" w:rsidP="00496BCD">
            <w:pPr>
              <w:tabs>
                <w:tab w:val="left" w:pos="5400"/>
              </w:tabs>
              <w:rPr>
                <w:sz w:val="20"/>
              </w:rPr>
            </w:pPr>
            <w:r w:rsidRPr="00E6787D">
              <w:rPr>
                <w:color w:val="000000"/>
                <w:sz w:val="20"/>
              </w:rPr>
              <w:t>The exclusion criteria included a lack of postoperative renal data</w:t>
            </w:r>
          </w:p>
        </w:tc>
      </w:tr>
      <w:tr w:rsidR="00496BCD" w:rsidRPr="0022554A" w14:paraId="3EFB5915" w14:textId="77777777" w:rsidTr="00517788">
        <w:tc>
          <w:tcPr>
            <w:tcW w:w="1521" w:type="dxa"/>
            <w:vMerge/>
          </w:tcPr>
          <w:p w14:paraId="2D4C417B" w14:textId="77777777" w:rsidR="00496BCD" w:rsidRPr="0022554A" w:rsidRDefault="00496BCD" w:rsidP="00496BCD">
            <w:pPr>
              <w:tabs>
                <w:tab w:val="left" w:pos="5400"/>
              </w:tabs>
              <w:rPr>
                <w:bCs/>
                <w:sz w:val="20"/>
              </w:rPr>
            </w:pPr>
            <w:bookmarkStart w:id="53" w:name="bold27" w:colFirst="0" w:colLast="0"/>
            <w:bookmarkStart w:id="54" w:name="italic29" w:colFirst="0" w:colLast="0"/>
            <w:bookmarkEnd w:id="51"/>
            <w:bookmarkEnd w:id="52"/>
          </w:p>
        </w:tc>
        <w:tc>
          <w:tcPr>
            <w:tcW w:w="749" w:type="dxa"/>
            <w:vMerge/>
          </w:tcPr>
          <w:p w14:paraId="6178CB25" w14:textId="77777777" w:rsidR="00496BCD" w:rsidRPr="0022554A" w:rsidRDefault="00496BCD" w:rsidP="00496BCD">
            <w:pPr>
              <w:tabs>
                <w:tab w:val="left" w:pos="5400"/>
              </w:tabs>
              <w:jc w:val="center"/>
              <w:rPr>
                <w:sz w:val="20"/>
              </w:rPr>
            </w:pPr>
          </w:p>
        </w:tc>
        <w:tc>
          <w:tcPr>
            <w:tcW w:w="8328" w:type="dxa"/>
          </w:tcPr>
          <w:p w14:paraId="721644DF" w14:textId="77777777" w:rsidR="00496BCD" w:rsidRPr="0022554A" w:rsidRDefault="00496BCD" w:rsidP="00496BCD">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5B5D1792" w14:textId="5F73F9F1" w:rsidR="00496BCD" w:rsidRPr="0022554A" w:rsidRDefault="00FE0822" w:rsidP="00007ADF">
            <w:pPr>
              <w:tabs>
                <w:tab w:val="left" w:pos="5400"/>
              </w:tabs>
              <w:jc w:val="center"/>
              <w:rPr>
                <w:sz w:val="20"/>
                <w:lang w:eastAsia="zh-CN"/>
              </w:rPr>
            </w:pPr>
            <w:r>
              <w:rPr>
                <w:sz w:val="20"/>
                <w:lang w:eastAsia="zh-CN"/>
              </w:rPr>
              <w:t>7</w:t>
            </w:r>
          </w:p>
        </w:tc>
        <w:tc>
          <w:tcPr>
            <w:tcW w:w="3118" w:type="dxa"/>
          </w:tcPr>
          <w:p w14:paraId="1D5E1FEC" w14:textId="230DFB1C" w:rsidR="00496BCD" w:rsidRPr="0022554A" w:rsidRDefault="00496BCD" w:rsidP="00496BCD">
            <w:pPr>
              <w:tabs>
                <w:tab w:val="left" w:pos="5400"/>
              </w:tabs>
              <w:rPr>
                <w:sz w:val="20"/>
              </w:rPr>
            </w:pPr>
            <w:r w:rsidRPr="00496BCD">
              <w:rPr>
                <w:sz w:val="20"/>
              </w:rPr>
              <w:t>The difference was considered significant when the two-tailed P-value of &lt;0.05.</w:t>
            </w:r>
          </w:p>
        </w:tc>
      </w:tr>
      <w:bookmarkEnd w:id="53"/>
      <w:bookmarkEnd w:id="54"/>
      <w:tr w:rsidR="00496BCD" w:rsidRPr="0022554A" w14:paraId="38806C2B" w14:textId="77777777" w:rsidTr="00191A23">
        <w:tc>
          <w:tcPr>
            <w:tcW w:w="14992" w:type="dxa"/>
            <w:gridSpan w:val="5"/>
          </w:tcPr>
          <w:p w14:paraId="4B9544E2" w14:textId="77777777" w:rsidR="00496BCD" w:rsidRPr="0022554A" w:rsidRDefault="00496BCD" w:rsidP="00496BCD">
            <w:pPr>
              <w:pStyle w:val="TableSubHead"/>
              <w:tabs>
                <w:tab w:val="left" w:pos="5400"/>
              </w:tabs>
              <w:rPr>
                <w:sz w:val="20"/>
              </w:rPr>
            </w:pPr>
            <w:r w:rsidRPr="0022554A">
              <w:rPr>
                <w:sz w:val="20"/>
              </w:rPr>
              <w:t>Results</w:t>
            </w:r>
          </w:p>
        </w:tc>
      </w:tr>
      <w:tr w:rsidR="00496BCD" w:rsidRPr="0022554A" w14:paraId="1984A33F" w14:textId="77777777" w:rsidTr="00517788">
        <w:tc>
          <w:tcPr>
            <w:tcW w:w="0" w:type="auto"/>
            <w:vMerge w:val="restart"/>
          </w:tcPr>
          <w:p w14:paraId="31C26DD6" w14:textId="77777777" w:rsidR="00496BCD" w:rsidRPr="0022554A" w:rsidRDefault="00496BCD" w:rsidP="00496BCD">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0AFC77C6" w14:textId="77777777" w:rsidR="00496BCD" w:rsidRPr="0022554A" w:rsidRDefault="00496BCD" w:rsidP="00496BCD">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14:paraId="128B8FEB" w14:textId="77777777" w:rsidR="00496BCD" w:rsidRPr="0022554A" w:rsidRDefault="00496BCD" w:rsidP="00496BCD">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0F1CEB90" w14:textId="282C7526" w:rsidR="00496BCD" w:rsidRDefault="009D002F" w:rsidP="00007ADF">
            <w:pPr>
              <w:tabs>
                <w:tab w:val="left" w:pos="5400"/>
              </w:tabs>
              <w:jc w:val="center"/>
              <w:rPr>
                <w:sz w:val="20"/>
                <w:lang w:eastAsia="zh-CN"/>
              </w:rPr>
            </w:pPr>
            <w:r>
              <w:rPr>
                <w:rFonts w:hint="eastAsia"/>
                <w:sz w:val="20"/>
                <w:lang w:eastAsia="zh-CN"/>
              </w:rPr>
              <w:t>7</w:t>
            </w:r>
            <w:r>
              <w:rPr>
                <w:sz w:val="20"/>
                <w:lang w:eastAsia="zh-CN"/>
              </w:rPr>
              <w:t>-8</w:t>
            </w:r>
          </w:p>
        </w:tc>
        <w:tc>
          <w:tcPr>
            <w:tcW w:w="3118" w:type="dxa"/>
          </w:tcPr>
          <w:p w14:paraId="6385A7D6" w14:textId="244ACD71" w:rsidR="00496BCD" w:rsidRDefault="009D002F" w:rsidP="00496BCD">
            <w:pPr>
              <w:tabs>
                <w:tab w:val="left" w:pos="5400"/>
              </w:tabs>
              <w:rPr>
                <w:sz w:val="20"/>
              </w:rPr>
            </w:pPr>
            <w:r w:rsidRPr="009D002F">
              <w:rPr>
                <w:sz w:val="20"/>
              </w:rPr>
              <w:t xml:space="preserve">Among the 36 patients, 21 were males and 15 were females. The </w:t>
            </w:r>
            <w:r w:rsidRPr="009D002F">
              <w:rPr>
                <w:sz w:val="20"/>
              </w:rPr>
              <w:lastRenderedPageBreak/>
              <w:t>median age was 6-month (range, 4-12 months). The median height was 67.0 cm (range, 55.0-80.0 cm) and the weight was 8.0 kg (range, 5.4-12.5 kg). Seventeen patients (47.2%) developed AKI. For the present analyses, patients were categorized by preoperative PaO2 quartiles</w:t>
            </w:r>
          </w:p>
        </w:tc>
      </w:tr>
      <w:tr w:rsidR="00496BCD" w:rsidRPr="0022554A" w14:paraId="1C3AA6E7" w14:textId="77777777" w:rsidTr="00517788">
        <w:tc>
          <w:tcPr>
            <w:tcW w:w="0" w:type="auto"/>
            <w:vMerge/>
          </w:tcPr>
          <w:p w14:paraId="10776DF3" w14:textId="77777777" w:rsidR="00496BCD" w:rsidRPr="0022554A" w:rsidRDefault="00496BCD" w:rsidP="00496BCD">
            <w:pPr>
              <w:tabs>
                <w:tab w:val="left" w:pos="5400"/>
              </w:tabs>
              <w:rPr>
                <w:bCs/>
                <w:sz w:val="20"/>
              </w:rPr>
            </w:pPr>
            <w:bookmarkStart w:id="58" w:name="bold31" w:colFirst="0" w:colLast="0"/>
            <w:bookmarkStart w:id="59" w:name="italic32" w:colFirst="0" w:colLast="0"/>
          </w:p>
        </w:tc>
        <w:tc>
          <w:tcPr>
            <w:tcW w:w="0" w:type="auto"/>
            <w:vMerge/>
          </w:tcPr>
          <w:p w14:paraId="50C1B062" w14:textId="77777777" w:rsidR="00496BCD" w:rsidRPr="0022554A" w:rsidRDefault="00496BCD" w:rsidP="00496BCD">
            <w:pPr>
              <w:tabs>
                <w:tab w:val="left" w:pos="5400"/>
              </w:tabs>
              <w:jc w:val="center"/>
              <w:rPr>
                <w:sz w:val="20"/>
              </w:rPr>
            </w:pPr>
          </w:p>
        </w:tc>
        <w:tc>
          <w:tcPr>
            <w:tcW w:w="8328" w:type="dxa"/>
          </w:tcPr>
          <w:p w14:paraId="319886C7" w14:textId="77777777" w:rsidR="00496BCD" w:rsidRPr="0022554A" w:rsidRDefault="00496BCD" w:rsidP="00496BCD">
            <w:pPr>
              <w:tabs>
                <w:tab w:val="left" w:pos="5400"/>
              </w:tabs>
              <w:rPr>
                <w:sz w:val="20"/>
              </w:rPr>
            </w:pPr>
            <w:r>
              <w:rPr>
                <w:sz w:val="20"/>
              </w:rPr>
              <w:t xml:space="preserve">(b) </w:t>
            </w:r>
            <w:r w:rsidRPr="0022554A">
              <w:rPr>
                <w:sz w:val="20"/>
              </w:rPr>
              <w:t>Give reasons for non-participation at each stage</w:t>
            </w:r>
          </w:p>
        </w:tc>
        <w:tc>
          <w:tcPr>
            <w:tcW w:w="1276" w:type="dxa"/>
          </w:tcPr>
          <w:p w14:paraId="43775EB4" w14:textId="3F6C707B" w:rsidR="00496BCD" w:rsidRDefault="009D002F" w:rsidP="00007ADF">
            <w:pPr>
              <w:tabs>
                <w:tab w:val="left" w:pos="5400"/>
              </w:tabs>
              <w:jc w:val="center"/>
              <w:rPr>
                <w:sz w:val="20"/>
                <w:lang w:eastAsia="zh-CN"/>
              </w:rPr>
            </w:pPr>
            <w:r>
              <w:rPr>
                <w:sz w:val="20"/>
                <w:lang w:eastAsia="zh-CN"/>
              </w:rPr>
              <w:t>4</w:t>
            </w:r>
          </w:p>
        </w:tc>
        <w:tc>
          <w:tcPr>
            <w:tcW w:w="3118" w:type="dxa"/>
          </w:tcPr>
          <w:p w14:paraId="5578F422" w14:textId="4A08863C" w:rsidR="00496BCD" w:rsidRDefault="00FA5020" w:rsidP="00496BCD">
            <w:pPr>
              <w:tabs>
                <w:tab w:val="left" w:pos="5400"/>
              </w:tabs>
              <w:rPr>
                <w:sz w:val="20"/>
              </w:rPr>
            </w:pPr>
            <w:r w:rsidRPr="00FA5020">
              <w:rPr>
                <w:sz w:val="20"/>
              </w:rPr>
              <w:t xml:space="preserve">The exclusion criteria </w:t>
            </w:r>
          </w:p>
        </w:tc>
      </w:tr>
      <w:tr w:rsidR="00496BCD" w:rsidRPr="0022554A" w14:paraId="521BE58C" w14:textId="77777777" w:rsidTr="00517788">
        <w:tc>
          <w:tcPr>
            <w:tcW w:w="0" w:type="auto"/>
            <w:vMerge/>
          </w:tcPr>
          <w:p w14:paraId="1121AAA3" w14:textId="77777777" w:rsidR="00496BCD" w:rsidRPr="0022554A" w:rsidRDefault="00496BCD" w:rsidP="00496BCD">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539BE3F7" w14:textId="77777777" w:rsidR="00496BCD" w:rsidRPr="0022554A" w:rsidRDefault="00496BCD" w:rsidP="00496BCD">
            <w:pPr>
              <w:tabs>
                <w:tab w:val="left" w:pos="5400"/>
              </w:tabs>
              <w:jc w:val="center"/>
              <w:rPr>
                <w:sz w:val="20"/>
              </w:rPr>
            </w:pPr>
          </w:p>
        </w:tc>
        <w:tc>
          <w:tcPr>
            <w:tcW w:w="8328" w:type="dxa"/>
          </w:tcPr>
          <w:p w14:paraId="1E854FC7" w14:textId="77777777" w:rsidR="00496BCD" w:rsidRPr="0022554A" w:rsidRDefault="00496BCD" w:rsidP="00496BCD">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14:paraId="7B523EFC" w14:textId="5C520C36" w:rsidR="00496BCD" w:rsidRDefault="00FE0822" w:rsidP="00007ADF">
            <w:pPr>
              <w:tabs>
                <w:tab w:val="left" w:pos="5400"/>
              </w:tabs>
              <w:jc w:val="center"/>
              <w:rPr>
                <w:sz w:val="20"/>
                <w:lang w:eastAsia="zh-CN"/>
              </w:rPr>
            </w:pPr>
            <w:r>
              <w:rPr>
                <w:sz w:val="20"/>
                <w:lang w:eastAsia="zh-CN"/>
              </w:rPr>
              <w:t>8</w:t>
            </w:r>
          </w:p>
        </w:tc>
        <w:tc>
          <w:tcPr>
            <w:tcW w:w="3118" w:type="dxa"/>
          </w:tcPr>
          <w:p w14:paraId="1D474482" w14:textId="15F92799" w:rsidR="00496BCD" w:rsidRDefault="00FA5020" w:rsidP="00496BCD">
            <w:pPr>
              <w:tabs>
                <w:tab w:val="left" w:pos="5400"/>
              </w:tabs>
              <w:rPr>
                <w:sz w:val="20"/>
              </w:rPr>
            </w:pPr>
            <w:r w:rsidRPr="00FA5020">
              <w:rPr>
                <w:sz w:val="20"/>
              </w:rPr>
              <w:t>A flowchart of our study is included in Figure 1.</w:t>
            </w:r>
          </w:p>
        </w:tc>
      </w:tr>
      <w:tr w:rsidR="00496BCD" w:rsidRPr="0022554A" w14:paraId="31E3D104" w14:textId="77777777" w:rsidTr="00517788">
        <w:tc>
          <w:tcPr>
            <w:tcW w:w="0" w:type="auto"/>
            <w:vMerge w:val="restart"/>
          </w:tcPr>
          <w:p w14:paraId="13422027" w14:textId="53B48C7D" w:rsidR="00496BCD" w:rsidRPr="0022554A" w:rsidRDefault="00496BCD" w:rsidP="00496BCD">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6AD8280B" w14:textId="77777777" w:rsidR="00496BCD" w:rsidRPr="0022554A" w:rsidRDefault="00496BCD" w:rsidP="00496BCD">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14:paraId="018530D3" w14:textId="77777777" w:rsidR="00496BCD" w:rsidRPr="0022554A" w:rsidRDefault="00496BCD" w:rsidP="00496BCD">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6DAEC7D2" w14:textId="12BB7CAD" w:rsidR="00496BCD" w:rsidRDefault="00FE0822" w:rsidP="00007ADF">
            <w:pPr>
              <w:tabs>
                <w:tab w:val="left" w:pos="5400"/>
              </w:tabs>
              <w:jc w:val="center"/>
              <w:rPr>
                <w:sz w:val="20"/>
                <w:lang w:eastAsia="zh-CN"/>
              </w:rPr>
            </w:pPr>
            <w:r>
              <w:rPr>
                <w:sz w:val="20"/>
                <w:lang w:eastAsia="zh-CN"/>
              </w:rPr>
              <w:t>8</w:t>
            </w:r>
          </w:p>
        </w:tc>
        <w:tc>
          <w:tcPr>
            <w:tcW w:w="3118" w:type="dxa"/>
          </w:tcPr>
          <w:p w14:paraId="6534B3D5" w14:textId="7744D06D" w:rsidR="00496BCD" w:rsidRPr="00A65E78" w:rsidRDefault="004A7452" w:rsidP="00A65E78">
            <w:pPr>
              <w:rPr>
                <w:sz w:val="20"/>
              </w:rPr>
            </w:pPr>
            <w:r w:rsidRPr="004A7452">
              <w:rPr>
                <w:rFonts w:hint="eastAsia"/>
                <w:sz w:val="20"/>
              </w:rPr>
              <w:t>The oldest group is group 1 and there was a significant difference between group 1 and 3 (P</w:t>
            </w:r>
            <w:r w:rsidRPr="004A7452">
              <w:rPr>
                <w:rFonts w:hint="eastAsia"/>
                <w:sz w:val="20"/>
              </w:rPr>
              <w:t>＜</w:t>
            </w:r>
            <w:r w:rsidRPr="004A7452">
              <w:rPr>
                <w:rFonts w:hint="eastAsia"/>
                <w:sz w:val="20"/>
              </w:rPr>
              <w:t>0.05). Similarly, group 1 was the tallest among the groups.  There was a significant difference in CTS time and CPB time between group 1 and 4; CTS time and CPB time were gradually increased (P</w:t>
            </w:r>
            <w:r w:rsidRPr="004A7452">
              <w:rPr>
                <w:rFonts w:hint="eastAsia"/>
                <w:sz w:val="20"/>
              </w:rPr>
              <w:t>＜</w:t>
            </w:r>
            <w:r w:rsidRPr="004A7452">
              <w:rPr>
                <w:rFonts w:hint="eastAsia"/>
                <w:sz w:val="20"/>
              </w:rPr>
              <w:t>0.05).</w:t>
            </w:r>
          </w:p>
        </w:tc>
      </w:tr>
      <w:tr w:rsidR="00496BCD" w:rsidRPr="0022554A" w14:paraId="1F47839A" w14:textId="77777777" w:rsidTr="00517788">
        <w:tc>
          <w:tcPr>
            <w:tcW w:w="0" w:type="auto"/>
            <w:vMerge/>
          </w:tcPr>
          <w:p w14:paraId="0BD649BE" w14:textId="77777777" w:rsidR="00496BCD" w:rsidRPr="0022554A" w:rsidRDefault="00496BCD" w:rsidP="00496BCD">
            <w:pPr>
              <w:tabs>
                <w:tab w:val="left" w:pos="5400"/>
              </w:tabs>
              <w:rPr>
                <w:bCs/>
                <w:sz w:val="20"/>
              </w:rPr>
            </w:pPr>
            <w:bookmarkStart w:id="68" w:name="bold36" w:colFirst="0" w:colLast="0"/>
            <w:bookmarkStart w:id="69" w:name="italic36" w:colFirst="0" w:colLast="0"/>
          </w:p>
        </w:tc>
        <w:tc>
          <w:tcPr>
            <w:tcW w:w="0" w:type="auto"/>
            <w:vMerge/>
          </w:tcPr>
          <w:p w14:paraId="36D7B5D9" w14:textId="77777777" w:rsidR="00496BCD" w:rsidRPr="0022554A" w:rsidRDefault="00496BCD" w:rsidP="00496BCD">
            <w:pPr>
              <w:tabs>
                <w:tab w:val="left" w:pos="5400"/>
              </w:tabs>
              <w:jc w:val="center"/>
              <w:rPr>
                <w:sz w:val="20"/>
              </w:rPr>
            </w:pPr>
          </w:p>
        </w:tc>
        <w:tc>
          <w:tcPr>
            <w:tcW w:w="8328" w:type="dxa"/>
          </w:tcPr>
          <w:p w14:paraId="0C6805AD" w14:textId="77777777" w:rsidR="00496BCD" w:rsidRPr="0022554A" w:rsidRDefault="00496BCD" w:rsidP="00496BCD">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DAE6809" w14:textId="406A9BCA" w:rsidR="00496BCD" w:rsidRDefault="004A7452" w:rsidP="00007ADF">
            <w:pPr>
              <w:tabs>
                <w:tab w:val="left" w:pos="5400"/>
              </w:tabs>
              <w:jc w:val="center"/>
              <w:rPr>
                <w:sz w:val="20"/>
                <w:lang w:eastAsia="zh-CN"/>
              </w:rPr>
            </w:pPr>
            <w:r>
              <w:rPr>
                <w:sz w:val="20"/>
                <w:lang w:eastAsia="zh-CN"/>
              </w:rPr>
              <w:t>4</w:t>
            </w:r>
          </w:p>
        </w:tc>
        <w:tc>
          <w:tcPr>
            <w:tcW w:w="3118" w:type="dxa"/>
          </w:tcPr>
          <w:p w14:paraId="76D9DEDC" w14:textId="4E6AE7A5" w:rsidR="00496BCD" w:rsidRDefault="00FA5020" w:rsidP="00496BCD">
            <w:pPr>
              <w:tabs>
                <w:tab w:val="left" w:pos="5400"/>
              </w:tabs>
              <w:rPr>
                <w:sz w:val="20"/>
              </w:rPr>
            </w:pPr>
            <w:r w:rsidRPr="00FA5020">
              <w:rPr>
                <w:sz w:val="20"/>
              </w:rPr>
              <w:t xml:space="preserve">The exclusion criteria </w:t>
            </w:r>
          </w:p>
        </w:tc>
      </w:tr>
      <w:tr w:rsidR="00496BCD" w:rsidRPr="0022554A" w14:paraId="26A0059A" w14:textId="77777777" w:rsidTr="00517788">
        <w:tc>
          <w:tcPr>
            <w:tcW w:w="0" w:type="auto"/>
            <w:vMerge/>
          </w:tcPr>
          <w:p w14:paraId="15907128" w14:textId="77777777" w:rsidR="00496BCD" w:rsidRPr="0022554A" w:rsidRDefault="00496BCD" w:rsidP="00496BCD">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6151C693" w14:textId="77777777" w:rsidR="00496BCD" w:rsidRPr="0022554A" w:rsidRDefault="00496BCD" w:rsidP="00496BCD">
            <w:pPr>
              <w:tabs>
                <w:tab w:val="left" w:pos="5400"/>
              </w:tabs>
              <w:jc w:val="center"/>
              <w:rPr>
                <w:sz w:val="20"/>
              </w:rPr>
            </w:pPr>
          </w:p>
        </w:tc>
        <w:tc>
          <w:tcPr>
            <w:tcW w:w="8328" w:type="dxa"/>
          </w:tcPr>
          <w:p w14:paraId="193BD457" w14:textId="77777777" w:rsidR="00496BCD" w:rsidRPr="0022554A" w:rsidRDefault="00496BCD" w:rsidP="00496BCD">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274DC667" w14:textId="77777777" w:rsidR="00496BCD" w:rsidRDefault="00496BCD" w:rsidP="00007ADF">
            <w:pPr>
              <w:tabs>
                <w:tab w:val="left" w:pos="5400"/>
              </w:tabs>
              <w:jc w:val="center"/>
              <w:rPr>
                <w:sz w:val="20"/>
              </w:rPr>
            </w:pPr>
          </w:p>
        </w:tc>
        <w:tc>
          <w:tcPr>
            <w:tcW w:w="3118" w:type="dxa"/>
          </w:tcPr>
          <w:p w14:paraId="6DC12B1E" w14:textId="1A1E769A" w:rsidR="00496BCD" w:rsidRDefault="00A65E78" w:rsidP="00496BCD">
            <w:pPr>
              <w:tabs>
                <w:tab w:val="left" w:pos="5400"/>
              </w:tabs>
              <w:rPr>
                <w:sz w:val="20"/>
              </w:rPr>
            </w:pPr>
            <w:r w:rsidRPr="00A65E78">
              <w:rPr>
                <w:sz w:val="20"/>
              </w:rPr>
              <w:t>Not applicable</w:t>
            </w:r>
          </w:p>
        </w:tc>
      </w:tr>
      <w:tr w:rsidR="00496BCD" w:rsidRPr="0022554A" w14:paraId="1C34F00A" w14:textId="77777777" w:rsidTr="00517788">
        <w:trPr>
          <w:trHeight w:val="295"/>
        </w:trPr>
        <w:tc>
          <w:tcPr>
            <w:tcW w:w="0" w:type="auto"/>
            <w:vMerge w:val="restart"/>
          </w:tcPr>
          <w:p w14:paraId="6403A768" w14:textId="77777777" w:rsidR="00496BCD" w:rsidRPr="0022554A" w:rsidRDefault="00496BCD" w:rsidP="00496BCD">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14:paraId="7B3A1F0A" w14:textId="77777777" w:rsidR="00496BCD" w:rsidRPr="0022554A" w:rsidRDefault="00496BCD" w:rsidP="00496BCD">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14:paraId="7FC5AFCD" w14:textId="77777777" w:rsidR="00496BCD" w:rsidRPr="0022554A" w:rsidRDefault="00496BCD" w:rsidP="00496BCD">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DF63E56" w14:textId="77777777" w:rsidR="00496BCD" w:rsidRPr="0022554A" w:rsidRDefault="00496BCD" w:rsidP="00007ADF">
            <w:pPr>
              <w:tabs>
                <w:tab w:val="left" w:pos="5400"/>
              </w:tabs>
              <w:jc w:val="center"/>
              <w:rPr>
                <w:i/>
                <w:sz w:val="20"/>
              </w:rPr>
            </w:pPr>
          </w:p>
        </w:tc>
        <w:tc>
          <w:tcPr>
            <w:tcW w:w="3118" w:type="dxa"/>
          </w:tcPr>
          <w:p w14:paraId="4AC2549D" w14:textId="4A982A3A" w:rsidR="00496BCD" w:rsidRPr="0022554A" w:rsidRDefault="002B52BA" w:rsidP="00496BCD">
            <w:pPr>
              <w:tabs>
                <w:tab w:val="left" w:pos="5400"/>
              </w:tabs>
              <w:rPr>
                <w:i/>
                <w:sz w:val="20"/>
              </w:rPr>
            </w:pPr>
            <w:r w:rsidRPr="00A65E78">
              <w:rPr>
                <w:sz w:val="20"/>
              </w:rPr>
              <w:t>Not applicable</w:t>
            </w:r>
          </w:p>
        </w:tc>
      </w:tr>
      <w:tr w:rsidR="00496BCD" w:rsidRPr="0022554A" w14:paraId="72673922" w14:textId="77777777" w:rsidTr="00517788">
        <w:trPr>
          <w:trHeight w:val="294"/>
        </w:trPr>
        <w:tc>
          <w:tcPr>
            <w:tcW w:w="0" w:type="auto"/>
            <w:vMerge/>
          </w:tcPr>
          <w:p w14:paraId="35E983C7" w14:textId="77777777" w:rsidR="00496BCD" w:rsidRPr="0022554A" w:rsidRDefault="00496BCD" w:rsidP="00496BCD">
            <w:pPr>
              <w:tabs>
                <w:tab w:val="left" w:pos="5400"/>
              </w:tabs>
              <w:rPr>
                <w:bCs/>
                <w:sz w:val="20"/>
              </w:rPr>
            </w:pPr>
          </w:p>
        </w:tc>
        <w:tc>
          <w:tcPr>
            <w:tcW w:w="0" w:type="auto"/>
            <w:vMerge/>
          </w:tcPr>
          <w:p w14:paraId="5A714275" w14:textId="77777777" w:rsidR="00496BCD" w:rsidRPr="0022554A" w:rsidRDefault="00496BCD" w:rsidP="00496BCD">
            <w:pPr>
              <w:tabs>
                <w:tab w:val="left" w:pos="5400"/>
              </w:tabs>
              <w:jc w:val="center"/>
              <w:rPr>
                <w:sz w:val="20"/>
              </w:rPr>
            </w:pPr>
          </w:p>
        </w:tc>
        <w:tc>
          <w:tcPr>
            <w:tcW w:w="8328" w:type="dxa"/>
          </w:tcPr>
          <w:p w14:paraId="460F6230" w14:textId="77777777" w:rsidR="00496BCD" w:rsidRPr="0022554A" w:rsidRDefault="00496BCD" w:rsidP="00496BCD">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5736A38D" w14:textId="7DEDFB30" w:rsidR="00496BCD" w:rsidRPr="002B52BA" w:rsidRDefault="00FE0822" w:rsidP="00007ADF">
            <w:pPr>
              <w:tabs>
                <w:tab w:val="left" w:pos="5400"/>
              </w:tabs>
              <w:jc w:val="center"/>
              <w:rPr>
                <w:iCs/>
                <w:sz w:val="20"/>
                <w:lang w:eastAsia="zh-CN"/>
              </w:rPr>
            </w:pPr>
            <w:r>
              <w:rPr>
                <w:rFonts w:hint="eastAsia"/>
                <w:iCs/>
                <w:sz w:val="20"/>
                <w:lang w:eastAsia="zh-CN"/>
              </w:rPr>
              <w:t>8</w:t>
            </w:r>
            <w:r w:rsidR="004A7452">
              <w:rPr>
                <w:iCs/>
                <w:sz w:val="20"/>
                <w:lang w:eastAsia="zh-CN"/>
              </w:rPr>
              <w:t>-9</w:t>
            </w:r>
          </w:p>
        </w:tc>
        <w:tc>
          <w:tcPr>
            <w:tcW w:w="3118" w:type="dxa"/>
          </w:tcPr>
          <w:p w14:paraId="662D4970" w14:textId="5A71AE11" w:rsidR="00496BCD" w:rsidRPr="00FA5020" w:rsidRDefault="004A7452" w:rsidP="00496BCD">
            <w:pPr>
              <w:tabs>
                <w:tab w:val="left" w:pos="5400"/>
              </w:tabs>
              <w:rPr>
                <w:sz w:val="20"/>
              </w:rPr>
            </w:pPr>
            <w:r w:rsidRPr="004A7452">
              <w:rPr>
                <w:sz w:val="20"/>
              </w:rPr>
              <w:t>The changes of hemodynamic indexes and oxygen metabolism indexes of the 4 groups at PICU, 24 hours and 48 hours after CTS were shown in Table 3. T</w:t>
            </w:r>
          </w:p>
        </w:tc>
      </w:tr>
      <w:tr w:rsidR="00496BCD" w:rsidRPr="0022554A" w14:paraId="4B20204C" w14:textId="77777777" w:rsidTr="00517788">
        <w:trPr>
          <w:trHeight w:val="294"/>
        </w:trPr>
        <w:tc>
          <w:tcPr>
            <w:tcW w:w="0" w:type="auto"/>
            <w:vMerge/>
          </w:tcPr>
          <w:p w14:paraId="7D07B952" w14:textId="77777777" w:rsidR="00496BCD" w:rsidRPr="0022554A" w:rsidRDefault="00496BCD" w:rsidP="00496BCD">
            <w:pPr>
              <w:tabs>
                <w:tab w:val="left" w:pos="5400"/>
              </w:tabs>
              <w:rPr>
                <w:bCs/>
                <w:sz w:val="20"/>
              </w:rPr>
            </w:pPr>
          </w:p>
        </w:tc>
        <w:tc>
          <w:tcPr>
            <w:tcW w:w="0" w:type="auto"/>
            <w:vMerge/>
          </w:tcPr>
          <w:p w14:paraId="2C5D7541" w14:textId="77777777" w:rsidR="00496BCD" w:rsidRPr="0022554A" w:rsidRDefault="00496BCD" w:rsidP="00496BCD">
            <w:pPr>
              <w:tabs>
                <w:tab w:val="left" w:pos="5400"/>
              </w:tabs>
              <w:jc w:val="center"/>
              <w:rPr>
                <w:sz w:val="20"/>
              </w:rPr>
            </w:pPr>
          </w:p>
        </w:tc>
        <w:tc>
          <w:tcPr>
            <w:tcW w:w="8328" w:type="dxa"/>
          </w:tcPr>
          <w:p w14:paraId="1867F8D6" w14:textId="77777777" w:rsidR="00496BCD" w:rsidRPr="0022554A" w:rsidRDefault="00496BCD" w:rsidP="00496BCD">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67C1E263" w14:textId="77777777" w:rsidR="00496BCD" w:rsidRDefault="00496BCD" w:rsidP="00007ADF">
            <w:pPr>
              <w:tabs>
                <w:tab w:val="left" w:pos="5400"/>
              </w:tabs>
              <w:jc w:val="center"/>
              <w:rPr>
                <w:i/>
                <w:sz w:val="20"/>
              </w:rPr>
            </w:pPr>
          </w:p>
        </w:tc>
        <w:tc>
          <w:tcPr>
            <w:tcW w:w="3118" w:type="dxa"/>
          </w:tcPr>
          <w:p w14:paraId="1416D618" w14:textId="4A98C005" w:rsidR="00496BCD" w:rsidRDefault="002B52BA" w:rsidP="00496BCD">
            <w:pPr>
              <w:tabs>
                <w:tab w:val="left" w:pos="5400"/>
              </w:tabs>
              <w:rPr>
                <w:i/>
                <w:sz w:val="20"/>
              </w:rPr>
            </w:pPr>
            <w:r w:rsidRPr="00A65E78">
              <w:rPr>
                <w:sz w:val="20"/>
              </w:rPr>
              <w:t>Not applicable</w:t>
            </w:r>
          </w:p>
        </w:tc>
      </w:tr>
      <w:tr w:rsidR="00496BCD" w:rsidRPr="0022554A" w14:paraId="032014B2" w14:textId="77777777" w:rsidTr="00517788">
        <w:tc>
          <w:tcPr>
            <w:tcW w:w="0" w:type="auto"/>
            <w:vMerge w:val="restart"/>
          </w:tcPr>
          <w:p w14:paraId="2A83EBB0" w14:textId="77777777" w:rsidR="00496BCD" w:rsidRPr="0022554A" w:rsidRDefault="00496BCD" w:rsidP="00496BCD">
            <w:pPr>
              <w:tabs>
                <w:tab w:val="left" w:pos="5400"/>
              </w:tabs>
              <w:rPr>
                <w:bCs/>
                <w:sz w:val="20"/>
              </w:rPr>
            </w:pPr>
            <w:bookmarkStart w:id="75" w:name="italic40" w:colFirst="0" w:colLast="0"/>
            <w:bookmarkStart w:id="76" w:name="bold41" w:colFirst="0" w:colLast="0"/>
            <w:bookmarkEnd w:id="72"/>
            <w:bookmarkEnd w:id="73"/>
            <w:r w:rsidRPr="0022554A">
              <w:rPr>
                <w:bCs/>
                <w:sz w:val="20"/>
              </w:rPr>
              <w:lastRenderedPageBreak/>
              <w:t>Main results</w:t>
            </w:r>
          </w:p>
        </w:tc>
        <w:tc>
          <w:tcPr>
            <w:tcW w:w="0" w:type="auto"/>
            <w:vMerge w:val="restart"/>
          </w:tcPr>
          <w:p w14:paraId="21F57DE1" w14:textId="77777777" w:rsidR="00496BCD" w:rsidRPr="0022554A" w:rsidRDefault="00496BCD" w:rsidP="00496BCD">
            <w:pPr>
              <w:tabs>
                <w:tab w:val="left" w:pos="5400"/>
              </w:tabs>
              <w:jc w:val="center"/>
              <w:rPr>
                <w:sz w:val="20"/>
              </w:rPr>
            </w:pPr>
            <w:r w:rsidRPr="0022554A">
              <w:rPr>
                <w:sz w:val="20"/>
              </w:rPr>
              <w:t>16</w:t>
            </w:r>
          </w:p>
        </w:tc>
        <w:tc>
          <w:tcPr>
            <w:tcW w:w="8328" w:type="dxa"/>
          </w:tcPr>
          <w:p w14:paraId="61EAEA64" w14:textId="77777777" w:rsidR="00496BCD" w:rsidRPr="006149D3" w:rsidRDefault="00496BCD" w:rsidP="00496BCD">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0C2EED60" w14:textId="1E0F2282" w:rsidR="00496BCD" w:rsidRPr="0022554A" w:rsidRDefault="00FE0822" w:rsidP="00007ADF">
            <w:pPr>
              <w:tabs>
                <w:tab w:val="left" w:pos="5400"/>
              </w:tabs>
              <w:jc w:val="center"/>
              <w:rPr>
                <w:sz w:val="20"/>
                <w:lang w:eastAsia="zh-CN"/>
              </w:rPr>
            </w:pPr>
            <w:r>
              <w:rPr>
                <w:rFonts w:hint="eastAsia"/>
                <w:sz w:val="20"/>
                <w:lang w:eastAsia="zh-CN"/>
              </w:rPr>
              <w:t>8</w:t>
            </w:r>
          </w:p>
        </w:tc>
        <w:tc>
          <w:tcPr>
            <w:tcW w:w="3118" w:type="dxa"/>
          </w:tcPr>
          <w:p w14:paraId="7F5536B1" w14:textId="68C172B9" w:rsidR="00496BCD" w:rsidRPr="0022554A" w:rsidRDefault="004A7452" w:rsidP="00B70FEB">
            <w:pPr>
              <w:tabs>
                <w:tab w:val="left" w:pos="5400"/>
              </w:tabs>
              <w:rPr>
                <w:sz w:val="20"/>
              </w:rPr>
            </w:pPr>
            <w:r w:rsidRPr="004A7452">
              <w:rPr>
                <w:sz w:val="20"/>
              </w:rPr>
              <w:t>The changes of hemodynamic indexes and oxygen metabolism indexes of the 4 groups at PICU, 24 hours and 48 hours after CTS were shown in Table 3. T</w:t>
            </w:r>
          </w:p>
        </w:tc>
      </w:tr>
      <w:tr w:rsidR="00496BCD" w:rsidRPr="0022554A" w14:paraId="7816F45C" w14:textId="77777777" w:rsidTr="00517788">
        <w:tc>
          <w:tcPr>
            <w:tcW w:w="0" w:type="auto"/>
            <w:vMerge/>
          </w:tcPr>
          <w:p w14:paraId="00C6B5D4" w14:textId="77777777" w:rsidR="00496BCD" w:rsidRPr="0022554A" w:rsidRDefault="00496BCD" w:rsidP="00496BCD">
            <w:pPr>
              <w:tabs>
                <w:tab w:val="left" w:pos="5400"/>
              </w:tabs>
              <w:rPr>
                <w:bCs/>
                <w:sz w:val="20"/>
              </w:rPr>
            </w:pPr>
            <w:bookmarkStart w:id="77" w:name="italic41" w:colFirst="0" w:colLast="0"/>
            <w:bookmarkStart w:id="78" w:name="bold42" w:colFirst="0" w:colLast="0"/>
            <w:bookmarkEnd w:id="75"/>
            <w:bookmarkEnd w:id="76"/>
          </w:p>
        </w:tc>
        <w:tc>
          <w:tcPr>
            <w:tcW w:w="0" w:type="auto"/>
            <w:vMerge/>
          </w:tcPr>
          <w:p w14:paraId="623A2C3B" w14:textId="77777777" w:rsidR="00496BCD" w:rsidRPr="0022554A" w:rsidRDefault="00496BCD" w:rsidP="00496BCD">
            <w:pPr>
              <w:tabs>
                <w:tab w:val="left" w:pos="5400"/>
              </w:tabs>
              <w:jc w:val="center"/>
              <w:rPr>
                <w:sz w:val="20"/>
              </w:rPr>
            </w:pPr>
          </w:p>
        </w:tc>
        <w:tc>
          <w:tcPr>
            <w:tcW w:w="8328" w:type="dxa"/>
          </w:tcPr>
          <w:p w14:paraId="6CBFB655" w14:textId="77777777" w:rsidR="00496BCD" w:rsidRPr="006149D3" w:rsidRDefault="00496BCD" w:rsidP="00496BCD">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11C2BEFC" w14:textId="1ED7F47F" w:rsidR="00496BCD" w:rsidRPr="0022554A" w:rsidRDefault="004A7452" w:rsidP="00007ADF">
            <w:pPr>
              <w:tabs>
                <w:tab w:val="left" w:pos="5400"/>
              </w:tabs>
              <w:jc w:val="center"/>
              <w:rPr>
                <w:sz w:val="20"/>
                <w:lang w:eastAsia="zh-CN"/>
              </w:rPr>
            </w:pPr>
            <w:r>
              <w:rPr>
                <w:sz w:val="20"/>
                <w:lang w:eastAsia="zh-CN"/>
              </w:rPr>
              <w:t>7</w:t>
            </w:r>
          </w:p>
        </w:tc>
        <w:tc>
          <w:tcPr>
            <w:tcW w:w="3118" w:type="dxa"/>
          </w:tcPr>
          <w:p w14:paraId="772596CB" w14:textId="31493264" w:rsidR="00496BCD" w:rsidRPr="0022554A" w:rsidRDefault="00FA5020" w:rsidP="00496BCD">
            <w:pPr>
              <w:tabs>
                <w:tab w:val="left" w:pos="5400"/>
              </w:tabs>
              <w:rPr>
                <w:sz w:val="20"/>
              </w:rPr>
            </w:pPr>
            <w:r w:rsidRPr="00FA5020">
              <w:rPr>
                <w:rFonts w:hint="eastAsia"/>
                <w:sz w:val="20"/>
              </w:rPr>
              <w:t>he included patients were divided into 4 groups according to their preoperative PaO2</w:t>
            </w:r>
          </w:p>
        </w:tc>
      </w:tr>
      <w:tr w:rsidR="00496BCD" w:rsidRPr="0022554A" w14:paraId="1F18E393" w14:textId="77777777" w:rsidTr="00517788">
        <w:tc>
          <w:tcPr>
            <w:tcW w:w="0" w:type="auto"/>
            <w:vMerge/>
          </w:tcPr>
          <w:p w14:paraId="23A96F20" w14:textId="77777777" w:rsidR="00496BCD" w:rsidRPr="0022554A" w:rsidRDefault="00496BCD" w:rsidP="00496BCD">
            <w:pPr>
              <w:tabs>
                <w:tab w:val="left" w:pos="5400"/>
              </w:tabs>
              <w:rPr>
                <w:bCs/>
                <w:sz w:val="20"/>
              </w:rPr>
            </w:pPr>
            <w:bookmarkStart w:id="79" w:name="italic42" w:colFirst="0" w:colLast="0"/>
            <w:bookmarkStart w:id="80" w:name="bold43" w:colFirst="0" w:colLast="0"/>
            <w:bookmarkEnd w:id="77"/>
            <w:bookmarkEnd w:id="78"/>
          </w:p>
        </w:tc>
        <w:tc>
          <w:tcPr>
            <w:tcW w:w="0" w:type="auto"/>
            <w:vMerge/>
          </w:tcPr>
          <w:p w14:paraId="3618E249" w14:textId="77777777" w:rsidR="00496BCD" w:rsidRPr="0022554A" w:rsidRDefault="00496BCD" w:rsidP="00496BCD">
            <w:pPr>
              <w:tabs>
                <w:tab w:val="left" w:pos="5400"/>
              </w:tabs>
              <w:jc w:val="center"/>
              <w:rPr>
                <w:sz w:val="20"/>
              </w:rPr>
            </w:pPr>
          </w:p>
        </w:tc>
        <w:tc>
          <w:tcPr>
            <w:tcW w:w="8328" w:type="dxa"/>
          </w:tcPr>
          <w:p w14:paraId="73ADE52E" w14:textId="77777777" w:rsidR="00496BCD" w:rsidRPr="006149D3" w:rsidRDefault="00496BCD" w:rsidP="00496BCD">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713E0DAB" w14:textId="77777777" w:rsidR="00496BCD" w:rsidRPr="0022554A" w:rsidRDefault="00496BCD" w:rsidP="00007ADF">
            <w:pPr>
              <w:tabs>
                <w:tab w:val="left" w:pos="5400"/>
              </w:tabs>
              <w:jc w:val="center"/>
              <w:rPr>
                <w:sz w:val="20"/>
              </w:rPr>
            </w:pPr>
          </w:p>
        </w:tc>
        <w:tc>
          <w:tcPr>
            <w:tcW w:w="3118" w:type="dxa"/>
          </w:tcPr>
          <w:p w14:paraId="749F51FA" w14:textId="25DDBF1D" w:rsidR="00496BCD" w:rsidRPr="0022554A" w:rsidRDefault="00B70FEB" w:rsidP="00496BCD">
            <w:pPr>
              <w:tabs>
                <w:tab w:val="left" w:pos="5400"/>
              </w:tabs>
              <w:rPr>
                <w:sz w:val="20"/>
              </w:rPr>
            </w:pPr>
            <w:r w:rsidRPr="00B70FEB">
              <w:rPr>
                <w:sz w:val="20"/>
              </w:rPr>
              <w:t xml:space="preserve">Not </w:t>
            </w:r>
            <w:r>
              <w:rPr>
                <w:rFonts w:hint="eastAsia"/>
                <w:sz w:val="20"/>
                <w:lang w:eastAsia="zh-CN"/>
              </w:rPr>
              <w:t>a</w:t>
            </w:r>
            <w:r w:rsidRPr="00B70FEB">
              <w:rPr>
                <w:sz w:val="20"/>
              </w:rPr>
              <w:t>pplicable</w:t>
            </w:r>
          </w:p>
        </w:tc>
      </w:tr>
    </w:tbl>
    <w:p w14:paraId="18DF4CB5" w14:textId="77777777"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1307"/>
        <w:gridCol w:w="7796"/>
        <w:gridCol w:w="1265"/>
        <w:gridCol w:w="3129"/>
      </w:tblGrid>
      <w:tr w:rsidR="00191A23" w:rsidRPr="0022554A" w14:paraId="239F222B" w14:textId="77777777" w:rsidTr="00B844A1">
        <w:tc>
          <w:tcPr>
            <w:tcW w:w="0" w:type="auto"/>
          </w:tcPr>
          <w:p w14:paraId="498E681C" w14:textId="77777777"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1307" w:type="dxa"/>
          </w:tcPr>
          <w:p w14:paraId="773CE863" w14:textId="77777777" w:rsidR="00191A23" w:rsidRPr="0022554A" w:rsidRDefault="00191A23" w:rsidP="00191A23">
            <w:pPr>
              <w:tabs>
                <w:tab w:val="left" w:pos="5400"/>
              </w:tabs>
              <w:jc w:val="center"/>
              <w:rPr>
                <w:sz w:val="20"/>
              </w:rPr>
            </w:pPr>
            <w:r w:rsidRPr="0022554A">
              <w:rPr>
                <w:sz w:val="20"/>
              </w:rPr>
              <w:t>17</w:t>
            </w:r>
          </w:p>
        </w:tc>
        <w:tc>
          <w:tcPr>
            <w:tcW w:w="7796" w:type="dxa"/>
          </w:tcPr>
          <w:p w14:paraId="76AC2595"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14:paraId="452ABCA4" w14:textId="33D2FA25" w:rsidR="00191A23" w:rsidRPr="0022554A" w:rsidRDefault="00FE0822" w:rsidP="00007ADF">
            <w:pPr>
              <w:tabs>
                <w:tab w:val="left" w:pos="5400"/>
              </w:tabs>
              <w:jc w:val="center"/>
              <w:rPr>
                <w:sz w:val="20"/>
                <w:lang w:eastAsia="zh-CN"/>
              </w:rPr>
            </w:pPr>
            <w:r>
              <w:rPr>
                <w:sz w:val="20"/>
                <w:lang w:eastAsia="zh-CN"/>
              </w:rPr>
              <w:t>9</w:t>
            </w:r>
          </w:p>
        </w:tc>
        <w:tc>
          <w:tcPr>
            <w:tcW w:w="3129" w:type="dxa"/>
          </w:tcPr>
          <w:p w14:paraId="1393AEA1" w14:textId="5A2A130E" w:rsidR="00191A23" w:rsidRPr="0022554A" w:rsidRDefault="00AB4ECC" w:rsidP="00191A23">
            <w:pPr>
              <w:tabs>
                <w:tab w:val="left" w:pos="5400"/>
              </w:tabs>
              <w:rPr>
                <w:sz w:val="20"/>
              </w:rPr>
            </w:pPr>
            <w:r w:rsidRPr="00AB4ECC">
              <w:rPr>
                <w:sz w:val="20"/>
              </w:rPr>
              <w:t>Subgroup analysis was performed based on whether the patients were persistent or short AKI which was shown in Table 4.</w:t>
            </w:r>
          </w:p>
        </w:tc>
      </w:tr>
      <w:tr w:rsidR="00976EE1" w:rsidRPr="0022554A" w14:paraId="1D2F557E" w14:textId="77777777" w:rsidTr="00191A23">
        <w:tc>
          <w:tcPr>
            <w:tcW w:w="14992" w:type="dxa"/>
            <w:gridSpan w:val="5"/>
          </w:tcPr>
          <w:p w14:paraId="2AEE90A2" w14:textId="2FAB9D04"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14:paraId="10D6AB3A" w14:textId="77777777" w:rsidTr="00B844A1">
        <w:tc>
          <w:tcPr>
            <w:tcW w:w="0" w:type="auto"/>
          </w:tcPr>
          <w:p w14:paraId="3BEF96EB" w14:textId="77777777"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1307" w:type="dxa"/>
          </w:tcPr>
          <w:p w14:paraId="717D8E88" w14:textId="77777777" w:rsidR="00191A23" w:rsidRPr="0022554A" w:rsidRDefault="00191A23" w:rsidP="00191A23">
            <w:pPr>
              <w:tabs>
                <w:tab w:val="left" w:pos="5400"/>
              </w:tabs>
              <w:jc w:val="center"/>
              <w:rPr>
                <w:sz w:val="20"/>
              </w:rPr>
            </w:pPr>
            <w:r w:rsidRPr="0022554A">
              <w:rPr>
                <w:sz w:val="20"/>
              </w:rPr>
              <w:t>18</w:t>
            </w:r>
          </w:p>
        </w:tc>
        <w:tc>
          <w:tcPr>
            <w:tcW w:w="7796" w:type="dxa"/>
          </w:tcPr>
          <w:p w14:paraId="78D1FD73"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AF52355" w14:textId="553C1DA5" w:rsidR="00191A23" w:rsidRPr="0022554A" w:rsidRDefault="00FE0822" w:rsidP="00007ADF">
            <w:pPr>
              <w:tabs>
                <w:tab w:val="left" w:pos="5400"/>
              </w:tabs>
              <w:jc w:val="center"/>
              <w:rPr>
                <w:sz w:val="20"/>
                <w:lang w:eastAsia="zh-CN"/>
              </w:rPr>
            </w:pPr>
            <w:r>
              <w:rPr>
                <w:rFonts w:hint="eastAsia"/>
                <w:sz w:val="20"/>
                <w:lang w:eastAsia="zh-CN"/>
              </w:rPr>
              <w:t>1</w:t>
            </w:r>
            <w:r>
              <w:rPr>
                <w:sz w:val="20"/>
                <w:lang w:eastAsia="zh-CN"/>
              </w:rPr>
              <w:t>0</w:t>
            </w:r>
            <w:r w:rsidR="00AB4ECC">
              <w:rPr>
                <w:sz w:val="20"/>
                <w:lang w:eastAsia="zh-CN"/>
              </w:rPr>
              <w:t>-11</w:t>
            </w:r>
          </w:p>
        </w:tc>
        <w:tc>
          <w:tcPr>
            <w:tcW w:w="3129" w:type="dxa"/>
          </w:tcPr>
          <w:p w14:paraId="195945C7" w14:textId="5C162E3B" w:rsidR="00191A23" w:rsidRPr="0022554A" w:rsidRDefault="00AB4ECC" w:rsidP="00191A23">
            <w:pPr>
              <w:tabs>
                <w:tab w:val="left" w:pos="5400"/>
              </w:tabs>
              <w:rPr>
                <w:sz w:val="20"/>
                <w:lang w:eastAsia="zh-CN"/>
              </w:rPr>
            </w:pPr>
            <w:r w:rsidRPr="00AB4ECC">
              <w:rPr>
                <w:sz w:val="20"/>
              </w:rPr>
              <w:t>We considered that this is because the advances in surgical techniques and perioperative management that the CTS time (range, 99 to 282 minutes) and CPB time (range, 40 to 127 minutes) were controlled within a relatively safe range and had led to dramatic improvements in survival outcomes for children with TOF. We also analyzed the hemodynamic indicators and oxygen metabolism indicators at the time of PICU admission, postoperative 24h and 48h.</w:t>
            </w:r>
          </w:p>
        </w:tc>
      </w:tr>
      <w:tr w:rsidR="00191A23" w:rsidRPr="0022554A" w14:paraId="3CC1BBBA" w14:textId="77777777" w:rsidTr="00B844A1">
        <w:tc>
          <w:tcPr>
            <w:tcW w:w="0" w:type="auto"/>
          </w:tcPr>
          <w:p w14:paraId="167391EF" w14:textId="77777777"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1307" w:type="dxa"/>
          </w:tcPr>
          <w:p w14:paraId="6AB24AB3" w14:textId="77777777" w:rsidR="00191A23" w:rsidRPr="0022554A" w:rsidRDefault="00191A23" w:rsidP="00191A23">
            <w:pPr>
              <w:tabs>
                <w:tab w:val="left" w:pos="5400"/>
              </w:tabs>
              <w:jc w:val="center"/>
              <w:rPr>
                <w:sz w:val="20"/>
              </w:rPr>
            </w:pPr>
            <w:r w:rsidRPr="0022554A">
              <w:rPr>
                <w:sz w:val="20"/>
              </w:rPr>
              <w:t>19</w:t>
            </w:r>
          </w:p>
        </w:tc>
        <w:tc>
          <w:tcPr>
            <w:tcW w:w="7796" w:type="dxa"/>
          </w:tcPr>
          <w:p w14:paraId="54E89CCD"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7AD45443" w14:textId="5B276C64" w:rsidR="00191A23" w:rsidRPr="0022554A" w:rsidRDefault="00AB4ECC" w:rsidP="00007ADF">
            <w:pPr>
              <w:tabs>
                <w:tab w:val="left" w:pos="5400"/>
              </w:tabs>
              <w:jc w:val="center"/>
              <w:rPr>
                <w:sz w:val="20"/>
                <w:lang w:eastAsia="zh-CN"/>
              </w:rPr>
            </w:pPr>
            <w:r>
              <w:rPr>
                <w:sz w:val="20"/>
                <w:lang w:eastAsia="zh-CN"/>
              </w:rPr>
              <w:t>13</w:t>
            </w:r>
          </w:p>
        </w:tc>
        <w:tc>
          <w:tcPr>
            <w:tcW w:w="3129" w:type="dxa"/>
          </w:tcPr>
          <w:p w14:paraId="3EB18ED8" w14:textId="57E23E7C" w:rsidR="00191A23" w:rsidRPr="005A6596" w:rsidRDefault="00AB4ECC" w:rsidP="00191A23">
            <w:pPr>
              <w:tabs>
                <w:tab w:val="left" w:pos="5400"/>
              </w:tabs>
              <w:rPr>
                <w:sz w:val="20"/>
              </w:rPr>
            </w:pPr>
            <w:r w:rsidRPr="00AB4ECC">
              <w:rPr>
                <w:sz w:val="20"/>
              </w:rPr>
              <w:t xml:space="preserve">The limitation of this study includes the following aspects. First, the relatively small sample may have lacked the power to detect significant interactions. Second, Hemodynamic indexes which the study collected cannot directly represent renal perfusion. Third, the evaluation criteria of microcirculation and oxygen metabolism are still controversial at present, and the indexes we adopted </w:t>
            </w:r>
            <w:r w:rsidRPr="00AB4ECC">
              <w:rPr>
                <w:sz w:val="20"/>
              </w:rPr>
              <w:lastRenderedPageBreak/>
              <w:t>in this paper need to be further verified.</w:t>
            </w:r>
          </w:p>
        </w:tc>
      </w:tr>
      <w:tr w:rsidR="00191A23" w:rsidRPr="0022554A" w14:paraId="7C9D87DB" w14:textId="77777777" w:rsidTr="00B844A1">
        <w:tc>
          <w:tcPr>
            <w:tcW w:w="0" w:type="auto"/>
          </w:tcPr>
          <w:p w14:paraId="6F4B9E71" w14:textId="77777777"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1307" w:type="dxa"/>
          </w:tcPr>
          <w:p w14:paraId="430A4704" w14:textId="77777777" w:rsidR="00191A23" w:rsidRPr="0022554A" w:rsidRDefault="00191A23" w:rsidP="00191A23">
            <w:pPr>
              <w:tabs>
                <w:tab w:val="left" w:pos="5400"/>
              </w:tabs>
              <w:jc w:val="center"/>
              <w:rPr>
                <w:sz w:val="20"/>
              </w:rPr>
            </w:pPr>
            <w:r w:rsidRPr="0022554A">
              <w:rPr>
                <w:sz w:val="20"/>
              </w:rPr>
              <w:t>20</w:t>
            </w:r>
          </w:p>
        </w:tc>
        <w:tc>
          <w:tcPr>
            <w:tcW w:w="7796" w:type="dxa"/>
          </w:tcPr>
          <w:p w14:paraId="7C5348EE"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2221C28E" w14:textId="22ECAB32" w:rsidR="00191A23" w:rsidRPr="0022554A" w:rsidRDefault="00FE0822" w:rsidP="00007ADF">
            <w:pPr>
              <w:tabs>
                <w:tab w:val="left" w:pos="5400"/>
              </w:tabs>
              <w:jc w:val="center"/>
              <w:rPr>
                <w:sz w:val="20"/>
                <w:lang w:eastAsia="zh-CN"/>
              </w:rPr>
            </w:pPr>
            <w:r>
              <w:rPr>
                <w:sz w:val="20"/>
                <w:lang w:eastAsia="zh-CN"/>
              </w:rPr>
              <w:t>1</w:t>
            </w:r>
            <w:r w:rsidR="00A12FBC">
              <w:rPr>
                <w:sz w:val="20"/>
                <w:lang w:eastAsia="zh-CN"/>
              </w:rPr>
              <w:t>3</w:t>
            </w:r>
          </w:p>
        </w:tc>
        <w:tc>
          <w:tcPr>
            <w:tcW w:w="3129" w:type="dxa"/>
          </w:tcPr>
          <w:p w14:paraId="0431913D" w14:textId="27678A9A" w:rsidR="00191A23" w:rsidRPr="0022554A" w:rsidRDefault="00A12FBC" w:rsidP="00191A23">
            <w:pPr>
              <w:tabs>
                <w:tab w:val="left" w:pos="5400"/>
              </w:tabs>
              <w:rPr>
                <w:sz w:val="20"/>
              </w:rPr>
            </w:pPr>
            <w:r w:rsidRPr="00A12FBC">
              <w:rPr>
                <w:sz w:val="20"/>
              </w:rPr>
              <w:t>In conclusion, low preoperative PaO2 did not significantly increase the incidence of AKI, but patients with low PaO2 were more likely to have severe AKI and persistent AKI.  Pv-aCO2/Ca-vO2 and Pv-aCO2 are independent risk factors for postoperative AKI and Pv-aCO2/Ca-vO2 is an independent risk factor for persistent AKI. Monitoring Pv-aCO2/Ca-vO2 may offer some help for guiding AKI treatment.</w:t>
            </w:r>
          </w:p>
        </w:tc>
      </w:tr>
      <w:tr w:rsidR="00191A23" w:rsidRPr="0022554A" w14:paraId="52C58A53" w14:textId="77777777" w:rsidTr="00B844A1">
        <w:tc>
          <w:tcPr>
            <w:tcW w:w="0" w:type="auto"/>
          </w:tcPr>
          <w:p w14:paraId="4271CD53" w14:textId="77777777" w:rsidR="00191A23" w:rsidRPr="003D4B2A" w:rsidRDefault="00191A23" w:rsidP="00191A23">
            <w:pPr>
              <w:tabs>
                <w:tab w:val="left" w:pos="5400"/>
              </w:tabs>
              <w:rPr>
                <w:bCs/>
                <w:sz w:val="20"/>
              </w:rPr>
            </w:pPr>
            <w:bookmarkStart w:id="91" w:name="italic48" w:colFirst="0" w:colLast="0"/>
            <w:bookmarkStart w:id="92" w:name="bold49" w:colFirst="0" w:colLast="0"/>
            <w:bookmarkEnd w:id="89"/>
            <w:bookmarkEnd w:id="90"/>
            <w:r w:rsidRPr="003D4B2A">
              <w:rPr>
                <w:bCs/>
                <w:sz w:val="20"/>
              </w:rPr>
              <w:t>Generalisability</w:t>
            </w:r>
          </w:p>
        </w:tc>
        <w:tc>
          <w:tcPr>
            <w:tcW w:w="1307" w:type="dxa"/>
          </w:tcPr>
          <w:p w14:paraId="22DED13B" w14:textId="77777777" w:rsidR="00191A23" w:rsidRPr="003D4B2A" w:rsidRDefault="00191A23" w:rsidP="00191A23">
            <w:pPr>
              <w:tabs>
                <w:tab w:val="left" w:pos="5400"/>
              </w:tabs>
              <w:jc w:val="center"/>
              <w:rPr>
                <w:sz w:val="20"/>
              </w:rPr>
            </w:pPr>
            <w:r w:rsidRPr="003D4B2A">
              <w:rPr>
                <w:sz w:val="20"/>
              </w:rPr>
              <w:t>21</w:t>
            </w:r>
          </w:p>
        </w:tc>
        <w:tc>
          <w:tcPr>
            <w:tcW w:w="7796" w:type="dxa"/>
          </w:tcPr>
          <w:p w14:paraId="590D835F"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7675C387" w14:textId="5B040DE3" w:rsidR="00191A23" w:rsidRPr="0022554A" w:rsidRDefault="00FE0822" w:rsidP="00007ADF">
            <w:pPr>
              <w:tabs>
                <w:tab w:val="left" w:pos="5400"/>
              </w:tabs>
              <w:jc w:val="center"/>
              <w:rPr>
                <w:sz w:val="20"/>
                <w:lang w:eastAsia="zh-CN"/>
              </w:rPr>
            </w:pPr>
            <w:r>
              <w:rPr>
                <w:sz w:val="20"/>
                <w:lang w:eastAsia="zh-CN"/>
              </w:rPr>
              <w:t>1</w:t>
            </w:r>
            <w:r w:rsidR="00A12FBC">
              <w:rPr>
                <w:sz w:val="20"/>
                <w:lang w:eastAsia="zh-CN"/>
              </w:rPr>
              <w:t>2</w:t>
            </w:r>
          </w:p>
        </w:tc>
        <w:tc>
          <w:tcPr>
            <w:tcW w:w="3129" w:type="dxa"/>
          </w:tcPr>
          <w:p w14:paraId="1EDB0117" w14:textId="3077836D" w:rsidR="00191A23" w:rsidRPr="0022554A" w:rsidRDefault="00A12FBC" w:rsidP="00191A23">
            <w:pPr>
              <w:tabs>
                <w:tab w:val="left" w:pos="5400"/>
              </w:tabs>
              <w:rPr>
                <w:sz w:val="20"/>
              </w:rPr>
            </w:pPr>
            <w:r w:rsidRPr="00A12FBC">
              <w:rPr>
                <w:sz w:val="20"/>
              </w:rPr>
              <w:t>the short follow-up time and the small number of patients involved, it was necessary to extend the follow-up time and increase the number of patients included. Overall, patients in group 1 had less kidney damage among the groups, and patients in group 3 and 4 were more likely to have severe AKI and persistent AKI.</w:t>
            </w:r>
          </w:p>
        </w:tc>
      </w:tr>
      <w:tr w:rsidR="00191A23" w:rsidRPr="0022554A" w14:paraId="5D9D861C" w14:textId="77777777" w:rsidTr="00B844A1">
        <w:tc>
          <w:tcPr>
            <w:tcW w:w="2802" w:type="dxa"/>
            <w:gridSpan w:val="2"/>
          </w:tcPr>
          <w:p w14:paraId="7F586A1D" w14:textId="77777777"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2190" w:type="dxa"/>
            <w:gridSpan w:val="3"/>
          </w:tcPr>
          <w:p w14:paraId="7DEBE42D" w14:textId="77777777" w:rsidR="00191A23" w:rsidRPr="0022554A" w:rsidRDefault="00191A23" w:rsidP="00191A23">
            <w:pPr>
              <w:pStyle w:val="TableSubHead"/>
              <w:tabs>
                <w:tab w:val="left" w:pos="5400"/>
              </w:tabs>
              <w:rPr>
                <w:sz w:val="20"/>
              </w:rPr>
            </w:pPr>
          </w:p>
        </w:tc>
      </w:tr>
      <w:tr w:rsidR="00191A23" w:rsidRPr="0022554A" w14:paraId="4F815119" w14:textId="77777777" w:rsidTr="00B844A1">
        <w:tc>
          <w:tcPr>
            <w:tcW w:w="0" w:type="auto"/>
          </w:tcPr>
          <w:p w14:paraId="7F2ED26F"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1307" w:type="dxa"/>
          </w:tcPr>
          <w:p w14:paraId="424BEC9A" w14:textId="77777777" w:rsidR="00191A23" w:rsidRPr="0022554A" w:rsidRDefault="00191A23" w:rsidP="00191A23">
            <w:pPr>
              <w:tabs>
                <w:tab w:val="left" w:pos="5400"/>
              </w:tabs>
              <w:jc w:val="center"/>
              <w:rPr>
                <w:sz w:val="20"/>
              </w:rPr>
            </w:pPr>
            <w:r w:rsidRPr="0022554A">
              <w:rPr>
                <w:sz w:val="20"/>
              </w:rPr>
              <w:t>22</w:t>
            </w:r>
          </w:p>
        </w:tc>
        <w:tc>
          <w:tcPr>
            <w:tcW w:w="7796" w:type="dxa"/>
          </w:tcPr>
          <w:p w14:paraId="75C0A895"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B1057C2" w14:textId="77777777" w:rsidR="00191A23" w:rsidRPr="0022554A" w:rsidRDefault="00191A23" w:rsidP="00007ADF">
            <w:pPr>
              <w:tabs>
                <w:tab w:val="left" w:pos="5400"/>
              </w:tabs>
              <w:jc w:val="center"/>
              <w:rPr>
                <w:sz w:val="20"/>
              </w:rPr>
            </w:pPr>
          </w:p>
        </w:tc>
        <w:tc>
          <w:tcPr>
            <w:tcW w:w="3129" w:type="dxa"/>
          </w:tcPr>
          <w:p w14:paraId="3D03A297" w14:textId="6EF464D4" w:rsidR="00191A23" w:rsidRPr="0022554A" w:rsidRDefault="00A65E78" w:rsidP="00191A23">
            <w:pPr>
              <w:tabs>
                <w:tab w:val="left" w:pos="5400"/>
              </w:tabs>
              <w:rPr>
                <w:sz w:val="20"/>
                <w:lang w:eastAsia="zh-CN"/>
              </w:rPr>
            </w:pPr>
            <w:r w:rsidRPr="00A65E78">
              <w:rPr>
                <w:sz w:val="20"/>
                <w:lang w:eastAsia="zh-CN"/>
              </w:rPr>
              <w:t xml:space="preserve">Not </w:t>
            </w:r>
            <w:r>
              <w:rPr>
                <w:rFonts w:hint="eastAsia"/>
                <w:sz w:val="20"/>
                <w:lang w:eastAsia="zh-CN"/>
              </w:rPr>
              <w:t>a</w:t>
            </w:r>
            <w:r w:rsidRPr="00A65E78">
              <w:rPr>
                <w:sz w:val="20"/>
                <w:lang w:eastAsia="zh-CN"/>
              </w:rPr>
              <w:t>pplicable</w:t>
            </w:r>
          </w:p>
        </w:tc>
      </w:tr>
      <w:bookmarkEnd w:id="95"/>
      <w:bookmarkEnd w:id="96"/>
    </w:tbl>
    <w:p w14:paraId="2F11088B" w14:textId="77777777" w:rsidR="002602FB" w:rsidRDefault="002602FB" w:rsidP="0022554A">
      <w:pPr>
        <w:pStyle w:val="TableNote"/>
        <w:tabs>
          <w:tab w:val="left" w:pos="5400"/>
        </w:tabs>
        <w:rPr>
          <w:bCs/>
          <w:sz w:val="20"/>
        </w:rPr>
      </w:pPr>
    </w:p>
    <w:p w14:paraId="3B819BE1"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645E957" w14:textId="77777777" w:rsidR="00AE2C57" w:rsidRDefault="00AE2C57" w:rsidP="0022554A">
      <w:pPr>
        <w:pStyle w:val="TableNote"/>
        <w:tabs>
          <w:tab w:val="left" w:pos="5400"/>
        </w:tabs>
        <w:rPr>
          <w:sz w:val="20"/>
        </w:rPr>
      </w:pPr>
    </w:p>
    <w:p w14:paraId="7315B04E" w14:textId="77777777" w:rsidR="00A42352" w:rsidRPr="002602FB" w:rsidRDefault="002602FB" w:rsidP="002602FB">
      <w:pPr>
        <w:pStyle w:val="TableNote"/>
        <w:tabs>
          <w:tab w:val="left" w:pos="5400"/>
        </w:tabs>
        <w:rPr>
          <w:sz w:val="20"/>
        </w:rPr>
      </w:pPr>
      <w:r w:rsidRPr="00AB7BC4">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4D7090" w14:textId="77777777" w:rsidR="00101FCC" w:rsidRDefault="00101FCC">
      <w:r>
        <w:separator/>
      </w:r>
    </w:p>
  </w:endnote>
  <w:endnote w:type="continuationSeparator" w:id="0">
    <w:p w14:paraId="3684ABE3" w14:textId="77777777" w:rsidR="00101FCC" w:rsidRDefault="00101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A4B8D"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4A13B6A"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C6577"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393D8190"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67E839" w14:textId="77777777" w:rsidR="00101FCC" w:rsidRDefault="00101FCC">
      <w:r>
        <w:separator/>
      </w:r>
    </w:p>
  </w:footnote>
  <w:footnote w:type="continuationSeparator" w:id="0">
    <w:p w14:paraId="5D4C232C" w14:textId="77777777" w:rsidR="00101FCC" w:rsidRDefault="00101F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67B8D534-0A1D-43E1-9B0F-18EE283E93B9}"/>
    <w:docVar w:name="KY_MEDREF_VERSION" w:val="3"/>
  </w:docVars>
  <w:rsids>
    <w:rsidRoot w:val="002D1ABE"/>
    <w:rsid w:val="00002974"/>
    <w:rsid w:val="00005F0F"/>
    <w:rsid w:val="00007ADF"/>
    <w:rsid w:val="00023515"/>
    <w:rsid w:val="00093E3A"/>
    <w:rsid w:val="000A5437"/>
    <w:rsid w:val="000B6FD4"/>
    <w:rsid w:val="000E3193"/>
    <w:rsid w:val="000E691B"/>
    <w:rsid w:val="000F26ED"/>
    <w:rsid w:val="00101FCC"/>
    <w:rsid w:val="00107824"/>
    <w:rsid w:val="00110BFB"/>
    <w:rsid w:val="00134AAC"/>
    <w:rsid w:val="00191A23"/>
    <w:rsid w:val="00194CA3"/>
    <w:rsid w:val="001A495C"/>
    <w:rsid w:val="001A75E9"/>
    <w:rsid w:val="001E02AD"/>
    <w:rsid w:val="002015CB"/>
    <w:rsid w:val="0021265E"/>
    <w:rsid w:val="00215E03"/>
    <w:rsid w:val="00224268"/>
    <w:rsid w:val="0022554A"/>
    <w:rsid w:val="00226A29"/>
    <w:rsid w:val="00247BF3"/>
    <w:rsid w:val="002552FD"/>
    <w:rsid w:val="002602FB"/>
    <w:rsid w:val="002B385C"/>
    <w:rsid w:val="002B52BA"/>
    <w:rsid w:val="002C731D"/>
    <w:rsid w:val="002D06D0"/>
    <w:rsid w:val="002D1ABE"/>
    <w:rsid w:val="002F1A87"/>
    <w:rsid w:val="0032623E"/>
    <w:rsid w:val="003354B7"/>
    <w:rsid w:val="003508EF"/>
    <w:rsid w:val="00372129"/>
    <w:rsid w:val="00385050"/>
    <w:rsid w:val="003A3FDD"/>
    <w:rsid w:val="003D4B2A"/>
    <w:rsid w:val="00404D2C"/>
    <w:rsid w:val="00404E44"/>
    <w:rsid w:val="004060E6"/>
    <w:rsid w:val="00407BEA"/>
    <w:rsid w:val="004243C8"/>
    <w:rsid w:val="00444DD1"/>
    <w:rsid w:val="0045419E"/>
    <w:rsid w:val="0045734B"/>
    <w:rsid w:val="00465542"/>
    <w:rsid w:val="00472DF5"/>
    <w:rsid w:val="00495204"/>
    <w:rsid w:val="00496BCD"/>
    <w:rsid w:val="004A31B3"/>
    <w:rsid w:val="004A32C8"/>
    <w:rsid w:val="004A7452"/>
    <w:rsid w:val="004E1263"/>
    <w:rsid w:val="005044A6"/>
    <w:rsid w:val="00517788"/>
    <w:rsid w:val="005506C5"/>
    <w:rsid w:val="00590F64"/>
    <w:rsid w:val="005923E5"/>
    <w:rsid w:val="005A6596"/>
    <w:rsid w:val="005B567D"/>
    <w:rsid w:val="005D0CFC"/>
    <w:rsid w:val="005D19F4"/>
    <w:rsid w:val="005F254A"/>
    <w:rsid w:val="00607EAB"/>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C7705"/>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D002F"/>
    <w:rsid w:val="009D3296"/>
    <w:rsid w:val="009E0429"/>
    <w:rsid w:val="009F5211"/>
    <w:rsid w:val="00A12FBC"/>
    <w:rsid w:val="00A13C96"/>
    <w:rsid w:val="00A42352"/>
    <w:rsid w:val="00A527E4"/>
    <w:rsid w:val="00A5640D"/>
    <w:rsid w:val="00A65E78"/>
    <w:rsid w:val="00A729D6"/>
    <w:rsid w:val="00A938BF"/>
    <w:rsid w:val="00AB4ECC"/>
    <w:rsid w:val="00AB7BC4"/>
    <w:rsid w:val="00AD75CC"/>
    <w:rsid w:val="00AE23EB"/>
    <w:rsid w:val="00AE2C57"/>
    <w:rsid w:val="00AF4615"/>
    <w:rsid w:val="00B50DF8"/>
    <w:rsid w:val="00B54EA0"/>
    <w:rsid w:val="00B60EFB"/>
    <w:rsid w:val="00B65366"/>
    <w:rsid w:val="00B70FEB"/>
    <w:rsid w:val="00B77807"/>
    <w:rsid w:val="00B844A1"/>
    <w:rsid w:val="00B940E9"/>
    <w:rsid w:val="00BA1206"/>
    <w:rsid w:val="00BC7FE6"/>
    <w:rsid w:val="00BE3709"/>
    <w:rsid w:val="00C64712"/>
    <w:rsid w:val="00CA489B"/>
    <w:rsid w:val="00CB6CC8"/>
    <w:rsid w:val="00CC4C93"/>
    <w:rsid w:val="00D120D2"/>
    <w:rsid w:val="00D20D7C"/>
    <w:rsid w:val="00D26FCA"/>
    <w:rsid w:val="00D547AB"/>
    <w:rsid w:val="00D6407C"/>
    <w:rsid w:val="00D87AF7"/>
    <w:rsid w:val="00DA120C"/>
    <w:rsid w:val="00DC4BEF"/>
    <w:rsid w:val="00E10628"/>
    <w:rsid w:val="00E144CD"/>
    <w:rsid w:val="00E2292B"/>
    <w:rsid w:val="00E341E9"/>
    <w:rsid w:val="00E65DE4"/>
    <w:rsid w:val="00E6787D"/>
    <w:rsid w:val="00EA6E28"/>
    <w:rsid w:val="00EC7F58"/>
    <w:rsid w:val="00F0752A"/>
    <w:rsid w:val="00F378D0"/>
    <w:rsid w:val="00F76A7F"/>
    <w:rsid w:val="00F838E1"/>
    <w:rsid w:val="00F842DC"/>
    <w:rsid w:val="00F876FF"/>
    <w:rsid w:val="00F93A89"/>
    <w:rsid w:val="00F954C6"/>
    <w:rsid w:val="00F970FA"/>
    <w:rsid w:val="00FA2721"/>
    <w:rsid w:val="00FA3D11"/>
    <w:rsid w:val="00FA5020"/>
    <w:rsid w:val="00FE0822"/>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5B2F0955"/>
  <w15:docId w15:val="{BA1124FB-B868-43F5-8D47-25E547404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39</TotalTime>
  <Pages>12</Pages>
  <Words>2153</Words>
  <Characters>12274</Characters>
  <Application>Microsoft Office Word</Application>
  <DocSecurity>0</DocSecurity>
  <Lines>102</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XU YAYA</cp:lastModifiedBy>
  <cp:revision>11</cp:revision>
  <cp:lastPrinted>2014-09-01T08:36:00Z</cp:lastPrinted>
  <dcterms:created xsi:type="dcterms:W3CDTF">2020-09-01T02:44:00Z</dcterms:created>
  <dcterms:modified xsi:type="dcterms:W3CDTF">2020-12-11T06:31:00Z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