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E2ABB" w14:textId="77777777" w:rsidR="00861DCE" w:rsidRPr="00861DCE" w:rsidRDefault="00861DCE" w:rsidP="00861DCE">
      <w:pPr>
        <w:adjustRightInd/>
        <w:snapToGrid/>
        <w:spacing w:line="480" w:lineRule="auto"/>
        <w:ind w:firstLineChars="0" w:firstLine="0"/>
        <w:jc w:val="left"/>
        <w:outlineLvl w:val="0"/>
        <w:rPr>
          <w:rFonts w:cs="Times New Roman"/>
          <w:b/>
          <w:bCs/>
          <w:kern w:val="44"/>
          <w:sz w:val="28"/>
          <w:szCs w:val="48"/>
          <w:lang w:val="en-GB"/>
        </w:rPr>
      </w:pPr>
      <w:r w:rsidRPr="00861DCE">
        <w:rPr>
          <w:rFonts w:cs="Times New Roman"/>
          <w:b/>
          <w:bCs/>
          <w:kern w:val="44"/>
          <w:sz w:val="28"/>
          <w:szCs w:val="48"/>
          <w:lang w:val="en-GB"/>
        </w:rPr>
        <w:t>Supplementary Materials</w:t>
      </w:r>
    </w:p>
    <w:p w14:paraId="7E6A3BEB" w14:textId="77777777" w:rsidR="00861DCE" w:rsidRPr="00861DCE" w:rsidRDefault="00861DCE" w:rsidP="00861DCE">
      <w:pPr>
        <w:adjustRightInd/>
        <w:snapToGrid/>
        <w:spacing w:line="480" w:lineRule="auto"/>
        <w:ind w:firstLineChars="0" w:firstLine="0"/>
        <w:rPr>
          <w:rFonts w:cs="Times New Roman"/>
          <w:noProof/>
          <w:color w:val="000000"/>
          <w:sz w:val="24"/>
          <w:szCs w:val="24"/>
          <w:lang w:val="en-GB"/>
        </w:rPr>
      </w:pPr>
    </w:p>
    <w:p w14:paraId="4C89AD77" w14:textId="77777777" w:rsidR="00861DCE" w:rsidRPr="00861DCE" w:rsidRDefault="00861DCE" w:rsidP="00861DCE">
      <w:pPr>
        <w:adjustRightInd/>
        <w:snapToGrid/>
        <w:spacing w:line="480" w:lineRule="auto"/>
        <w:ind w:firstLine="480"/>
        <w:rPr>
          <w:rFonts w:cs="Times New Roman"/>
          <w:color w:val="000000"/>
          <w:sz w:val="24"/>
          <w:szCs w:val="24"/>
          <w:lang w:val="en-GB"/>
        </w:rPr>
      </w:pPr>
      <w:r w:rsidRPr="00861DCE">
        <w:rPr>
          <w:rFonts w:cs="Times New Roman"/>
          <w:noProof/>
          <w:color w:val="000000"/>
          <w:sz w:val="24"/>
          <w:szCs w:val="24"/>
          <w:lang w:val="en-GB"/>
        </w:rPr>
        <w:drawing>
          <wp:inline distT="0" distB="0" distL="0" distR="0" wp14:anchorId="24B9BA56" wp14:editId="042E31F0">
            <wp:extent cx="5274310" cy="508190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8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09B40" w14:textId="77777777" w:rsidR="00861DCE" w:rsidRPr="00861DCE" w:rsidRDefault="00861DCE" w:rsidP="00861DCE">
      <w:pPr>
        <w:adjustRightInd/>
        <w:snapToGrid/>
        <w:spacing w:line="480" w:lineRule="auto"/>
        <w:ind w:firstLineChars="0" w:firstLine="0"/>
        <w:rPr>
          <w:rFonts w:cs="Times New Roman"/>
          <w:color w:val="000000"/>
          <w:sz w:val="24"/>
          <w:szCs w:val="24"/>
          <w:lang w:val="en-GB"/>
        </w:rPr>
      </w:pPr>
      <w:r w:rsidRPr="00861DCE">
        <w:rPr>
          <w:rFonts w:cs="Times New Roman"/>
          <w:b/>
          <w:sz w:val="24"/>
          <w:szCs w:val="24"/>
        </w:rPr>
        <w:t xml:space="preserve">Supplementary Figure 1. ATO induced pyroptosis in AML cells via the activation of caspase-3/GSDME pathway. </w:t>
      </w:r>
      <w:r w:rsidRPr="00861DCE">
        <w:rPr>
          <w:rFonts w:cs="Times New Roman"/>
          <w:szCs w:val="24"/>
        </w:rPr>
        <w:t xml:space="preserve">AML cell lines (MV411, molm13) were treated with ATO at gradient doses (0, 1.5, 3, 6 </w:t>
      </w:r>
      <w:proofErr w:type="spellStart"/>
      <w:r w:rsidRPr="00861DCE">
        <w:rPr>
          <w:rFonts w:cs="Times New Roman"/>
          <w:szCs w:val="24"/>
        </w:rPr>
        <w:t>μmol</w:t>
      </w:r>
      <w:proofErr w:type="spellEnd"/>
      <w:r w:rsidRPr="00861DCE">
        <w:rPr>
          <w:rFonts w:cs="Times New Roman"/>
          <w:szCs w:val="24"/>
        </w:rPr>
        <w:t>/L) for 24h. (a) Flow cytometry analysis of the percentage of Annexin-V+ PI+ AML cells after ATO treatment. (b-c) The gene expression levels of IL-1βand IL-18 were detected by RT-qPCR in AML cells of the ATO group and the control group. (d) The release levels of IL-18 were detected by ELISA in the supernatants of AML cells. *P &lt; 0.05, **P &lt; 0.01, vs control using one-way ANOVA.</w:t>
      </w:r>
    </w:p>
    <w:p w14:paraId="5F560C6A" w14:textId="03273A38" w:rsidR="00861DCE" w:rsidRPr="00861DCE" w:rsidRDefault="00861DCE" w:rsidP="00861DCE">
      <w:pPr>
        <w:widowControl/>
        <w:adjustRightInd/>
        <w:snapToGrid/>
        <w:spacing w:line="240" w:lineRule="auto"/>
        <w:ind w:firstLineChars="0" w:firstLine="0"/>
        <w:jc w:val="left"/>
        <w:rPr>
          <w:rFonts w:cs="Times New Roman" w:hint="eastAsia"/>
          <w:noProof/>
          <w:sz w:val="24"/>
          <w:szCs w:val="24"/>
        </w:rPr>
      </w:pPr>
      <w:r>
        <w:rPr>
          <w:rFonts w:cs="Times New Roman"/>
          <w:noProof/>
          <w:sz w:val="24"/>
          <w:szCs w:val="24"/>
        </w:rPr>
        <w:br w:type="page"/>
      </w:r>
    </w:p>
    <w:p w14:paraId="2BDC9105" w14:textId="77777777" w:rsidR="00861DCE" w:rsidRPr="00861DCE" w:rsidRDefault="00861DCE" w:rsidP="00861DCE">
      <w:pPr>
        <w:adjustRightInd/>
        <w:snapToGrid/>
        <w:spacing w:line="480" w:lineRule="auto"/>
        <w:ind w:firstLine="480"/>
        <w:jc w:val="center"/>
        <w:rPr>
          <w:rFonts w:cs="Times New Roman"/>
          <w:color w:val="000000"/>
          <w:kern w:val="0"/>
          <w:sz w:val="24"/>
          <w:szCs w:val="24"/>
        </w:rPr>
      </w:pPr>
      <w:r w:rsidRPr="00861DCE">
        <w:rPr>
          <w:rFonts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7B3E7C9B" wp14:editId="6A418B00">
            <wp:extent cx="2812154" cy="2563661"/>
            <wp:effectExtent l="0" t="0" r="762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17419" cy="256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427DC" w14:textId="77777777" w:rsidR="00861DCE" w:rsidRPr="00861DCE" w:rsidRDefault="00861DCE" w:rsidP="00861DCE">
      <w:pPr>
        <w:adjustRightInd/>
        <w:snapToGrid/>
        <w:spacing w:line="480" w:lineRule="auto"/>
        <w:ind w:firstLineChars="0" w:firstLine="0"/>
        <w:rPr>
          <w:rFonts w:cs="Times New Roman"/>
          <w:sz w:val="24"/>
          <w:szCs w:val="24"/>
        </w:rPr>
      </w:pPr>
      <w:r w:rsidRPr="00861DCE">
        <w:rPr>
          <w:rFonts w:cs="Times New Roman"/>
          <w:b/>
          <w:sz w:val="24"/>
          <w:szCs w:val="24"/>
        </w:rPr>
        <w:t>Supplementary Figure 2. The relative gene expression levels of GSDMD and GSDME.</w:t>
      </w:r>
      <w:r w:rsidRPr="00861DCE">
        <w:rPr>
          <w:rFonts w:cs="Times New Roman"/>
          <w:color w:val="000000"/>
          <w:kern w:val="0"/>
          <w:sz w:val="24"/>
          <w:szCs w:val="24"/>
        </w:rPr>
        <w:t xml:space="preserve"> </w:t>
      </w:r>
      <w:r w:rsidRPr="00861DCE">
        <w:rPr>
          <w:rFonts w:cs="Times New Roman"/>
          <w:szCs w:val="24"/>
        </w:rPr>
        <w:t xml:space="preserve">AML cell lines (MV411, molm13) were treated with ATO at gradient doses (0, 3, 6 </w:t>
      </w:r>
      <w:proofErr w:type="spellStart"/>
      <w:r w:rsidRPr="00861DCE">
        <w:rPr>
          <w:rFonts w:cs="Times New Roman"/>
          <w:szCs w:val="24"/>
        </w:rPr>
        <w:t>μmol</w:t>
      </w:r>
      <w:proofErr w:type="spellEnd"/>
      <w:r w:rsidRPr="00861DCE">
        <w:rPr>
          <w:rFonts w:cs="Times New Roman"/>
          <w:szCs w:val="24"/>
        </w:rPr>
        <w:t>/L) for 24h. (a-b) The relative gene expression levels of GSDMD and GSDME of AML cells were detected by RT-qPCR assay.</w:t>
      </w:r>
    </w:p>
    <w:p w14:paraId="483A5656" w14:textId="010EEFFF" w:rsidR="00861DCE" w:rsidRPr="00861DCE" w:rsidRDefault="00861DCE" w:rsidP="00861DCE">
      <w:pPr>
        <w:widowControl/>
        <w:adjustRightInd/>
        <w:snapToGrid/>
        <w:spacing w:line="240" w:lineRule="auto"/>
        <w:ind w:firstLineChars="0" w:firstLine="0"/>
        <w:jc w:val="left"/>
        <w:rPr>
          <w:rFonts w:cs="Times New Roman" w:hint="eastAsia"/>
          <w:color w:val="000000"/>
          <w:kern w:val="0"/>
          <w:sz w:val="24"/>
          <w:szCs w:val="24"/>
        </w:rPr>
      </w:pPr>
      <w:r>
        <w:rPr>
          <w:rFonts w:cs="Times New Roman"/>
          <w:color w:val="000000"/>
          <w:kern w:val="0"/>
          <w:sz w:val="24"/>
          <w:szCs w:val="24"/>
        </w:rPr>
        <w:br w:type="page"/>
      </w:r>
    </w:p>
    <w:p w14:paraId="2ED60DB8" w14:textId="77777777" w:rsidR="00861DCE" w:rsidRPr="00861DCE" w:rsidRDefault="00861DCE" w:rsidP="00861DCE">
      <w:pPr>
        <w:adjustRightInd/>
        <w:snapToGrid/>
        <w:spacing w:line="480" w:lineRule="auto"/>
        <w:ind w:firstLine="480"/>
        <w:rPr>
          <w:rFonts w:cs="Times New Roman"/>
          <w:color w:val="000000"/>
          <w:kern w:val="0"/>
          <w:sz w:val="24"/>
          <w:szCs w:val="24"/>
        </w:rPr>
      </w:pPr>
      <w:r w:rsidRPr="00861DCE">
        <w:rPr>
          <w:rFonts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40365022" wp14:editId="7EAD0F4D">
            <wp:extent cx="5274310" cy="432943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9198B" w14:textId="15D13881" w:rsidR="00861DCE" w:rsidRDefault="00861DCE" w:rsidP="00861DCE">
      <w:pPr>
        <w:adjustRightInd/>
        <w:snapToGrid/>
        <w:spacing w:line="480" w:lineRule="auto"/>
        <w:ind w:firstLineChars="0" w:firstLine="0"/>
        <w:rPr>
          <w:rFonts w:cs="Times New Roman"/>
          <w:szCs w:val="24"/>
        </w:rPr>
      </w:pPr>
      <w:r w:rsidRPr="00861DCE">
        <w:rPr>
          <w:rFonts w:cs="Times New Roman"/>
          <w:b/>
          <w:sz w:val="24"/>
          <w:szCs w:val="24"/>
        </w:rPr>
        <w:t>Supplementary Figure 3. ATO induced upregulation of HMGB1 expression and release into the extracellular.</w:t>
      </w:r>
      <w:r w:rsidRPr="00861DCE">
        <w:rPr>
          <w:rFonts w:cs="Times New Roman"/>
          <w:color w:val="000000"/>
          <w:kern w:val="0"/>
          <w:sz w:val="24"/>
          <w:szCs w:val="24"/>
        </w:rPr>
        <w:t xml:space="preserve"> </w:t>
      </w:r>
      <w:r w:rsidRPr="00861DCE">
        <w:rPr>
          <w:rFonts w:cs="Times New Roman"/>
          <w:szCs w:val="24"/>
        </w:rPr>
        <w:t xml:space="preserve">AML cells (MV411 and molm13) were divided into the NC group (treated with DMSO) and the ATO group (treated with 5 </w:t>
      </w:r>
      <w:proofErr w:type="spellStart"/>
      <w:r w:rsidRPr="00861DCE">
        <w:rPr>
          <w:rFonts w:cs="Times New Roman"/>
          <w:szCs w:val="24"/>
        </w:rPr>
        <w:t>μmol</w:t>
      </w:r>
      <w:proofErr w:type="spellEnd"/>
      <w:r w:rsidRPr="00861DCE">
        <w:rPr>
          <w:rFonts w:cs="Times New Roman"/>
          <w:szCs w:val="24"/>
        </w:rPr>
        <w:t xml:space="preserve">/L). (a) Venn analysis of the cell-culture supernatants of AML cells in the two groups. (b) Representative images of immunofluorescence staining of AML cells in two groups, indicating co-localization of HMGB1 (green) with nucleus counterstained with DAPI (blue). Scale bar 20μm. (c-d) AML cell lines (MV411, molm13) were treated with ATO at gradient doses (0, 3, 6 </w:t>
      </w:r>
      <w:proofErr w:type="spellStart"/>
      <w:r w:rsidRPr="00861DCE">
        <w:rPr>
          <w:rFonts w:cs="Times New Roman"/>
          <w:szCs w:val="24"/>
        </w:rPr>
        <w:t>μmol</w:t>
      </w:r>
      <w:proofErr w:type="spellEnd"/>
      <w:r w:rsidRPr="00861DCE">
        <w:rPr>
          <w:rFonts w:cs="Times New Roman"/>
          <w:szCs w:val="24"/>
        </w:rPr>
        <w:t>/L) for 24h. The relative gene expression of HMGB1 in the supernatants of AML cells was measured by RT-qPCR.</w:t>
      </w:r>
    </w:p>
    <w:p w14:paraId="36EBF98C" w14:textId="19FC3394" w:rsidR="00861DCE" w:rsidRPr="00861DCE" w:rsidRDefault="00861DCE" w:rsidP="00861DCE">
      <w:pPr>
        <w:widowControl/>
        <w:adjustRightInd/>
        <w:snapToGrid/>
        <w:spacing w:line="240" w:lineRule="auto"/>
        <w:ind w:firstLineChars="0" w:firstLine="0"/>
        <w:jc w:val="left"/>
        <w:rPr>
          <w:rFonts w:cs="Times New Roman" w:hint="eastAsia"/>
          <w:szCs w:val="24"/>
        </w:rPr>
      </w:pPr>
      <w:r>
        <w:rPr>
          <w:rFonts w:cs="Times New Roman"/>
          <w:szCs w:val="24"/>
        </w:rPr>
        <w:br w:type="page"/>
      </w:r>
    </w:p>
    <w:p w14:paraId="77B5D132" w14:textId="77777777" w:rsidR="00861DCE" w:rsidRPr="00861DCE" w:rsidRDefault="00861DCE" w:rsidP="00861DCE">
      <w:pPr>
        <w:adjustRightInd/>
        <w:snapToGrid/>
        <w:spacing w:line="480" w:lineRule="auto"/>
        <w:ind w:firstLine="480"/>
        <w:rPr>
          <w:rFonts w:cs="Times New Roman"/>
          <w:sz w:val="24"/>
          <w:szCs w:val="24"/>
        </w:rPr>
      </w:pPr>
      <w:r w:rsidRPr="00861DCE">
        <w:rPr>
          <w:rFonts w:cs="Times New Roman"/>
          <w:noProof/>
          <w:sz w:val="24"/>
          <w:szCs w:val="24"/>
        </w:rPr>
        <w:lastRenderedPageBreak/>
        <w:drawing>
          <wp:inline distT="0" distB="0" distL="0" distR="0" wp14:anchorId="5030ECD7" wp14:editId="7FFAD549">
            <wp:extent cx="5274310" cy="3599815"/>
            <wp:effectExtent l="0" t="0" r="0" b="6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753FE" w14:textId="77777777" w:rsidR="00861DCE" w:rsidRPr="00861DCE" w:rsidRDefault="00861DCE" w:rsidP="00861DCE">
      <w:pPr>
        <w:adjustRightInd/>
        <w:snapToGrid/>
        <w:spacing w:line="480" w:lineRule="auto"/>
        <w:ind w:firstLineChars="0" w:firstLine="0"/>
        <w:rPr>
          <w:rFonts w:cs="Times New Roman"/>
          <w:sz w:val="24"/>
          <w:szCs w:val="24"/>
        </w:rPr>
      </w:pPr>
      <w:r w:rsidRPr="00861DCE">
        <w:rPr>
          <w:rFonts w:cs="Times New Roman"/>
          <w:b/>
          <w:sz w:val="24"/>
          <w:szCs w:val="24"/>
        </w:rPr>
        <w:t>Supplementary Figure 4. Effect of ATO treatment on AML xenograft tumors.</w:t>
      </w:r>
      <w:r w:rsidRPr="00861DCE">
        <w:rPr>
          <w:rFonts w:cs="Times New Roman"/>
          <w:color w:val="000000"/>
          <w:kern w:val="0"/>
          <w:sz w:val="24"/>
          <w:szCs w:val="24"/>
        </w:rPr>
        <w:t xml:space="preserve"> </w:t>
      </w:r>
      <w:r w:rsidRPr="00861DCE">
        <w:rPr>
          <w:rFonts w:cs="Times New Roman"/>
          <w:szCs w:val="24"/>
        </w:rPr>
        <w:t>(a-c) The toxic side effect of drugs on nude mice was assessed by the change in body weight, liver weight, spleen weight of mice in the two different groups. (</w:t>
      </w:r>
      <w:proofErr w:type="gramStart"/>
      <w:r w:rsidRPr="00861DCE">
        <w:rPr>
          <w:rFonts w:cs="Times New Roman"/>
          <w:szCs w:val="24"/>
        </w:rPr>
        <w:t>ns</w:t>
      </w:r>
      <w:proofErr w:type="gramEnd"/>
      <w:r w:rsidRPr="00861DCE">
        <w:rPr>
          <w:rFonts w:cs="Times New Roman"/>
          <w:szCs w:val="24"/>
        </w:rPr>
        <w:t>: P &gt; 0.05) (d) Liver tissue of the two groups was H&amp;E stained to detect liver damage after drug treatment. Scale bar 50μm. (e) Tumor tissue of the ATO group and the control group was H&amp;E stained to detect tumor necrosis after drug treatment. Scale bar 50μm (left) and 100μm (right).</w:t>
      </w:r>
    </w:p>
    <w:p w14:paraId="49E1438C" w14:textId="61E93D14" w:rsidR="00861DCE" w:rsidRPr="00861DCE" w:rsidRDefault="00861DCE" w:rsidP="00861DCE">
      <w:pPr>
        <w:widowControl/>
        <w:adjustRightInd/>
        <w:snapToGrid/>
        <w:spacing w:line="240" w:lineRule="auto"/>
        <w:ind w:firstLineChars="0" w:firstLine="0"/>
        <w:jc w:val="left"/>
        <w:rPr>
          <w:rFonts w:cs="Times New Roman" w:hint="eastAsia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176011AA" w14:textId="77777777" w:rsidR="00861DCE" w:rsidRPr="00861DCE" w:rsidRDefault="00861DCE" w:rsidP="00861DCE">
      <w:pPr>
        <w:adjustRightInd/>
        <w:snapToGrid/>
        <w:spacing w:line="480" w:lineRule="auto"/>
        <w:ind w:firstLine="480"/>
        <w:jc w:val="center"/>
        <w:rPr>
          <w:rFonts w:cs="Times New Roman"/>
          <w:sz w:val="24"/>
          <w:szCs w:val="24"/>
        </w:rPr>
      </w:pPr>
      <w:r w:rsidRPr="00861DCE">
        <w:rPr>
          <w:rFonts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54D541E9" wp14:editId="144E732B">
            <wp:extent cx="4291839" cy="415956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14045" cy="4181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26F10" w14:textId="77777777" w:rsidR="00861DCE" w:rsidRPr="00861DCE" w:rsidRDefault="00861DCE" w:rsidP="00861DCE">
      <w:pPr>
        <w:adjustRightInd/>
        <w:snapToGrid/>
        <w:spacing w:line="480" w:lineRule="auto"/>
        <w:ind w:firstLineChars="0" w:firstLine="0"/>
        <w:rPr>
          <w:rFonts w:cs="Times New Roman"/>
          <w:szCs w:val="24"/>
        </w:rPr>
      </w:pPr>
      <w:r w:rsidRPr="00861DCE">
        <w:rPr>
          <w:rFonts w:cs="Times New Roman"/>
          <w:b/>
          <w:sz w:val="24"/>
          <w:szCs w:val="24"/>
        </w:rPr>
        <w:t>Supplementary Figure 5. Effect of ATO treatment on the proliferation and cytotoxicity of NK cells.</w:t>
      </w:r>
      <w:r w:rsidRPr="00861DCE">
        <w:rPr>
          <w:rFonts w:cs="Times New Roman"/>
          <w:color w:val="000000"/>
          <w:kern w:val="0"/>
          <w:sz w:val="24"/>
          <w:szCs w:val="24"/>
        </w:rPr>
        <w:t xml:space="preserve"> </w:t>
      </w:r>
      <w:r w:rsidRPr="00861DCE">
        <w:rPr>
          <w:rFonts w:cs="Times New Roman"/>
          <w:szCs w:val="24"/>
        </w:rPr>
        <w:t>(a) MV411 cells in the two groups were respectively co-cultured with NK92-MI cells in the exposure of DMSO or 3μM ATO for 24h. Flow cytometry analysis of the percentage of Annexin-V+ PI+ MV411 cells in the control group and the ATO group. (b-c) Splenocytes and peripheral blood cells were stained with anti-mouse CD49b-APC and anti-mouse CD16-AF700 antibodies and analyzed by flow cytometry. FMO controls were obtained by omitting anti-mouse CD49b-APC antibody or anti-mouse CD16-AF700 antibody. Analysis of FMO controls for NK cells show that omitting anti-mouse CD49b-APC antibody or anti-mouse CD16-AF700 antibody did not significantly change the frequency of positive cells for the other marker, confirming the validity of the gating strategy. *P &lt; 0.05, vs. control using t-test.</w:t>
      </w:r>
    </w:p>
    <w:p w14:paraId="0796AF97" w14:textId="79E92E70" w:rsidR="00861DCE" w:rsidRPr="00861DCE" w:rsidRDefault="00861DCE" w:rsidP="00861DCE">
      <w:pPr>
        <w:widowControl/>
        <w:adjustRightInd/>
        <w:snapToGrid/>
        <w:spacing w:line="240" w:lineRule="auto"/>
        <w:ind w:firstLineChars="0" w:firstLine="0"/>
        <w:jc w:val="left"/>
        <w:rPr>
          <w:rFonts w:cs="Times New Roman" w:hint="eastAsia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7D47FE42" w14:textId="19BD2F61" w:rsidR="00861DCE" w:rsidRPr="00861DCE" w:rsidRDefault="00861DCE" w:rsidP="00861DCE">
      <w:pPr>
        <w:adjustRightInd/>
        <w:snapToGrid/>
        <w:spacing w:line="480" w:lineRule="auto"/>
        <w:ind w:firstLine="480"/>
        <w:rPr>
          <w:rFonts w:cs="Times New Roman" w:hint="eastAsia"/>
          <w:szCs w:val="24"/>
        </w:rPr>
      </w:pPr>
      <w:r w:rsidRPr="00861DCE">
        <w:rPr>
          <w:rFonts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20A50533" wp14:editId="31BF98D0">
            <wp:extent cx="5034044" cy="65177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38228" cy="6523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61DCE">
        <w:rPr>
          <w:rFonts w:cs="Times New Roman"/>
          <w:color w:val="000000"/>
          <w:kern w:val="0"/>
          <w:sz w:val="24"/>
          <w:szCs w:val="24"/>
        </w:rPr>
        <w:t xml:space="preserve"> </w:t>
      </w:r>
      <w:r w:rsidRPr="00861DCE">
        <w:rPr>
          <w:rFonts w:cs="Times New Roman"/>
          <w:b/>
          <w:sz w:val="24"/>
          <w:szCs w:val="24"/>
        </w:rPr>
        <w:t>Supplementary Figure 6. Proteomics analysis of the AML xenograft tumor in the ATO and PBS groups.</w:t>
      </w:r>
      <w:r w:rsidRPr="00861DCE">
        <w:rPr>
          <w:rFonts w:cs="Times New Roman"/>
          <w:szCs w:val="24"/>
        </w:rPr>
        <w:t xml:space="preserve"> (a) Schematic diagram of quantitative proteomics. (b) Heatmap of 83 DEPs between the two groups. Red represented up-regulation and blue referred to down-regulation of expression when compared with the PBS group. (c) subcellular localization of 83 DEPs between the two groups. (d) Functions </w:t>
      </w:r>
      <w:proofErr w:type="spellStart"/>
      <w:r w:rsidRPr="00861DCE">
        <w:rPr>
          <w:rFonts w:cs="Times New Roman"/>
          <w:szCs w:val="24"/>
        </w:rPr>
        <w:t>annovation</w:t>
      </w:r>
      <w:proofErr w:type="spellEnd"/>
      <w:r w:rsidRPr="00861DCE">
        <w:rPr>
          <w:rFonts w:cs="Times New Roman"/>
          <w:szCs w:val="24"/>
        </w:rPr>
        <w:t xml:space="preserve"> of all DEPs. (e) The number of differentially expressed genes in GO analysis. (f) GO analysis of up-regulated proteins. (g) GO analysis of down-regulated proteins. </w:t>
      </w:r>
    </w:p>
    <w:p w14:paraId="4DF2368B" w14:textId="539C3A36" w:rsidR="00861DCE" w:rsidRDefault="00861DCE" w:rsidP="00861DCE">
      <w:pPr>
        <w:widowControl/>
        <w:adjustRightInd/>
        <w:snapToGrid/>
        <w:spacing w:line="240" w:lineRule="auto"/>
        <w:ind w:firstLineChars="0" w:firstLine="0"/>
        <w:jc w:val="lef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br w:type="page"/>
      </w:r>
      <w:proofErr w:type="spellStart"/>
      <w:r w:rsidRPr="00861DCE">
        <w:rPr>
          <w:rFonts w:cs="Times New Roman"/>
          <w:b/>
          <w:sz w:val="24"/>
          <w:szCs w:val="24"/>
        </w:rPr>
        <w:lastRenderedPageBreak/>
        <w:t>Tabel</w:t>
      </w:r>
      <w:proofErr w:type="spellEnd"/>
      <w:r w:rsidRPr="00861DCE">
        <w:rPr>
          <w:rFonts w:cs="Times New Roman"/>
          <w:b/>
          <w:sz w:val="24"/>
          <w:szCs w:val="24"/>
        </w:rPr>
        <w:t>. S1. Primers for RT-qPCR</w:t>
      </w:r>
    </w:p>
    <w:p w14:paraId="2B7215D1" w14:textId="77777777" w:rsidR="00861DCE" w:rsidRPr="00861DCE" w:rsidRDefault="00861DCE" w:rsidP="00861DCE">
      <w:pPr>
        <w:widowControl/>
        <w:adjustRightInd/>
        <w:snapToGrid/>
        <w:spacing w:line="240" w:lineRule="auto"/>
        <w:ind w:firstLineChars="0" w:firstLine="0"/>
        <w:jc w:val="left"/>
        <w:rPr>
          <w:rFonts w:cs="Times New Roman"/>
          <w:b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800"/>
        <w:gridCol w:w="3530"/>
        <w:gridCol w:w="3280"/>
      </w:tblGrid>
      <w:tr w:rsidR="00861DCE" w:rsidRPr="00861DCE" w14:paraId="246C1024" w14:textId="77777777" w:rsidTr="00205B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023430B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gene</w:t>
            </w:r>
          </w:p>
        </w:tc>
        <w:tc>
          <w:tcPr>
            <w:tcW w:w="337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3CFE0F3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5’-3’ (Forward)</w:t>
            </w:r>
          </w:p>
        </w:tc>
        <w:tc>
          <w:tcPr>
            <w:tcW w:w="3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8F5AFF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3’-5’ (Reverse)</w:t>
            </w:r>
          </w:p>
        </w:tc>
      </w:tr>
      <w:tr w:rsidR="00861DCE" w:rsidRPr="00861DCE" w14:paraId="36CC3812" w14:textId="77777777" w:rsidTr="00205B0E"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B3E92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GSDMD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04603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TCGGGGATTACCTCTCTGGC</w:t>
            </w:r>
          </w:p>
        </w:tc>
        <w:tc>
          <w:tcPr>
            <w:tcW w:w="3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EC497E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CCAAGACAAGCGCTAGGGTG</w:t>
            </w:r>
          </w:p>
        </w:tc>
      </w:tr>
      <w:tr w:rsidR="00861DCE" w:rsidRPr="00861DCE" w14:paraId="319451CF" w14:textId="77777777" w:rsidTr="00205B0E"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38FE773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GSDME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</w:tcPr>
          <w:p w14:paraId="52AF099B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ACATGCAGGTCGAGGAGAAGT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 w14:paraId="20106F8E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TCAATGACACCGTAGGCAATG</w:t>
            </w:r>
          </w:p>
        </w:tc>
      </w:tr>
      <w:tr w:rsidR="00861DCE" w:rsidRPr="00861DCE" w14:paraId="5B3A8A35" w14:textId="77777777" w:rsidTr="00205B0E"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213470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IL-18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</w:tcPr>
          <w:p w14:paraId="589855F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GCTGAAGATGATGAAAACCTGGA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 w14:paraId="6726EC0D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GAGGCCGATTTCCTTGGTCA</w:t>
            </w:r>
          </w:p>
        </w:tc>
      </w:tr>
      <w:tr w:rsidR="00861DCE" w:rsidRPr="00861DCE" w14:paraId="13E51E40" w14:textId="77777777" w:rsidTr="00205B0E"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FD50B23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IL-1β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</w:tcPr>
          <w:p w14:paraId="5B192F8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TTCGACACATGGGATAACGAGG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 w14:paraId="70414AF2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TTTTTGCTGTGAGTCCCGGAG</w:t>
            </w:r>
          </w:p>
        </w:tc>
      </w:tr>
      <w:tr w:rsidR="00861DCE" w:rsidRPr="00861DCE" w14:paraId="021EC9EE" w14:textId="77777777" w:rsidTr="00205B0E">
        <w:tc>
          <w:tcPr>
            <w:tcW w:w="18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C64C4C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GAPDH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D69F1A6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GAGTCAACGGATTTGGTCGTAT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46858AE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ATGGGTGGAATCATATTGGAAC</w:t>
            </w:r>
          </w:p>
        </w:tc>
      </w:tr>
    </w:tbl>
    <w:p w14:paraId="72356435" w14:textId="28D71C67" w:rsidR="00861DCE" w:rsidRDefault="00861DCE" w:rsidP="00861DCE">
      <w:pPr>
        <w:adjustRightInd/>
        <w:snapToGrid/>
        <w:spacing w:line="480" w:lineRule="auto"/>
        <w:ind w:firstLine="480"/>
        <w:rPr>
          <w:rFonts w:cs="Times New Roman"/>
          <w:sz w:val="24"/>
          <w:szCs w:val="24"/>
        </w:rPr>
      </w:pPr>
      <w:r w:rsidRPr="00861DCE">
        <w:rPr>
          <w:rFonts w:cs="Times New Roman"/>
          <w:sz w:val="24"/>
          <w:szCs w:val="24"/>
        </w:rPr>
        <w:t xml:space="preserve"> </w:t>
      </w:r>
    </w:p>
    <w:p w14:paraId="70DB519E" w14:textId="66DEEF08" w:rsidR="00861DCE" w:rsidRPr="00861DCE" w:rsidRDefault="00861DCE" w:rsidP="00861DCE">
      <w:pPr>
        <w:widowControl/>
        <w:adjustRightInd/>
        <w:snapToGrid/>
        <w:spacing w:line="240" w:lineRule="auto"/>
        <w:ind w:firstLineChars="0" w:firstLine="0"/>
        <w:jc w:val="left"/>
        <w:rPr>
          <w:rFonts w:cs="Times New Roman" w:hint="eastAsia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055240AB" w14:textId="77777777" w:rsidR="00861DCE" w:rsidRPr="00861DCE" w:rsidRDefault="00861DCE" w:rsidP="00861DCE">
      <w:pPr>
        <w:adjustRightInd/>
        <w:snapToGrid/>
        <w:spacing w:line="480" w:lineRule="auto"/>
        <w:ind w:firstLineChars="0" w:firstLine="0"/>
        <w:rPr>
          <w:rFonts w:cs="Times New Roman"/>
          <w:b/>
          <w:sz w:val="24"/>
          <w:szCs w:val="24"/>
        </w:rPr>
      </w:pPr>
      <w:proofErr w:type="spellStart"/>
      <w:r w:rsidRPr="00861DCE">
        <w:rPr>
          <w:rFonts w:cs="Times New Roman"/>
          <w:b/>
          <w:sz w:val="24"/>
          <w:szCs w:val="24"/>
        </w:rPr>
        <w:lastRenderedPageBreak/>
        <w:t>Tabel</w:t>
      </w:r>
      <w:proofErr w:type="spellEnd"/>
      <w:r w:rsidRPr="00861DCE">
        <w:rPr>
          <w:rFonts w:cs="Times New Roman"/>
          <w:b/>
          <w:sz w:val="24"/>
          <w:szCs w:val="24"/>
        </w:rPr>
        <w:t xml:space="preserve">. S2. English abbreviations list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861DCE" w:rsidRPr="00861DCE" w14:paraId="5DD7EE57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78A7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Abbreviations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7760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</w:p>
        </w:tc>
      </w:tr>
      <w:tr w:rsidR="00861DCE" w:rsidRPr="00861DCE" w14:paraId="68861310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F6CDA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ATO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FBA96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Arsenic Trioxide</w:t>
            </w:r>
          </w:p>
        </w:tc>
      </w:tr>
      <w:tr w:rsidR="00861DCE" w:rsidRPr="00861DCE" w14:paraId="01C32C77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2F5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AML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31756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Acute Myelocytic Leukemia</w:t>
            </w:r>
          </w:p>
        </w:tc>
      </w:tr>
      <w:tr w:rsidR="00861DCE" w:rsidRPr="00861DCE" w14:paraId="0E77D40F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D8C33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TME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8587F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tumor microenvironment</w:t>
            </w:r>
          </w:p>
        </w:tc>
      </w:tr>
      <w:tr w:rsidR="00861DCE" w:rsidRPr="00861DCE" w14:paraId="1D510D78" w14:textId="77777777" w:rsidTr="00205B0E">
        <w:trPr>
          <w:trHeight w:val="32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F07B6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GSDME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796CD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proofErr w:type="spellStart"/>
            <w:r w:rsidRPr="00861DCE">
              <w:rPr>
                <w:szCs w:val="24"/>
              </w:rPr>
              <w:t>gasdermin</w:t>
            </w:r>
            <w:proofErr w:type="spellEnd"/>
            <w:r w:rsidRPr="00861DCE">
              <w:rPr>
                <w:szCs w:val="24"/>
              </w:rPr>
              <w:t xml:space="preserve"> E</w:t>
            </w:r>
          </w:p>
        </w:tc>
      </w:tr>
      <w:tr w:rsidR="00861DCE" w:rsidRPr="00861DCE" w14:paraId="721D2574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E63A6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GSDME-N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1B3D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proofErr w:type="spellStart"/>
            <w:r w:rsidRPr="00861DCE">
              <w:rPr>
                <w:szCs w:val="24"/>
              </w:rPr>
              <w:t>gasdermin</w:t>
            </w:r>
            <w:proofErr w:type="spellEnd"/>
            <w:r w:rsidRPr="00861DCE">
              <w:rPr>
                <w:szCs w:val="24"/>
              </w:rPr>
              <w:t>-N terminal</w:t>
            </w:r>
          </w:p>
        </w:tc>
      </w:tr>
      <w:tr w:rsidR="00861DCE" w:rsidRPr="00861DCE" w14:paraId="5A7CFA0F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D7FD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GSDME-FL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4E0B3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proofErr w:type="spellStart"/>
            <w:r w:rsidRPr="00861DCE">
              <w:rPr>
                <w:szCs w:val="24"/>
              </w:rPr>
              <w:t>gasdermin</w:t>
            </w:r>
            <w:proofErr w:type="spellEnd"/>
            <w:r w:rsidRPr="00861DCE">
              <w:rPr>
                <w:szCs w:val="24"/>
              </w:rPr>
              <w:t>-full length</w:t>
            </w:r>
          </w:p>
        </w:tc>
      </w:tr>
      <w:tr w:rsidR="00861DCE" w:rsidRPr="00861DCE" w14:paraId="13D3490B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1F2C9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DAMPs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BBAA0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Damage-associated molecular pattern molecules</w:t>
            </w:r>
          </w:p>
        </w:tc>
      </w:tr>
      <w:tr w:rsidR="00861DCE" w:rsidRPr="00861DCE" w14:paraId="067B4329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5F853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NLRs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44D04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NOD-like receptors</w:t>
            </w:r>
          </w:p>
        </w:tc>
      </w:tr>
      <w:tr w:rsidR="00861DCE" w:rsidRPr="00861DCE" w14:paraId="1659F1C0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31EB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APL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3DCC9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acute promyelocytic leukemia</w:t>
            </w:r>
          </w:p>
        </w:tc>
      </w:tr>
      <w:tr w:rsidR="00861DCE" w:rsidRPr="00861DCE" w14:paraId="295476C6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C075A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GZMB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2CECD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granzyme B</w:t>
            </w:r>
          </w:p>
        </w:tc>
      </w:tr>
      <w:tr w:rsidR="00861DCE" w:rsidRPr="00861DCE" w14:paraId="4CCA3C4C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5DC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DEPs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35896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differentially expressed proteins</w:t>
            </w:r>
          </w:p>
        </w:tc>
      </w:tr>
      <w:tr w:rsidR="00861DCE" w:rsidRPr="00861DCE" w14:paraId="060715DF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8063B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CTSB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3B802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Cathepsin B</w:t>
            </w:r>
          </w:p>
        </w:tc>
      </w:tr>
      <w:tr w:rsidR="00861DCE" w:rsidRPr="00861DCE" w14:paraId="0A69EB7F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ECA20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p38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D1DB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Mitogen-activated protein kinase 14</w:t>
            </w:r>
          </w:p>
        </w:tc>
      </w:tr>
      <w:tr w:rsidR="00861DCE" w:rsidRPr="00861DCE" w14:paraId="33288E55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C1DE9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NLRP3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44504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NOD-like receptor protein 3</w:t>
            </w:r>
          </w:p>
        </w:tc>
      </w:tr>
      <w:tr w:rsidR="00861DCE" w:rsidRPr="00861DCE" w14:paraId="4515643C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9319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HMGB1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0381C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high-mobility group box 1</w:t>
            </w:r>
          </w:p>
        </w:tc>
      </w:tr>
      <w:tr w:rsidR="00861DCE" w:rsidRPr="00861DCE" w14:paraId="02187845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3385F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LDH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687E6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lactate dehydrogenase</w:t>
            </w:r>
          </w:p>
        </w:tc>
      </w:tr>
      <w:tr w:rsidR="00861DCE" w:rsidRPr="00861DCE" w14:paraId="16F99402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AB040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IL-1β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88882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Interleukin-1β</w:t>
            </w:r>
          </w:p>
        </w:tc>
      </w:tr>
      <w:tr w:rsidR="00861DCE" w:rsidRPr="00861DCE" w14:paraId="766A85E3" w14:textId="77777777" w:rsidTr="00205B0E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CDB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IL-18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3E024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szCs w:val="24"/>
              </w:rPr>
            </w:pPr>
            <w:r w:rsidRPr="00861DCE">
              <w:rPr>
                <w:szCs w:val="24"/>
              </w:rPr>
              <w:t>Interleukin-18</w:t>
            </w:r>
          </w:p>
        </w:tc>
      </w:tr>
    </w:tbl>
    <w:p w14:paraId="6F9F5A3C" w14:textId="22EBCAB3" w:rsidR="00861DCE" w:rsidRDefault="00861DCE" w:rsidP="00861DCE">
      <w:pPr>
        <w:adjustRightInd/>
        <w:snapToGrid/>
        <w:spacing w:line="480" w:lineRule="auto"/>
        <w:ind w:firstLineChars="0" w:firstLine="0"/>
        <w:rPr>
          <w:rFonts w:cs="Times New Roman"/>
          <w:color w:val="000000"/>
          <w:kern w:val="0"/>
          <w:sz w:val="24"/>
          <w:szCs w:val="24"/>
        </w:rPr>
      </w:pPr>
    </w:p>
    <w:p w14:paraId="4F55AAE7" w14:textId="1057D85A" w:rsidR="00861DCE" w:rsidRPr="00861DCE" w:rsidRDefault="00861DCE" w:rsidP="00861DCE">
      <w:pPr>
        <w:widowControl/>
        <w:adjustRightInd/>
        <w:snapToGrid/>
        <w:spacing w:line="240" w:lineRule="auto"/>
        <w:ind w:firstLineChars="0" w:firstLine="0"/>
        <w:jc w:val="left"/>
        <w:rPr>
          <w:rFonts w:cs="Times New Roman" w:hint="eastAsia"/>
          <w:color w:val="000000"/>
          <w:kern w:val="0"/>
          <w:sz w:val="24"/>
          <w:szCs w:val="24"/>
        </w:rPr>
      </w:pPr>
      <w:r>
        <w:rPr>
          <w:rFonts w:cs="Times New Roman"/>
          <w:color w:val="000000"/>
          <w:kern w:val="0"/>
          <w:sz w:val="24"/>
          <w:szCs w:val="24"/>
        </w:rPr>
        <w:br w:type="page"/>
      </w:r>
    </w:p>
    <w:p w14:paraId="685A7C2D" w14:textId="0594FBF4" w:rsidR="00861DCE" w:rsidRPr="00861DCE" w:rsidRDefault="00861DCE" w:rsidP="00861DCE">
      <w:pPr>
        <w:adjustRightInd/>
        <w:snapToGrid/>
        <w:spacing w:line="480" w:lineRule="auto"/>
        <w:ind w:firstLineChars="0" w:firstLine="0"/>
        <w:rPr>
          <w:rFonts w:cs="Times New Roman" w:hint="eastAsia"/>
          <w:b/>
          <w:sz w:val="24"/>
          <w:szCs w:val="24"/>
        </w:rPr>
      </w:pPr>
      <w:r w:rsidRPr="00861DCE">
        <w:rPr>
          <w:rFonts w:cs="Times New Roman"/>
          <w:b/>
          <w:sz w:val="24"/>
          <w:szCs w:val="24"/>
        </w:rPr>
        <w:lastRenderedPageBreak/>
        <w:t>Table. S3. 78 DEPs between ATO and NC groups that involved in the immune pathway in the supernatants of AML cells</w:t>
      </w:r>
    </w:p>
    <w:tbl>
      <w:tblPr>
        <w:tblW w:w="8515" w:type="dxa"/>
        <w:tblInd w:w="-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3"/>
        <w:gridCol w:w="1703"/>
        <w:gridCol w:w="1703"/>
        <w:gridCol w:w="1703"/>
        <w:gridCol w:w="1703"/>
      </w:tblGrid>
      <w:tr w:rsidR="00861DCE" w:rsidRPr="00861DCE" w14:paraId="1282299B" w14:textId="77777777" w:rsidTr="00205B0E">
        <w:trPr>
          <w:trHeight w:val="290"/>
        </w:trPr>
        <w:tc>
          <w:tcPr>
            <w:tcW w:w="1703" w:type="dxa"/>
            <w:noWrap/>
            <w:vAlign w:val="center"/>
          </w:tcPr>
          <w:p w14:paraId="725AC7B3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 xml:space="preserve">PSMD5    LNPEP     VAMP8    CRK         KPNA4    KPNA1    HVCN1    ADAR      HSPA1A  </w:t>
            </w:r>
          </w:p>
          <w:p w14:paraId="1FAC19D0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NIT2        DYNC1I2 PSMD</w:t>
            </w:r>
            <w:proofErr w:type="gramStart"/>
            <w:r w:rsidRPr="00861DCE">
              <w:rPr>
                <w:rFonts w:cs="Times New Roman"/>
                <w:szCs w:val="24"/>
              </w:rPr>
              <w:t>14  PSMC</w:t>
            </w:r>
            <w:proofErr w:type="gramEnd"/>
            <w:r w:rsidRPr="00861DCE">
              <w:rPr>
                <w:rFonts w:cs="Times New Roman"/>
                <w:szCs w:val="24"/>
              </w:rPr>
              <w:t>6    PPP2R5D KPNA2</w:t>
            </w:r>
          </w:p>
          <w:p w14:paraId="2866F6BD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CYFIP1</w:t>
            </w:r>
          </w:p>
        </w:tc>
        <w:tc>
          <w:tcPr>
            <w:tcW w:w="1703" w:type="dxa"/>
          </w:tcPr>
          <w:p w14:paraId="111470A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 xml:space="preserve">PSMD8 </w:t>
            </w:r>
          </w:p>
          <w:p w14:paraId="58326ECA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PIAS1    RAB7A   COL3A1</w:t>
            </w:r>
          </w:p>
          <w:p w14:paraId="21D11719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PSMF1</w:t>
            </w:r>
          </w:p>
          <w:p w14:paraId="6D6FDA2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b/>
                <w:bCs/>
                <w:szCs w:val="24"/>
              </w:rPr>
            </w:pPr>
            <w:r w:rsidRPr="00861DCE">
              <w:rPr>
                <w:rFonts w:cs="Times New Roman"/>
                <w:b/>
                <w:bCs/>
                <w:szCs w:val="24"/>
              </w:rPr>
              <w:t>HMGB1</w:t>
            </w:r>
          </w:p>
          <w:p w14:paraId="7710A2E4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 xml:space="preserve">PIK3R4    PSMD4    FBXO6     SEC31A   SH3KBP1 </w:t>
            </w:r>
          </w:p>
          <w:p w14:paraId="544602EE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IFI35        DCTN2    PPP2CA   SOD2</w:t>
            </w:r>
          </w:p>
          <w:p w14:paraId="1CEB594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PLCG2</w:t>
            </w:r>
          </w:p>
        </w:tc>
        <w:tc>
          <w:tcPr>
            <w:tcW w:w="1703" w:type="dxa"/>
          </w:tcPr>
          <w:p w14:paraId="0BCCB31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PSMD10   COPB1      SRP14       THOP1      HUWE1     NUP50      AP2A1      PSMB8      PIK3CD     MVP         UBE2D2    SMARCA4 PPP2R5</w:t>
            </w:r>
            <w:proofErr w:type="gramStart"/>
            <w:r w:rsidRPr="00861DCE">
              <w:rPr>
                <w:rFonts w:cs="Times New Roman"/>
                <w:szCs w:val="24"/>
              </w:rPr>
              <w:t>C  FLNB</w:t>
            </w:r>
            <w:proofErr w:type="gramEnd"/>
            <w:r w:rsidRPr="00861DCE">
              <w:rPr>
                <w:rFonts w:cs="Times New Roman"/>
                <w:szCs w:val="24"/>
              </w:rPr>
              <w:t xml:space="preserve">         PECAM1</w:t>
            </w:r>
          </w:p>
          <w:p w14:paraId="46FF38F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IFITM</w:t>
            </w:r>
          </w:p>
        </w:tc>
        <w:tc>
          <w:tcPr>
            <w:tcW w:w="1703" w:type="dxa"/>
          </w:tcPr>
          <w:p w14:paraId="4839641A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PPP2CB     SNRPA1     RANBP2     ELMO1      PTPN11     ATG7         UBA3         HLA-DRB5 SLC2A5      HLA-</w:t>
            </w:r>
            <w:proofErr w:type="gramStart"/>
            <w:r w:rsidRPr="00861DCE">
              <w:rPr>
                <w:rFonts w:cs="Times New Roman"/>
                <w:szCs w:val="24"/>
              </w:rPr>
              <w:t>DRA  IFITM</w:t>
            </w:r>
            <w:proofErr w:type="gramEnd"/>
            <w:r w:rsidRPr="00861DCE">
              <w:rPr>
                <w:rFonts w:cs="Times New Roman"/>
                <w:szCs w:val="24"/>
              </w:rPr>
              <w:t>3       C4A           POLR2H     LAMTOR3  NUP62</w:t>
            </w:r>
          </w:p>
        </w:tc>
        <w:tc>
          <w:tcPr>
            <w:tcW w:w="1703" w:type="dxa"/>
          </w:tcPr>
          <w:p w14:paraId="5CC20366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SEC61B</w:t>
            </w:r>
          </w:p>
          <w:p w14:paraId="1A09449C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KPNA3</w:t>
            </w:r>
          </w:p>
          <w:p w14:paraId="7099E55E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ABCE1</w:t>
            </w:r>
          </w:p>
          <w:p w14:paraId="5B01390A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STX4</w:t>
            </w:r>
          </w:p>
          <w:p w14:paraId="58F61211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SEC24C</w:t>
            </w:r>
          </w:p>
          <w:p w14:paraId="7320036B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DYNC1H1</w:t>
            </w:r>
          </w:p>
          <w:p w14:paraId="2E3019A2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DCTN1</w:t>
            </w:r>
          </w:p>
          <w:p w14:paraId="065415C6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UBR4</w:t>
            </w:r>
          </w:p>
          <w:p w14:paraId="62D41010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SUMO1</w:t>
            </w:r>
          </w:p>
          <w:p w14:paraId="7C792C6C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TAX1BP1</w:t>
            </w:r>
          </w:p>
          <w:p w14:paraId="4FAA19AE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IFITM1</w:t>
            </w:r>
          </w:p>
          <w:p w14:paraId="4BA7F829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NAPRT</w:t>
            </w:r>
          </w:p>
          <w:p w14:paraId="05E80F7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EIF4G1</w:t>
            </w:r>
          </w:p>
          <w:p w14:paraId="32A62884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LYN</w:t>
            </w:r>
          </w:p>
          <w:p w14:paraId="2B6D131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HEBP2</w:t>
            </w:r>
          </w:p>
        </w:tc>
      </w:tr>
    </w:tbl>
    <w:p w14:paraId="49896896" w14:textId="77777777" w:rsidR="00861DCE" w:rsidRDefault="00861DCE" w:rsidP="00861DCE">
      <w:pPr>
        <w:adjustRightInd/>
        <w:snapToGrid/>
        <w:spacing w:line="480" w:lineRule="auto"/>
        <w:ind w:firstLineChars="0" w:firstLine="0"/>
        <w:rPr>
          <w:rFonts w:cs="Times New Roman"/>
          <w:b/>
          <w:sz w:val="24"/>
          <w:szCs w:val="24"/>
        </w:rPr>
      </w:pPr>
    </w:p>
    <w:p w14:paraId="7BB2DED1" w14:textId="77777777" w:rsidR="00861DCE" w:rsidRDefault="00861DCE">
      <w:pPr>
        <w:widowControl/>
        <w:adjustRightInd/>
        <w:snapToGrid/>
        <w:spacing w:line="240" w:lineRule="auto"/>
        <w:ind w:firstLineChars="0" w:firstLine="0"/>
        <w:jc w:val="lef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br w:type="page"/>
      </w:r>
    </w:p>
    <w:p w14:paraId="2682E764" w14:textId="377E19DC" w:rsidR="00861DCE" w:rsidRPr="00861DCE" w:rsidRDefault="00861DCE" w:rsidP="00861DCE">
      <w:pPr>
        <w:adjustRightInd/>
        <w:snapToGrid/>
        <w:spacing w:line="480" w:lineRule="auto"/>
        <w:ind w:firstLineChars="0" w:firstLine="0"/>
        <w:rPr>
          <w:rFonts w:cs="Times New Roman"/>
          <w:b/>
          <w:sz w:val="24"/>
          <w:szCs w:val="24"/>
        </w:rPr>
      </w:pPr>
      <w:r w:rsidRPr="00861DCE">
        <w:rPr>
          <w:rFonts w:cs="Times New Roman"/>
          <w:b/>
          <w:sz w:val="24"/>
          <w:szCs w:val="24"/>
        </w:rPr>
        <w:lastRenderedPageBreak/>
        <w:t xml:space="preserve">Table.S4. DEPs of the AML xenograft tumor in the ATO and PBS groups were analyzed by Label-Free-based quantitative proteomics </w:t>
      </w:r>
    </w:p>
    <w:tbl>
      <w:tblPr>
        <w:tblW w:w="8419" w:type="dxa"/>
        <w:tblInd w:w="10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8"/>
        <w:gridCol w:w="1347"/>
        <w:gridCol w:w="1564"/>
        <w:gridCol w:w="1236"/>
        <w:gridCol w:w="1347"/>
        <w:gridCol w:w="1347"/>
      </w:tblGrid>
      <w:tr w:rsidR="00861DCE" w:rsidRPr="00861DCE" w14:paraId="596F67A4" w14:textId="77777777" w:rsidTr="00205B0E">
        <w:trPr>
          <w:trHeight w:val="282"/>
        </w:trPr>
        <w:tc>
          <w:tcPr>
            <w:tcW w:w="15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6F3B721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C330007</w:t>
            </w:r>
          </w:p>
          <w:p w14:paraId="4EC5319F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P06Rik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E0D8949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MBD3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8589E44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PSMB2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ABC9482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PDS5B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F9A181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FUNDC2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9B148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STX5</w:t>
            </w:r>
          </w:p>
        </w:tc>
      </w:tr>
      <w:tr w:rsidR="00861DCE" w:rsidRPr="00861DCE" w14:paraId="729047F1" w14:textId="77777777" w:rsidTr="00205B0E">
        <w:trPr>
          <w:trHeight w:val="282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E7EE4C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Brd7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ADACC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Eef2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CA3FF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 xml:space="preserve">MRCL3 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0488E6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INPP5D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04B2CC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proofErr w:type="spellStart"/>
            <w:r w:rsidRPr="00861DCE">
              <w:rPr>
                <w:rFonts w:cs="Times New Roman"/>
                <w:szCs w:val="24"/>
              </w:rPr>
              <w:t>Hdlbp</w:t>
            </w:r>
            <w:proofErr w:type="spellEnd"/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C34BE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UBE2T</w:t>
            </w:r>
          </w:p>
        </w:tc>
      </w:tr>
      <w:tr w:rsidR="00861DCE" w:rsidRPr="00861DCE" w14:paraId="7EF568D0" w14:textId="77777777" w:rsidTr="00205B0E">
        <w:trPr>
          <w:trHeight w:val="282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24F079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BTBD14B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2A189D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FLJ76697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FF23E4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Efhd2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10A80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POLA2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0B42AD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PRPF39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9C5C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VAPB</w:t>
            </w:r>
          </w:p>
        </w:tc>
      </w:tr>
      <w:tr w:rsidR="00861DCE" w:rsidRPr="00861DCE" w14:paraId="2E04C046" w14:textId="77777777" w:rsidTr="00205B0E">
        <w:trPr>
          <w:trHeight w:val="282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2E7A1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Arrb2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3CCCE6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Prdx1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D835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PDK1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F4C77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TXNRD1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953424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PARN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E11FD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GMPPB</w:t>
            </w:r>
          </w:p>
        </w:tc>
      </w:tr>
      <w:tr w:rsidR="00861DCE" w:rsidRPr="00861DCE" w14:paraId="3CFC6A26" w14:textId="77777777" w:rsidTr="00205B0E">
        <w:trPr>
          <w:trHeight w:val="282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50FB1A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ARIH1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BDBFDE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Cotl1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76784F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SCYL2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F249F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WASHC2A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0C4559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PLCH1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D3F2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Pld3</w:t>
            </w:r>
          </w:p>
        </w:tc>
      </w:tr>
      <w:tr w:rsidR="00861DCE" w:rsidRPr="00861DCE" w14:paraId="270EA0FD" w14:textId="77777777" w:rsidTr="00205B0E">
        <w:trPr>
          <w:trHeight w:val="282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810960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AAGAB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516BFD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proofErr w:type="spellStart"/>
            <w:r w:rsidRPr="00861DCE">
              <w:rPr>
                <w:rFonts w:cs="Times New Roman"/>
                <w:szCs w:val="24"/>
              </w:rPr>
              <w:t>Tnc</w:t>
            </w:r>
            <w:proofErr w:type="spellEnd"/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A880A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SURF1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5C8C4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Hsd17b4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7DF860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PRKD2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E5563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CDS2</w:t>
            </w:r>
          </w:p>
        </w:tc>
      </w:tr>
      <w:tr w:rsidR="00861DCE" w:rsidRPr="00861DCE" w14:paraId="4DAC5F37" w14:textId="77777777" w:rsidTr="00205B0E">
        <w:trPr>
          <w:trHeight w:val="282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42E492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AGA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47ACFF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UDP-gtd1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C4AB7F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RPL39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F40073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PRKCI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C2296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RXRA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AFDEE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FIP1L1</w:t>
            </w:r>
          </w:p>
        </w:tc>
      </w:tr>
      <w:tr w:rsidR="00861DCE" w:rsidRPr="00861DCE" w14:paraId="4ACCEA2E" w14:textId="77777777" w:rsidTr="00205B0E">
        <w:trPr>
          <w:trHeight w:val="318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CD8CF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Atp5f1b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A573E3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STK26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B9FFC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proofErr w:type="spellStart"/>
            <w:r w:rsidRPr="00861DCE">
              <w:rPr>
                <w:rFonts w:cs="Times New Roman"/>
                <w:szCs w:val="24"/>
              </w:rPr>
              <w:t>Lmna</w:t>
            </w:r>
            <w:proofErr w:type="spellEnd"/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155C31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UQCR10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7E8EE2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MRPL1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C27BB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Sptbn1</w:t>
            </w:r>
          </w:p>
        </w:tc>
      </w:tr>
      <w:tr w:rsidR="00861DCE" w:rsidRPr="00861DCE" w14:paraId="53BEA44D" w14:textId="77777777" w:rsidTr="00205B0E">
        <w:trPr>
          <w:trHeight w:val="282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40B7DC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CWF19L2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DA41E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 xml:space="preserve">β-actin 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1ED944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Rpl14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81CEE9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TBC1D10B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EB85E1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SP100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14:paraId="3D7BDC49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</w:p>
        </w:tc>
      </w:tr>
      <w:tr w:rsidR="00861DCE" w:rsidRPr="00861DCE" w14:paraId="44AC7694" w14:textId="77777777" w:rsidTr="00205B0E">
        <w:trPr>
          <w:trHeight w:val="319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B1F843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CHCHD2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8DF77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YME1L1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5B2A8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LGALS1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7B73F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b/>
                <w:bCs/>
                <w:szCs w:val="24"/>
              </w:rPr>
            </w:pPr>
            <w:r w:rsidRPr="00861DCE">
              <w:rPr>
                <w:rFonts w:cs="Times New Roman"/>
                <w:b/>
                <w:bCs/>
                <w:szCs w:val="24"/>
              </w:rPr>
              <w:t>CTSB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1C3BAC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SLBP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14:paraId="6B29FBC4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</w:p>
        </w:tc>
      </w:tr>
      <w:tr w:rsidR="00861DCE" w:rsidRPr="00861DCE" w14:paraId="58F236D2" w14:textId="77777777" w:rsidTr="00205B0E">
        <w:trPr>
          <w:trHeight w:val="319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4DE6A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CFDP1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967B2B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TXNL1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000D0C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TRPV2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01328B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UBE3A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FCC646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URB1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14:paraId="434F6C1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</w:p>
        </w:tc>
      </w:tr>
      <w:tr w:rsidR="00861DCE" w:rsidRPr="00861DCE" w14:paraId="2C5D3518" w14:textId="77777777" w:rsidTr="00205B0E">
        <w:trPr>
          <w:trHeight w:val="282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2E0448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COMMD2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6730E0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Snx5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CAB860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Thy1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0FFACB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MFF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14EEE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b/>
                <w:bCs/>
                <w:szCs w:val="24"/>
              </w:rPr>
            </w:pPr>
            <w:proofErr w:type="spellStart"/>
            <w:r w:rsidRPr="00861DCE">
              <w:rPr>
                <w:rFonts w:cs="Times New Roman"/>
                <w:b/>
                <w:bCs/>
                <w:szCs w:val="24"/>
              </w:rPr>
              <w:t>LDHa</w:t>
            </w:r>
            <w:proofErr w:type="spellEnd"/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14:paraId="621DCD63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</w:p>
        </w:tc>
      </w:tr>
      <w:tr w:rsidR="00861DCE" w:rsidRPr="00861DCE" w14:paraId="3836DFB2" w14:textId="77777777" w:rsidTr="00205B0E">
        <w:trPr>
          <w:trHeight w:val="282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CAA34D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b/>
                <w:bCs/>
                <w:szCs w:val="24"/>
              </w:rPr>
            </w:pPr>
            <w:r w:rsidRPr="00861DCE">
              <w:rPr>
                <w:rFonts w:cs="Times New Roman"/>
                <w:b/>
                <w:bCs/>
                <w:szCs w:val="24"/>
              </w:rPr>
              <w:t>MAPKAPK2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782B0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CUTA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8D58E0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Exoc3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977964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Slc25a4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18E05F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MIEN1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14:paraId="66647DB1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</w:p>
        </w:tc>
      </w:tr>
      <w:tr w:rsidR="00861DCE" w:rsidRPr="00861DCE" w14:paraId="75F1FB15" w14:textId="77777777" w:rsidTr="00205B0E">
        <w:trPr>
          <w:trHeight w:val="282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3074D3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Chuk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FE8F3A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Rbm3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C9965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b/>
                <w:bCs/>
                <w:szCs w:val="24"/>
              </w:rPr>
            </w:pPr>
            <w:r w:rsidRPr="00861DCE">
              <w:rPr>
                <w:rFonts w:cs="Times New Roman"/>
                <w:b/>
                <w:bCs/>
                <w:szCs w:val="24"/>
              </w:rPr>
              <w:t>MAPK14(p38)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993B27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Trappc13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7F462C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HEL-S-89n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14:paraId="13B3DB55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</w:p>
        </w:tc>
      </w:tr>
      <w:tr w:rsidR="00861DCE" w:rsidRPr="00861DCE" w14:paraId="06FFF72A" w14:textId="77777777" w:rsidTr="00205B0E">
        <w:trPr>
          <w:trHeight w:val="321"/>
        </w:trPr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3A3F1A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INTS1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893A6A1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NUDT3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36C54B1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proofErr w:type="spellStart"/>
            <w:r w:rsidRPr="00861DCE">
              <w:rPr>
                <w:rFonts w:cs="Times New Roman"/>
                <w:szCs w:val="24"/>
              </w:rPr>
              <w:t>Hnrnpk</w:t>
            </w:r>
            <w:proofErr w:type="spellEnd"/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F9DAD9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VPS11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54D9AC9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  <w:r w:rsidRPr="00861DCE">
              <w:rPr>
                <w:rFonts w:cs="Times New Roman"/>
                <w:szCs w:val="24"/>
              </w:rPr>
              <w:t>Histone H3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37F6B3" w14:textId="77777777" w:rsidR="00861DCE" w:rsidRPr="00861DCE" w:rsidRDefault="00861DCE" w:rsidP="00861DCE">
            <w:pPr>
              <w:adjustRightInd/>
              <w:snapToGrid/>
              <w:spacing w:line="480" w:lineRule="auto"/>
              <w:ind w:firstLineChars="0" w:firstLine="0"/>
              <w:rPr>
                <w:rFonts w:cs="Times New Roman"/>
                <w:szCs w:val="24"/>
              </w:rPr>
            </w:pPr>
          </w:p>
        </w:tc>
      </w:tr>
    </w:tbl>
    <w:p w14:paraId="30AD34AB" w14:textId="77777777" w:rsidR="00C8709E" w:rsidRDefault="00C8709E" w:rsidP="00861DCE">
      <w:pPr>
        <w:ind w:firstLineChars="0" w:firstLine="0"/>
        <w:rPr>
          <w:rFonts w:hint="eastAsia"/>
        </w:rPr>
      </w:pPr>
    </w:p>
    <w:sectPr w:rsidR="00C8709E" w:rsidSect="00F36C04">
      <w:pgSz w:w="11906" w:h="16838" w:code="9"/>
      <w:pgMar w:top="1985" w:right="1418" w:bottom="1418" w:left="1418" w:header="1418" w:footer="1134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DCE"/>
    <w:rsid w:val="00861DCE"/>
    <w:rsid w:val="00864524"/>
    <w:rsid w:val="00C8709E"/>
    <w:rsid w:val="00F36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74C6B"/>
  <w15:chartTrackingRefBased/>
  <w15:docId w15:val="{7A9E1E1F-9F29-4DBB-BD50-9F8CC0E8B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4524"/>
    <w:pPr>
      <w:widowControl w:val="0"/>
      <w:adjustRightInd w:val="0"/>
      <w:snapToGrid w:val="0"/>
      <w:spacing w:line="300" w:lineRule="auto"/>
      <w:ind w:firstLineChars="200" w:firstLine="20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861DCE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样式1"/>
    <w:basedOn w:val="10"/>
    <w:qFormat/>
    <w:rsid w:val="00861DCE"/>
    <w:pPr>
      <w:adjustRightInd/>
      <w:snapToGrid/>
      <w:spacing w:line="240" w:lineRule="auto"/>
      <w:ind w:firstLineChars="0" w:firstLine="0"/>
    </w:p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10">
    <w:name w:val="Table Simple 1"/>
    <w:basedOn w:val="a1"/>
    <w:uiPriority w:val="99"/>
    <w:semiHidden/>
    <w:unhideWhenUsed/>
    <w:rsid w:val="00861DCE"/>
    <w:pPr>
      <w:widowControl w:val="0"/>
      <w:adjustRightInd w:val="0"/>
      <w:snapToGrid w:val="0"/>
      <w:spacing w:line="300" w:lineRule="auto"/>
      <w:ind w:firstLineChars="200" w:firstLine="20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3" Type="http://schemas.openxmlformats.org/officeDocument/2006/relationships/settings" Target="settings.xml"/><Relationship Id="rId7" Type="http://schemas.openxmlformats.org/officeDocument/2006/relationships/image" Target="media/image3.t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"/><Relationship Id="rId11" Type="http://schemas.openxmlformats.org/officeDocument/2006/relationships/fontTable" Target="fontTable.xml"/><Relationship Id="rId5" Type="http://schemas.openxmlformats.org/officeDocument/2006/relationships/image" Target="media/image1.tif"/><Relationship Id="rId10" Type="http://schemas.openxmlformats.org/officeDocument/2006/relationships/image" Target="media/image6.tif"/><Relationship Id="rId4" Type="http://schemas.openxmlformats.org/officeDocument/2006/relationships/webSettings" Target="webSettings.xml"/><Relationship Id="rId9" Type="http://schemas.openxmlformats.org/officeDocument/2006/relationships/image" Target="media/image5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5BD13-B257-454F-B12D-14EEE81D6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894</Words>
  <Characters>5102</Characters>
  <Application>Microsoft Office Word</Application>
  <DocSecurity>0</DocSecurity>
  <Lines>42</Lines>
  <Paragraphs>11</Paragraphs>
  <ScaleCrop>false</ScaleCrop>
  <Company/>
  <LinksUpToDate>false</LinksUpToDate>
  <CharactersWithSpaces>5985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 嘉茵</dc:creator>
  <cp:keywords/>
  <dc:description/>
  <cp:lastModifiedBy>苏 嘉茵</cp:lastModifiedBy>
  <cp:revision>1</cp:revision>
  <dcterms:created xsi:type="dcterms:W3CDTF">2022-04-10T13:19:00Z</dcterms:created>
  <dcterms:modified xsi:type="dcterms:W3CDTF">2022-04-10T13:22:00Z</dcterms:modified>
</cp:coreProperties>
</file>