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676BC4" w14:textId="77777777" w:rsidR="00E8702E" w:rsidRDefault="00E8702E" w:rsidP="00E8702E">
      <w:pPr>
        <w:spacing w:line="480" w:lineRule="auto"/>
        <w:jc w:val="left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Abstract </w:t>
      </w:r>
    </w:p>
    <w:p w14:paraId="7E9DFD24" w14:textId="77777777" w:rsidR="00E8702E" w:rsidRDefault="00E8702E" w:rsidP="00E8702E">
      <w:pPr>
        <w:spacing w:line="480" w:lineRule="auto"/>
        <w:jc w:val="left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Background: </w:t>
      </w:r>
      <w:r>
        <w:rPr>
          <w:rFonts w:ascii="Arial" w:eastAsia="宋体" w:hAnsi="Arial" w:cs="Arial"/>
          <w:sz w:val="22"/>
        </w:rPr>
        <w:t xml:space="preserve">Transmission-blocking vaccine (TBV) is a promising strategy for malaria elimination. It is hypothesized that </w:t>
      </w:r>
      <w:bookmarkStart w:id="0" w:name="OLE_LINK10"/>
      <w:r>
        <w:rPr>
          <w:rFonts w:ascii="Arial" w:eastAsia="宋体" w:hAnsi="Arial" w:cs="Arial"/>
          <w:sz w:val="22"/>
        </w:rPr>
        <w:t>mixing or fusing</w:t>
      </w:r>
      <w:bookmarkEnd w:id="0"/>
      <w:r>
        <w:rPr>
          <w:rFonts w:ascii="Arial" w:eastAsia="宋体" w:hAnsi="Arial" w:cs="Arial"/>
          <w:sz w:val="22"/>
        </w:rPr>
        <w:t xml:space="preserve"> two antigens targeting different stages of sexual development may provide higher transmission-blocking activity than these antigens are used individually.</w:t>
      </w:r>
    </w:p>
    <w:p w14:paraId="0E053E19" w14:textId="77777777" w:rsidR="00E8702E" w:rsidRDefault="00E8702E" w:rsidP="00E8702E">
      <w:pPr>
        <w:spacing w:line="480" w:lineRule="auto"/>
        <w:jc w:val="left"/>
        <w:rPr>
          <w:rFonts w:ascii="Arial" w:eastAsia="宋体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Methods: </w:t>
      </w:r>
      <w:r>
        <w:rPr>
          <w:rFonts w:ascii="Arial" w:eastAsia="宋体" w:hAnsi="Arial" w:cs="Arial"/>
          <w:sz w:val="22"/>
        </w:rPr>
        <w:t xml:space="preserve">We designed a chimeric protein composed of fragments of Pbg37 and PSOP25 and expressed the recombinant protein in </w:t>
      </w:r>
      <w:r>
        <w:rPr>
          <w:rFonts w:ascii="Arial" w:eastAsia="宋体" w:hAnsi="Arial" w:cs="Arial"/>
          <w:i/>
          <w:iCs/>
          <w:sz w:val="22"/>
        </w:rPr>
        <w:t xml:space="preserve">Escherichia coli </w:t>
      </w:r>
      <w:r>
        <w:rPr>
          <w:rFonts w:ascii="Arial" w:eastAsia="宋体" w:hAnsi="Arial" w:cs="Arial"/>
          <w:sz w:val="22"/>
        </w:rPr>
        <w:t>Rosetta-</w:t>
      </w:r>
      <w:proofErr w:type="spellStart"/>
      <w:r>
        <w:rPr>
          <w:rFonts w:ascii="Arial" w:eastAsia="宋体" w:hAnsi="Arial" w:cs="Arial"/>
          <w:sz w:val="22"/>
        </w:rPr>
        <w:t>gami</w:t>
      </w:r>
      <w:proofErr w:type="spellEnd"/>
      <w:r>
        <w:rPr>
          <w:rFonts w:ascii="Arial" w:eastAsia="宋体" w:hAnsi="Arial" w:cs="Arial"/>
          <w:sz w:val="22"/>
        </w:rPr>
        <w:t xml:space="preserve"> B (DE3). After immunizing mice with mixing or fusing recombinant protein</w:t>
      </w:r>
      <w:r>
        <w:rPr>
          <w:rFonts w:ascii="Arial" w:eastAsia="宋体" w:hAnsi="Arial" w:cs="Arial" w:hint="eastAsia"/>
          <w:sz w:val="22"/>
        </w:rPr>
        <w:t>s</w:t>
      </w:r>
      <w:r>
        <w:rPr>
          <w:rFonts w:ascii="Arial" w:eastAsia="宋体" w:hAnsi="Arial" w:cs="Arial"/>
          <w:sz w:val="22"/>
        </w:rPr>
        <w:t>, t</w:t>
      </w:r>
      <w:r>
        <w:rPr>
          <w:rFonts w:ascii="Arial" w:hAnsi="Arial" w:cs="Arial"/>
          <w:sz w:val="22"/>
        </w:rPr>
        <w:t>he antibody titers of sera</w:t>
      </w:r>
      <w:r>
        <w:rPr>
          <w:rFonts w:ascii="Arial" w:hAnsi="Arial" w:cs="Arial" w:hint="eastAsia"/>
          <w:sz w:val="22"/>
        </w:rPr>
        <w:t xml:space="preserve"> were</w:t>
      </w:r>
      <w:r>
        <w:rPr>
          <w:rFonts w:ascii="Arial" w:hAnsi="Arial" w:cs="Arial"/>
          <w:sz w:val="22"/>
        </w:rPr>
        <w:t xml:space="preserve"> analyzed by ELISA</w:t>
      </w:r>
      <w:r>
        <w:rPr>
          <w:rFonts w:ascii="Arial" w:hAnsi="Arial" w:cs="Arial" w:hint="eastAsia"/>
          <w:sz w:val="22"/>
        </w:rPr>
        <w:t>.</w:t>
      </w:r>
      <w:r>
        <w:rPr>
          <w:rFonts w:ascii="Arial" w:eastAsia="宋体" w:hAnsi="Arial" w:cs="Arial"/>
          <w:sz w:val="22"/>
        </w:rPr>
        <w:t xml:space="preserve"> IFA and Western </w:t>
      </w:r>
      <w:r>
        <w:rPr>
          <w:rFonts w:ascii="Arial" w:eastAsia="宋体" w:hAnsi="Arial" w:cs="Arial" w:hint="eastAsia"/>
          <w:sz w:val="22"/>
        </w:rPr>
        <w:t>b</w:t>
      </w:r>
      <w:r>
        <w:rPr>
          <w:rFonts w:ascii="Arial" w:eastAsia="宋体" w:hAnsi="Arial" w:cs="Arial"/>
          <w:sz w:val="22"/>
        </w:rPr>
        <w:t xml:space="preserve">lot were performed to test the reactivity of the antisera with the native proteins of the parasite. The transmission blocking activity were assessed </w:t>
      </w:r>
      <w:r>
        <w:rPr>
          <w:rFonts w:ascii="Arial" w:eastAsia="宋体" w:hAnsi="Arial" w:cs="Arial"/>
          <w:i/>
          <w:iCs/>
          <w:sz w:val="22"/>
        </w:rPr>
        <w:t>in vitro</w:t>
      </w:r>
      <w:r>
        <w:rPr>
          <w:rFonts w:ascii="Arial" w:eastAsia="宋体" w:hAnsi="Arial" w:cs="Arial"/>
          <w:sz w:val="22"/>
        </w:rPr>
        <w:t xml:space="preserve"> and </w:t>
      </w:r>
      <w:r>
        <w:rPr>
          <w:rFonts w:ascii="Arial" w:eastAsia="宋体" w:hAnsi="Arial" w:cs="Arial"/>
          <w:i/>
          <w:iCs/>
          <w:sz w:val="22"/>
        </w:rPr>
        <w:t>in vivo</w:t>
      </w:r>
      <w:r>
        <w:rPr>
          <w:rFonts w:ascii="Arial" w:eastAsia="宋体" w:hAnsi="Arial" w:cs="Arial" w:hint="eastAsia"/>
          <w:sz w:val="22"/>
        </w:rPr>
        <w:t xml:space="preserve"> assay</w:t>
      </w:r>
      <w:r>
        <w:rPr>
          <w:rFonts w:ascii="Arial" w:eastAsia="宋体" w:hAnsi="Arial" w:cs="Arial"/>
          <w:sz w:val="22"/>
        </w:rPr>
        <w:t xml:space="preserve">. </w:t>
      </w:r>
    </w:p>
    <w:p w14:paraId="7A2C0DD6" w14:textId="77777777" w:rsidR="00E8702E" w:rsidRDefault="00E8702E" w:rsidP="00E8702E">
      <w:pPr>
        <w:spacing w:line="480" w:lineRule="auto"/>
        <w:jc w:val="left"/>
        <w:rPr>
          <w:rFonts w:ascii="Arial" w:eastAsia="宋体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Results: </w:t>
      </w:r>
      <w:r>
        <w:rPr>
          <w:rFonts w:ascii="Arial" w:hAnsi="Arial" w:cs="Arial"/>
          <w:sz w:val="22"/>
        </w:rPr>
        <w:t xml:space="preserve">When </w:t>
      </w:r>
      <w:r>
        <w:rPr>
          <w:rFonts w:ascii="Arial" w:eastAsia="宋体" w:hAnsi="Arial" w:cs="Arial"/>
          <w:sz w:val="22"/>
        </w:rPr>
        <w:t xml:space="preserve">Pbg37 and PSOP25 were co-administered in a mixture or as a fusion protein, they elicited similar antibody responses in mice as single antigens without causing immunological interference with each other. Antibodies against the mixed or fused antigens recognized the target proteins </w:t>
      </w:r>
      <w:bookmarkStart w:id="1" w:name="_Hlk59541142"/>
      <w:r>
        <w:rPr>
          <w:rFonts w:ascii="Arial" w:eastAsia="宋体" w:hAnsi="Arial" w:cs="Arial"/>
          <w:sz w:val="22"/>
        </w:rPr>
        <w:t xml:space="preserve">in the gametocyte, gamete, zygote and ookinete stages. </w:t>
      </w:r>
      <w:r>
        <w:rPr>
          <w:rFonts w:ascii="Arial" w:hAnsi="Arial" w:cs="Arial"/>
          <w:sz w:val="22"/>
        </w:rPr>
        <w:t>The two bivalent vaccines (mixed proteins or a fusion protein) produced the superior TBA compared to that of the antibodies against individual antigens.</w:t>
      </w:r>
      <w:bookmarkEnd w:id="1"/>
    </w:p>
    <w:p w14:paraId="071BB2E5" w14:textId="77777777" w:rsidR="00E8702E" w:rsidRDefault="00E8702E" w:rsidP="00E8702E">
      <w:pPr>
        <w:spacing w:line="480" w:lineRule="auto"/>
        <w:jc w:val="left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Conclusions:</w:t>
      </w:r>
      <w:r>
        <w:t xml:space="preserve"> </w:t>
      </w:r>
      <w:r>
        <w:rPr>
          <w:rFonts w:ascii="Arial" w:hAnsi="Arial" w:cs="Arial"/>
          <w:sz w:val="22"/>
        </w:rPr>
        <w:t xml:space="preserve">There was no immunological interference between the two antigens </w:t>
      </w:r>
      <w:r>
        <w:rPr>
          <w:rFonts w:ascii="Arial" w:hAnsi="Arial" w:cs="Arial" w:hint="eastAsia"/>
          <w:sz w:val="22"/>
        </w:rPr>
        <w:t>of</w:t>
      </w:r>
      <w:r>
        <w:rPr>
          <w:rFonts w:ascii="Arial" w:hAnsi="Arial" w:cs="Arial"/>
          <w:sz w:val="22"/>
        </w:rPr>
        <w:t xml:space="preserve"> </w:t>
      </w:r>
      <w:bookmarkStart w:id="2" w:name="OLE_LINK20"/>
      <w:r>
        <w:rPr>
          <w:rFonts w:ascii="Arial" w:hAnsi="Arial" w:cs="Arial"/>
          <w:sz w:val="22"/>
        </w:rPr>
        <w:t>bivalent vaccines</w:t>
      </w:r>
      <w:bookmarkEnd w:id="2"/>
      <w:r>
        <w:rPr>
          <w:rFonts w:ascii="Arial" w:hAnsi="Arial" w:cs="Arial" w:hint="eastAsia"/>
          <w:sz w:val="22"/>
        </w:rPr>
        <w:t>. And t</w:t>
      </w:r>
      <w:r>
        <w:rPr>
          <w:rFonts w:ascii="Arial" w:eastAsia="宋体" w:hAnsi="Arial" w:cs="Arial" w:hint="eastAsia"/>
          <w:sz w:val="22"/>
        </w:rPr>
        <w:t xml:space="preserve">he </w:t>
      </w:r>
      <w:r>
        <w:rPr>
          <w:rFonts w:ascii="Arial" w:hAnsi="Arial" w:cs="Arial"/>
          <w:sz w:val="22"/>
        </w:rPr>
        <w:t>bivalent vaccines</w:t>
      </w:r>
      <w:r>
        <w:rPr>
          <w:rFonts w:ascii="Arial" w:eastAsia="宋体" w:hAnsi="Arial" w:cs="Arial"/>
          <w:sz w:val="22"/>
        </w:rPr>
        <w:t xml:space="preserve"> produced significantly stronger transmission-blocking activities than single antigens. Altogether, these data provide the theoretical basis for the development of combination TBVs targeting different </w:t>
      </w:r>
      <w:r>
        <w:rPr>
          <w:rFonts w:ascii="Arial" w:eastAsia="宋体" w:hAnsi="Arial" w:cs="Arial"/>
          <w:sz w:val="22"/>
        </w:rPr>
        <w:lastRenderedPageBreak/>
        <w:t>sexual stages.</w:t>
      </w:r>
    </w:p>
    <w:p w14:paraId="4CAAC140" w14:textId="77777777" w:rsidR="00E8702E" w:rsidRDefault="00E8702E" w:rsidP="00E8702E">
      <w:pPr>
        <w:spacing w:line="480" w:lineRule="auto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Keywords:</w:t>
      </w:r>
      <w:r>
        <w:rPr>
          <w:rFonts w:ascii="Arial" w:hAnsi="Arial" w:cs="Arial"/>
          <w:sz w:val="22"/>
        </w:rPr>
        <w:t xml:space="preserve"> transmission-blocking vaccine, </w:t>
      </w:r>
      <w:bookmarkStart w:id="3" w:name="_Hlk59540066"/>
      <w:r>
        <w:rPr>
          <w:rFonts w:ascii="Arial" w:hAnsi="Arial" w:cs="Arial"/>
          <w:sz w:val="22"/>
        </w:rPr>
        <w:t>dual-antigen</w:t>
      </w:r>
      <w:bookmarkEnd w:id="3"/>
      <w:r>
        <w:rPr>
          <w:rFonts w:ascii="Arial" w:hAnsi="Arial" w:cs="Arial"/>
          <w:sz w:val="22"/>
        </w:rPr>
        <w:t>, immunological interference, transmission-blocking activity</w:t>
      </w:r>
    </w:p>
    <w:p w14:paraId="561A403C" w14:textId="22613488" w:rsidR="00AD5632" w:rsidRPr="00E8702E" w:rsidRDefault="00E8702E">
      <w:r>
        <w:rPr>
          <w:noProof/>
        </w:rPr>
        <w:drawing>
          <wp:inline distT="0" distB="0" distL="0" distR="0" wp14:anchorId="2C2D0B2D" wp14:editId="40F9F088">
            <wp:extent cx="5276850" cy="41814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5632" w:rsidRPr="00E87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02E"/>
    <w:rsid w:val="00AD5632"/>
    <w:rsid w:val="00E8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0FB5D"/>
  <w15:chartTrackingRefBased/>
  <w15:docId w15:val="{F8476DAF-F037-48DD-B16C-4E3FE38D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70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259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2021-01-19T03:37:00Z</dcterms:created>
  <dcterms:modified xsi:type="dcterms:W3CDTF">2021-01-19T03:43:00Z</dcterms:modified>
</cp:coreProperties>
</file>