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2A145" w14:textId="5A1FF8BD" w:rsidR="00D9473B" w:rsidRPr="00B6478E" w:rsidRDefault="00D9473B" w:rsidP="005F18E5">
      <w:pPr>
        <w:spacing w:after="240" w:line="360" w:lineRule="auto"/>
        <w:jc w:val="center"/>
        <w:rPr>
          <w:rFonts w:ascii="Times New Roman" w:hAnsi="Times New Roman" w:cs="Times New Roman"/>
          <w:b/>
          <w:sz w:val="28"/>
          <w:szCs w:val="28"/>
          <w:lang w:val="en-US"/>
        </w:rPr>
      </w:pPr>
      <w:r w:rsidRPr="00B6478E">
        <w:rPr>
          <w:rFonts w:ascii="Times New Roman" w:hAnsi="Times New Roman" w:cs="Times New Roman"/>
          <w:b/>
          <w:sz w:val="28"/>
          <w:szCs w:val="28"/>
          <w:lang w:val="en-US"/>
        </w:rPr>
        <w:t xml:space="preserve">Supplementary </w:t>
      </w:r>
      <w:r w:rsidR="00DD1766">
        <w:rPr>
          <w:rFonts w:ascii="Times New Roman" w:hAnsi="Times New Roman" w:cs="Times New Roman"/>
          <w:b/>
          <w:sz w:val="28"/>
          <w:szCs w:val="28"/>
          <w:lang w:val="en-US"/>
        </w:rPr>
        <w:t>Information</w:t>
      </w:r>
    </w:p>
    <w:p w14:paraId="0CB6E478" w14:textId="77777777" w:rsidR="00AF0213" w:rsidRPr="00A422D0" w:rsidRDefault="00AF0213" w:rsidP="005F18E5">
      <w:pPr>
        <w:spacing w:after="240" w:line="360" w:lineRule="auto"/>
        <w:jc w:val="center"/>
        <w:rPr>
          <w:rFonts w:ascii="Times New Roman" w:hAnsi="Times New Roman" w:cs="Times New Roman"/>
          <w:b/>
          <w:sz w:val="24"/>
          <w:szCs w:val="24"/>
          <w:lang w:val="en-US"/>
        </w:rPr>
      </w:pPr>
    </w:p>
    <w:p w14:paraId="252EBBB3" w14:textId="6503E725" w:rsidR="00AF0213" w:rsidRPr="00DD1766" w:rsidRDefault="00AF0213" w:rsidP="005F18E5">
      <w:pPr>
        <w:spacing w:after="240" w:line="360" w:lineRule="auto"/>
        <w:rPr>
          <w:rFonts w:ascii="Times New Roman" w:hAnsi="Times New Roman" w:cs="Times New Roman"/>
          <w:bCs/>
          <w:sz w:val="24"/>
          <w:szCs w:val="24"/>
          <w:lang w:val="en-US"/>
        </w:rPr>
      </w:pPr>
      <w:r w:rsidRPr="00DD1766">
        <w:rPr>
          <w:rFonts w:ascii="Times New Roman" w:hAnsi="Times New Roman" w:cs="Times New Roman"/>
          <w:bCs/>
          <w:sz w:val="24"/>
          <w:szCs w:val="24"/>
          <w:lang w:val="en-US"/>
        </w:rPr>
        <w:t xml:space="preserve">This </w:t>
      </w:r>
      <w:r w:rsidR="00DD1766" w:rsidRPr="00DD1766">
        <w:rPr>
          <w:rFonts w:ascii="Times New Roman" w:hAnsi="Times New Roman" w:cs="Times New Roman"/>
          <w:bCs/>
          <w:sz w:val="24"/>
          <w:szCs w:val="24"/>
          <w:lang w:val="en-US"/>
        </w:rPr>
        <w:t>information</w:t>
      </w:r>
      <w:r w:rsidRPr="00DD1766">
        <w:rPr>
          <w:rFonts w:ascii="Times New Roman" w:hAnsi="Times New Roman" w:cs="Times New Roman"/>
          <w:bCs/>
          <w:sz w:val="24"/>
          <w:szCs w:val="24"/>
          <w:lang w:val="en-US"/>
        </w:rPr>
        <w:t xml:space="preserve"> has been provided by the authors to give readers additional information about their work.</w:t>
      </w:r>
    </w:p>
    <w:p w14:paraId="2CC1FC26" w14:textId="77777777" w:rsidR="00DD1766" w:rsidRDefault="00AF0213" w:rsidP="005F18E5">
      <w:pPr>
        <w:spacing w:after="240" w:line="360" w:lineRule="auto"/>
        <w:rPr>
          <w:rFonts w:ascii="Times New Roman" w:hAnsi="Times New Roman" w:cs="Times New Roman"/>
          <w:bCs/>
          <w:sz w:val="24"/>
          <w:szCs w:val="24"/>
          <w:lang w:val="en-US"/>
        </w:rPr>
      </w:pPr>
      <w:r w:rsidRPr="00DD1766">
        <w:rPr>
          <w:rFonts w:ascii="Times New Roman" w:hAnsi="Times New Roman" w:cs="Times New Roman"/>
          <w:bCs/>
          <w:sz w:val="24"/>
          <w:szCs w:val="24"/>
          <w:lang w:val="en-US"/>
        </w:rPr>
        <w:t xml:space="preserve">Supplement to: </w:t>
      </w:r>
    </w:p>
    <w:p w14:paraId="0F5AEF14" w14:textId="77777777" w:rsidR="00DD1766" w:rsidRDefault="00B6478E" w:rsidP="005F18E5">
      <w:pPr>
        <w:spacing w:after="240" w:line="360" w:lineRule="auto"/>
        <w:rPr>
          <w:rFonts w:ascii="Times New Roman" w:hAnsi="Times New Roman" w:cs="Times New Roman"/>
          <w:bCs/>
          <w:sz w:val="24"/>
          <w:szCs w:val="24"/>
          <w:lang w:val="en-US"/>
        </w:rPr>
      </w:pPr>
      <w:r w:rsidRPr="00DD1766">
        <w:rPr>
          <w:rFonts w:ascii="Times New Roman" w:hAnsi="Times New Roman" w:cs="Times New Roman"/>
          <w:bCs/>
          <w:sz w:val="24"/>
          <w:szCs w:val="24"/>
          <w:lang w:val="en-US"/>
        </w:rPr>
        <w:t>Holm H, Ivarsdottir EV</w:t>
      </w:r>
      <w:r w:rsidR="00DD1766">
        <w:rPr>
          <w:rFonts w:ascii="Times New Roman" w:hAnsi="Times New Roman" w:cs="Times New Roman"/>
          <w:bCs/>
          <w:sz w:val="24"/>
          <w:szCs w:val="24"/>
          <w:lang w:val="en-US"/>
        </w:rPr>
        <w:t>, Olafsdottir Th</w:t>
      </w:r>
      <w:r w:rsidRPr="00DD1766">
        <w:rPr>
          <w:rFonts w:ascii="Times New Roman" w:hAnsi="Times New Roman" w:cs="Times New Roman"/>
          <w:bCs/>
          <w:sz w:val="24"/>
          <w:szCs w:val="24"/>
          <w:lang w:val="en-US"/>
        </w:rPr>
        <w:t xml:space="preserve">, et al. </w:t>
      </w:r>
    </w:p>
    <w:p w14:paraId="1AB61D1C" w14:textId="28F30D88" w:rsidR="001A748A" w:rsidRPr="00DD1766" w:rsidRDefault="00DD1766" w:rsidP="005F18E5">
      <w:pPr>
        <w:spacing w:after="240" w:line="360" w:lineRule="auto"/>
        <w:rPr>
          <w:rFonts w:ascii="Times New Roman" w:hAnsi="Times New Roman" w:cs="Times New Roman"/>
          <w:bCs/>
          <w:sz w:val="24"/>
          <w:szCs w:val="24"/>
          <w:lang w:val="en-US"/>
        </w:rPr>
      </w:pPr>
      <w:r w:rsidRPr="00DD1766">
        <w:rPr>
          <w:rFonts w:ascii="Times New Roman" w:hAnsi="Times New Roman" w:cs="Times New Roman"/>
          <w:bCs/>
          <w:sz w:val="24"/>
          <w:szCs w:val="24"/>
          <w:lang w:val="en-US"/>
        </w:rPr>
        <w:t>Symptoms, physical measures and cognitive tests after SARS-CoV-2 infection in a large population-based case-control study</w:t>
      </w:r>
    </w:p>
    <w:p w14:paraId="3BABF79F" w14:textId="4F4765C1" w:rsidR="00153EEF" w:rsidRPr="00DD1766" w:rsidRDefault="00153EEF">
      <w:pPr>
        <w:rPr>
          <w:rFonts w:ascii="Times New Roman" w:hAnsi="Times New Roman" w:cs="Times New Roman"/>
          <w:bCs/>
          <w:sz w:val="24"/>
          <w:szCs w:val="24"/>
          <w:lang w:val="en-US"/>
        </w:rPr>
      </w:pPr>
      <w:r w:rsidRPr="00DD1766">
        <w:rPr>
          <w:rFonts w:ascii="Times New Roman" w:hAnsi="Times New Roman" w:cs="Times New Roman"/>
          <w:bCs/>
          <w:sz w:val="24"/>
          <w:szCs w:val="24"/>
          <w:lang w:val="en-US"/>
        </w:rPr>
        <w:br w:type="page"/>
      </w:r>
    </w:p>
    <w:p w14:paraId="5B7722D6" w14:textId="77777777" w:rsidR="00070479" w:rsidRDefault="00070479" w:rsidP="00070479">
      <w:pPr>
        <w:rPr>
          <w:rFonts w:ascii="Times New Roman" w:hAnsi="Times New Roman" w:cs="Times New Roman"/>
          <w:b/>
          <w:sz w:val="24"/>
          <w:szCs w:val="24"/>
        </w:rPr>
      </w:pPr>
      <w:bookmarkStart w:id="0" w:name="_Hlk93939479"/>
      <w:r>
        <w:rPr>
          <w:rFonts w:ascii="Times New Roman" w:hAnsi="Times New Roman" w:cs="Times New Roman"/>
          <w:b/>
          <w:sz w:val="24"/>
          <w:szCs w:val="24"/>
        </w:rPr>
        <w:lastRenderedPageBreak/>
        <w:t>S</w:t>
      </w:r>
      <w:r w:rsidRPr="005635D8">
        <w:rPr>
          <w:rFonts w:ascii="Times New Roman" w:hAnsi="Times New Roman" w:cs="Times New Roman"/>
          <w:b/>
          <w:sz w:val="24"/>
          <w:szCs w:val="24"/>
        </w:rPr>
        <w:t>ymptoms</w:t>
      </w:r>
      <w:r>
        <w:rPr>
          <w:rFonts w:ascii="Times New Roman" w:hAnsi="Times New Roman" w:cs="Times New Roman"/>
          <w:b/>
          <w:sz w:val="24"/>
          <w:szCs w:val="24"/>
        </w:rPr>
        <w:t xml:space="preserve">, </w:t>
      </w:r>
      <w:r w:rsidRPr="005635D8">
        <w:rPr>
          <w:rFonts w:ascii="Times New Roman" w:hAnsi="Times New Roman" w:cs="Times New Roman"/>
          <w:b/>
          <w:sz w:val="24"/>
          <w:szCs w:val="24"/>
        </w:rPr>
        <w:t xml:space="preserve">physical </w:t>
      </w:r>
      <w:r>
        <w:rPr>
          <w:rFonts w:ascii="Times New Roman" w:hAnsi="Times New Roman" w:cs="Times New Roman"/>
          <w:b/>
          <w:sz w:val="24"/>
          <w:szCs w:val="24"/>
        </w:rPr>
        <w:t>measures and</w:t>
      </w:r>
      <w:r w:rsidRPr="005635D8">
        <w:rPr>
          <w:rFonts w:ascii="Times New Roman" w:hAnsi="Times New Roman" w:cs="Times New Roman"/>
          <w:b/>
          <w:sz w:val="24"/>
          <w:szCs w:val="24"/>
        </w:rPr>
        <w:t xml:space="preserve"> cognitive </w:t>
      </w:r>
      <w:r>
        <w:rPr>
          <w:rFonts w:ascii="Times New Roman" w:hAnsi="Times New Roman" w:cs="Times New Roman"/>
          <w:b/>
          <w:sz w:val="24"/>
          <w:szCs w:val="24"/>
        </w:rPr>
        <w:t>tests</w:t>
      </w:r>
      <w:r w:rsidRPr="005635D8">
        <w:rPr>
          <w:rFonts w:ascii="Times New Roman" w:hAnsi="Times New Roman" w:cs="Times New Roman"/>
          <w:b/>
          <w:sz w:val="24"/>
          <w:szCs w:val="24"/>
        </w:rPr>
        <w:t xml:space="preserve"> after SARS-CoV-2 infection in </w:t>
      </w:r>
      <w:r>
        <w:rPr>
          <w:rFonts w:ascii="Times New Roman" w:hAnsi="Times New Roman" w:cs="Times New Roman"/>
          <w:b/>
          <w:sz w:val="24"/>
          <w:szCs w:val="24"/>
        </w:rPr>
        <w:t>a large population</w:t>
      </w:r>
      <w:r w:rsidRPr="005635D8">
        <w:rPr>
          <w:rFonts w:ascii="Times New Roman" w:hAnsi="Times New Roman" w:cs="Times New Roman"/>
          <w:b/>
          <w:sz w:val="24"/>
          <w:szCs w:val="24"/>
        </w:rPr>
        <w:t>-based case-control study</w:t>
      </w:r>
    </w:p>
    <w:bookmarkEnd w:id="0"/>
    <w:p w14:paraId="04804031" w14:textId="77777777" w:rsidR="00070479" w:rsidRDefault="00070479" w:rsidP="00070479">
      <w:pPr>
        <w:rPr>
          <w:rFonts w:ascii="Times New Roman" w:hAnsi="Times New Roman" w:cs="Times New Roman"/>
          <w:b/>
          <w:sz w:val="24"/>
          <w:szCs w:val="24"/>
        </w:rPr>
      </w:pPr>
    </w:p>
    <w:p w14:paraId="472B401D" w14:textId="77777777" w:rsidR="00070479" w:rsidRPr="00985CBB" w:rsidRDefault="00070479" w:rsidP="00070479">
      <w:pPr>
        <w:rPr>
          <w:rFonts w:ascii="Times New Roman" w:hAnsi="Times New Roman" w:cs="Times New Roman"/>
          <w:sz w:val="24"/>
          <w:szCs w:val="24"/>
        </w:rPr>
      </w:pPr>
      <w:r w:rsidRPr="00125342">
        <w:rPr>
          <w:rFonts w:ascii="Times New Roman" w:hAnsi="Times New Roman" w:cs="Times New Roman"/>
          <w:sz w:val="24"/>
          <w:szCs w:val="24"/>
        </w:rPr>
        <w:t>Hilma Holm</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xml:space="preserve">, M.D.*, Erna </w:t>
      </w:r>
      <w:r>
        <w:rPr>
          <w:rFonts w:ascii="Times New Roman" w:hAnsi="Times New Roman" w:cs="Times New Roman"/>
          <w:sz w:val="24"/>
          <w:szCs w:val="24"/>
        </w:rPr>
        <w:t xml:space="preserve">V. </w:t>
      </w:r>
      <w:r w:rsidRPr="00125342">
        <w:rPr>
          <w:rFonts w:ascii="Times New Roman" w:hAnsi="Times New Roman" w:cs="Times New Roman"/>
          <w:sz w:val="24"/>
          <w:szCs w:val="24"/>
        </w:rPr>
        <w:t>Ivarsdottir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Thorhildur Olafsdottir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w:t>
      </w:r>
      <w:r>
        <w:rPr>
          <w:rFonts w:ascii="Times New Roman" w:hAnsi="Times New Roman" w:cs="Times New Roman"/>
          <w:sz w:val="24"/>
          <w:szCs w:val="24"/>
        </w:rPr>
        <w:t>*</w:t>
      </w:r>
      <w:r w:rsidRPr="00125342">
        <w:rPr>
          <w:rFonts w:ascii="Times New Roman" w:hAnsi="Times New Roman" w:cs="Times New Roman"/>
          <w:sz w:val="24"/>
          <w:szCs w:val="24"/>
        </w:rPr>
        <w:t>, Rosa Thorolfsdottir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Ph.D., Elias Eythorsson</w:t>
      </w:r>
      <w:r w:rsidRPr="00125342">
        <w:rPr>
          <w:rFonts w:ascii="Times New Roman" w:hAnsi="Times New Roman" w:cs="Times New Roman"/>
          <w:sz w:val="24"/>
          <w:szCs w:val="24"/>
          <w:vertAlign w:val="superscript"/>
        </w:rPr>
        <w:t>2</w:t>
      </w:r>
      <w:r w:rsidRPr="00125342">
        <w:rPr>
          <w:rFonts w:ascii="Times New Roman" w:hAnsi="Times New Roman" w:cs="Times New Roman"/>
          <w:sz w:val="24"/>
          <w:szCs w:val="24"/>
        </w:rPr>
        <w:t>, M.D., Ph.D., Kristjan Norland</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Rosa Gisladottir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Gudrun Jonsdottir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Unnur Unnsteinsdóttir</w:t>
      </w:r>
      <w:r w:rsidRPr="00125342">
        <w:rPr>
          <w:rFonts w:ascii="Times New Roman" w:hAnsi="Times New Roman" w:cs="Times New Roman"/>
          <w:sz w:val="24"/>
          <w:szCs w:val="24"/>
          <w:vertAlign w:val="superscript"/>
        </w:rPr>
        <w:t>1</w:t>
      </w:r>
      <w:r>
        <w:rPr>
          <w:rFonts w:ascii="Times New Roman" w:hAnsi="Times New Roman" w:cs="Times New Roman"/>
          <w:sz w:val="24"/>
          <w:szCs w:val="24"/>
        </w:rPr>
        <w:t>, Ph.D., Kristin E.</w:t>
      </w:r>
      <w:r w:rsidRPr="00125342">
        <w:rPr>
          <w:rFonts w:ascii="Times New Roman" w:hAnsi="Times New Roman" w:cs="Times New Roman"/>
          <w:sz w:val="24"/>
          <w:szCs w:val="24"/>
        </w:rPr>
        <w:t xml:space="preserve"> Sveinsdottir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Benedikt A. Jonsson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xml:space="preserve">, </w:t>
      </w:r>
      <w:r>
        <w:rPr>
          <w:rFonts w:ascii="Times New Roman" w:hAnsi="Times New Roman" w:cs="Times New Roman"/>
          <w:sz w:val="24"/>
          <w:szCs w:val="24"/>
        </w:rPr>
        <w:t>M</w:t>
      </w:r>
      <w:r w:rsidRPr="00125342">
        <w:rPr>
          <w:rFonts w:ascii="Times New Roman" w:hAnsi="Times New Roman" w:cs="Times New Roman"/>
          <w:sz w:val="24"/>
          <w:szCs w:val="24"/>
        </w:rPr>
        <w:t>.Sc., Margret Andresdottir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M.Sc., David O. Arnar</w:t>
      </w:r>
      <w:r w:rsidRPr="00125342">
        <w:rPr>
          <w:rFonts w:ascii="Times New Roman" w:hAnsi="Times New Roman" w:cs="Times New Roman"/>
          <w:sz w:val="24"/>
          <w:szCs w:val="24"/>
          <w:vertAlign w:val="superscript"/>
        </w:rPr>
        <w:t>1,2,3</w:t>
      </w:r>
      <w:r w:rsidRPr="00125342">
        <w:rPr>
          <w:rFonts w:ascii="Times New Roman" w:hAnsi="Times New Roman" w:cs="Times New Roman"/>
          <w:sz w:val="24"/>
          <w:szCs w:val="24"/>
        </w:rPr>
        <w:t>, M.D., Ph.D, Asgeir O. Arnthorsson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M.Sc., Kolbrún Birgisdóttir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Kristbjorg Bjarnadottir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Sólveig Bjarnadóttir</w:t>
      </w:r>
      <w:r w:rsidRPr="00125342">
        <w:rPr>
          <w:rFonts w:ascii="Times New Roman" w:hAnsi="Times New Roman" w:cs="Times New Roman"/>
          <w:sz w:val="24"/>
          <w:szCs w:val="24"/>
          <w:vertAlign w:val="superscript"/>
        </w:rPr>
        <w:t>2,3</w:t>
      </w:r>
      <w:r w:rsidRPr="00125342">
        <w:rPr>
          <w:rFonts w:ascii="Times New Roman" w:hAnsi="Times New Roman" w:cs="Times New Roman"/>
          <w:sz w:val="24"/>
          <w:szCs w:val="24"/>
        </w:rPr>
        <w:t>, Gyda Bjornsdottir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xml:space="preserve">, Ph.D., </w:t>
      </w:r>
      <w:r>
        <w:rPr>
          <w:rFonts w:ascii="Times New Roman" w:hAnsi="Times New Roman" w:cs="Times New Roman"/>
          <w:sz w:val="24"/>
          <w:szCs w:val="24"/>
        </w:rPr>
        <w:t>Gudmundur Einarsson</w:t>
      </w:r>
      <w:r w:rsidRPr="00125342">
        <w:rPr>
          <w:rFonts w:ascii="Times New Roman" w:hAnsi="Times New Roman" w:cs="Times New Roman"/>
          <w:sz w:val="24"/>
          <w:szCs w:val="24"/>
          <w:vertAlign w:val="superscript"/>
        </w:rPr>
        <w:t>1</w:t>
      </w:r>
      <w:r>
        <w:rPr>
          <w:rFonts w:ascii="Times New Roman" w:hAnsi="Times New Roman" w:cs="Times New Roman"/>
          <w:sz w:val="24"/>
          <w:szCs w:val="24"/>
        </w:rPr>
        <w:t xml:space="preserve">, Ph.D., </w:t>
      </w:r>
      <w:r w:rsidRPr="00125342">
        <w:rPr>
          <w:rFonts w:ascii="Times New Roman" w:hAnsi="Times New Roman" w:cs="Times New Roman"/>
          <w:sz w:val="24"/>
          <w:szCs w:val="24"/>
        </w:rPr>
        <w:t>Berglind Eiriksdottir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Elisabet Eir Gardarsdottir</w:t>
      </w:r>
      <w:r w:rsidRPr="00E751A4">
        <w:rPr>
          <w:rFonts w:ascii="Times New Roman" w:hAnsi="Times New Roman" w:cs="Times New Roman"/>
          <w:sz w:val="24"/>
          <w:szCs w:val="24"/>
          <w:vertAlign w:val="superscript"/>
        </w:rPr>
        <w:t>1</w:t>
      </w:r>
      <w:r w:rsidRPr="00125342">
        <w:rPr>
          <w:rFonts w:ascii="Times New Roman" w:hAnsi="Times New Roman" w:cs="Times New Roman"/>
          <w:sz w:val="24"/>
          <w:szCs w:val="24"/>
        </w:rPr>
        <w:t>, Thorarinn Gislason</w:t>
      </w:r>
      <w:r w:rsidRPr="00125342">
        <w:rPr>
          <w:rFonts w:ascii="Times New Roman" w:hAnsi="Times New Roman" w:cs="Times New Roman"/>
          <w:sz w:val="24"/>
          <w:szCs w:val="24"/>
          <w:vertAlign w:val="superscript"/>
        </w:rPr>
        <w:t>2,3</w:t>
      </w:r>
      <w:r w:rsidRPr="00125342">
        <w:rPr>
          <w:rFonts w:ascii="Times New Roman" w:hAnsi="Times New Roman" w:cs="Times New Roman"/>
          <w:sz w:val="24"/>
          <w:szCs w:val="24"/>
        </w:rPr>
        <w:t>, M.D., Ph.D., Magnus Gottfredsson</w:t>
      </w:r>
      <w:r w:rsidRPr="00125342">
        <w:rPr>
          <w:rFonts w:ascii="Times New Roman" w:hAnsi="Times New Roman" w:cs="Times New Roman"/>
          <w:sz w:val="24"/>
          <w:szCs w:val="24"/>
          <w:vertAlign w:val="superscript"/>
        </w:rPr>
        <w:t>2,3</w:t>
      </w:r>
      <w:r w:rsidRPr="00125342">
        <w:rPr>
          <w:rFonts w:ascii="Times New Roman" w:hAnsi="Times New Roman" w:cs="Times New Roman"/>
          <w:sz w:val="24"/>
          <w:szCs w:val="24"/>
        </w:rPr>
        <w:t>, M.D., Ph.D, Steinunn Gudmundsdottir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M.Sc., Julius Gudmundsson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Kristbjorg Gunnarsdóttir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M.Sc., Anna Helgadottir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Ph.D., Dadi Helgason</w:t>
      </w:r>
      <w:r w:rsidRPr="00125342">
        <w:rPr>
          <w:rFonts w:ascii="Times New Roman" w:hAnsi="Times New Roman" w:cs="Times New Roman"/>
          <w:sz w:val="24"/>
          <w:szCs w:val="24"/>
          <w:vertAlign w:val="superscript"/>
        </w:rPr>
        <w:t>2</w:t>
      </w:r>
      <w:r w:rsidRPr="00125342">
        <w:rPr>
          <w:rFonts w:ascii="Times New Roman" w:hAnsi="Times New Roman" w:cs="Times New Roman"/>
          <w:sz w:val="24"/>
          <w:szCs w:val="24"/>
        </w:rPr>
        <w:t xml:space="preserve">, M.D., </w:t>
      </w:r>
      <w:r w:rsidRPr="004C58DF">
        <w:rPr>
          <w:rFonts w:ascii="Times New Roman" w:hAnsi="Times New Roman" w:cs="Times New Roman"/>
          <w:sz w:val="24"/>
          <w:szCs w:val="24"/>
        </w:rPr>
        <w:t>Ph.D., Ingibjorg Hinriksdottir</w:t>
      </w:r>
      <w:r w:rsidRPr="004C58DF">
        <w:rPr>
          <w:rFonts w:ascii="Times New Roman" w:hAnsi="Times New Roman" w:cs="Times New Roman"/>
          <w:sz w:val="24"/>
          <w:szCs w:val="24"/>
          <w:vertAlign w:val="superscript"/>
        </w:rPr>
        <w:t>4</w:t>
      </w:r>
      <w:r w:rsidRPr="004C58DF">
        <w:rPr>
          <w:rFonts w:ascii="Times New Roman" w:hAnsi="Times New Roman" w:cs="Times New Roman"/>
          <w:sz w:val="24"/>
          <w:szCs w:val="24"/>
        </w:rPr>
        <w:t>, M.D., Ragnar F. Ingvarsson</w:t>
      </w:r>
      <w:r w:rsidRPr="004C58DF">
        <w:rPr>
          <w:rFonts w:ascii="Times New Roman" w:hAnsi="Times New Roman" w:cs="Times New Roman"/>
          <w:sz w:val="24"/>
          <w:szCs w:val="24"/>
          <w:vertAlign w:val="superscript"/>
        </w:rPr>
        <w:t xml:space="preserve">2 </w:t>
      </w:r>
      <w:r w:rsidRPr="004C58DF">
        <w:rPr>
          <w:rFonts w:ascii="Times New Roman" w:hAnsi="Times New Roman" w:cs="Times New Roman"/>
          <w:sz w:val="24"/>
          <w:szCs w:val="24"/>
        </w:rPr>
        <w:t>, M.D, Sigga S. Jonasdottir</w:t>
      </w:r>
      <w:r w:rsidRPr="004C58DF">
        <w:rPr>
          <w:rFonts w:ascii="Times New Roman" w:hAnsi="Times New Roman" w:cs="Times New Roman"/>
          <w:sz w:val="24"/>
          <w:szCs w:val="24"/>
          <w:vertAlign w:val="superscript"/>
        </w:rPr>
        <w:t>1</w:t>
      </w:r>
      <w:r w:rsidRPr="004C58DF">
        <w:rPr>
          <w:rFonts w:ascii="Times New Roman" w:hAnsi="Times New Roman" w:cs="Times New Roman"/>
          <w:sz w:val="24"/>
          <w:szCs w:val="24"/>
        </w:rPr>
        <w:t>,</w:t>
      </w:r>
      <w:r w:rsidRPr="00125342">
        <w:rPr>
          <w:rFonts w:ascii="Times New Roman" w:hAnsi="Times New Roman" w:cs="Times New Roman"/>
          <w:sz w:val="24"/>
          <w:szCs w:val="24"/>
        </w:rPr>
        <w:t xml:space="preserve"> Ph.D., Ingileif Jonsdottir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Tekla H. Karlsdottir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Anna M. Kristinsdottir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xml:space="preserve">, M.Sc., </w:t>
      </w:r>
      <w:r w:rsidRPr="00587260">
        <w:rPr>
          <w:rFonts w:ascii="Times New Roman" w:hAnsi="Times New Roman" w:cs="Times New Roman"/>
          <w:sz w:val="24"/>
          <w:szCs w:val="24"/>
        </w:rPr>
        <w:t>Sigurdur Yngvi Kristinsson</w:t>
      </w:r>
      <w:r w:rsidRPr="001860D1">
        <w:rPr>
          <w:rFonts w:ascii="Times New Roman" w:hAnsi="Times New Roman" w:cs="Times New Roman"/>
          <w:sz w:val="24"/>
          <w:szCs w:val="24"/>
          <w:vertAlign w:val="superscript"/>
        </w:rPr>
        <w:t>2,</w:t>
      </w:r>
      <w:r w:rsidRPr="00587260">
        <w:rPr>
          <w:rFonts w:ascii="Times New Roman" w:hAnsi="Times New Roman" w:cs="Times New Roman"/>
          <w:sz w:val="24"/>
          <w:szCs w:val="24"/>
          <w:vertAlign w:val="superscript"/>
        </w:rPr>
        <w:t>3</w:t>
      </w:r>
      <w:r>
        <w:rPr>
          <w:rFonts w:ascii="Times New Roman" w:hAnsi="Times New Roman" w:cs="Times New Roman"/>
          <w:sz w:val="24"/>
          <w:szCs w:val="24"/>
        </w:rPr>
        <w:t>,</w:t>
      </w:r>
      <w:r w:rsidRPr="00587260">
        <w:rPr>
          <w:rFonts w:ascii="Times New Roman" w:hAnsi="Times New Roman" w:cs="Times New Roman"/>
          <w:sz w:val="24"/>
          <w:szCs w:val="24"/>
        </w:rPr>
        <w:t xml:space="preserve"> M.D., Ph.D., </w:t>
      </w:r>
      <w:r w:rsidRPr="00125342">
        <w:rPr>
          <w:rFonts w:ascii="Times New Roman" w:hAnsi="Times New Roman" w:cs="Times New Roman"/>
          <w:sz w:val="24"/>
          <w:szCs w:val="24"/>
        </w:rPr>
        <w:t>Steinunn Kristjánsdótti</w:t>
      </w:r>
      <w:r>
        <w:rPr>
          <w:rFonts w:ascii="Times New Roman" w:hAnsi="Times New Roman" w:cs="Times New Roman"/>
          <w:sz w:val="24"/>
          <w:szCs w:val="24"/>
        </w:rPr>
        <w:t>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xml:space="preserve">, B.Sc., </w:t>
      </w:r>
      <w:r w:rsidRPr="00587260">
        <w:rPr>
          <w:rFonts w:ascii="Times New Roman" w:hAnsi="Times New Roman" w:cs="Times New Roman"/>
          <w:sz w:val="24"/>
          <w:szCs w:val="24"/>
        </w:rPr>
        <w:t>Thorvardur J. Love</w:t>
      </w:r>
      <w:r w:rsidRPr="001860D1">
        <w:rPr>
          <w:rFonts w:ascii="Times New Roman" w:hAnsi="Times New Roman" w:cs="Times New Roman"/>
          <w:sz w:val="24"/>
          <w:szCs w:val="24"/>
          <w:vertAlign w:val="superscript"/>
        </w:rPr>
        <w:t>2,</w:t>
      </w:r>
      <w:r w:rsidRPr="00587260">
        <w:rPr>
          <w:rFonts w:ascii="Times New Roman" w:hAnsi="Times New Roman" w:cs="Times New Roman"/>
          <w:sz w:val="24"/>
          <w:szCs w:val="24"/>
          <w:vertAlign w:val="superscript"/>
        </w:rPr>
        <w:t>3</w:t>
      </w:r>
      <w:r w:rsidRPr="00587260">
        <w:rPr>
          <w:rFonts w:ascii="Times New Roman" w:hAnsi="Times New Roman" w:cs="Times New Roman"/>
          <w:sz w:val="24"/>
          <w:szCs w:val="24"/>
        </w:rPr>
        <w:t>, M.D., Ph.D., Dora</w:t>
      </w:r>
      <w:r w:rsidRPr="00125342">
        <w:rPr>
          <w:rFonts w:ascii="Times New Roman" w:hAnsi="Times New Roman" w:cs="Times New Roman"/>
          <w:sz w:val="24"/>
          <w:szCs w:val="24"/>
        </w:rPr>
        <w:t xml:space="preserve"> Ludviksdottir</w:t>
      </w:r>
      <w:r w:rsidRPr="00125342">
        <w:rPr>
          <w:rFonts w:ascii="Times New Roman" w:hAnsi="Times New Roman" w:cs="Times New Roman"/>
          <w:sz w:val="24"/>
          <w:szCs w:val="24"/>
          <w:vertAlign w:val="superscript"/>
        </w:rPr>
        <w:t>2,3</w:t>
      </w:r>
      <w:r w:rsidRPr="00125342">
        <w:rPr>
          <w:rFonts w:ascii="Times New Roman" w:hAnsi="Times New Roman" w:cs="Times New Roman"/>
          <w:sz w:val="24"/>
          <w:szCs w:val="24"/>
        </w:rPr>
        <w:t>, M.D., Ph.D., Gisli Masson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Gudmundur Norddahl</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Thorunn Olafsdottir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Isleifur Olafsson</w:t>
      </w:r>
      <w:r w:rsidRPr="00125342">
        <w:rPr>
          <w:rFonts w:ascii="Times New Roman" w:hAnsi="Times New Roman" w:cs="Times New Roman"/>
          <w:sz w:val="24"/>
          <w:szCs w:val="24"/>
          <w:vertAlign w:val="superscript"/>
        </w:rPr>
        <w:t>5</w:t>
      </w:r>
      <w:r w:rsidRPr="00125342">
        <w:rPr>
          <w:rFonts w:ascii="Times New Roman" w:hAnsi="Times New Roman" w:cs="Times New Roman"/>
          <w:sz w:val="24"/>
          <w:szCs w:val="24"/>
        </w:rPr>
        <w:t>, M.D., Ph.D., Thorunn Rafnar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Hrafnhildur L. Runolfsdottir</w:t>
      </w:r>
      <w:r w:rsidRPr="00125342">
        <w:rPr>
          <w:rFonts w:ascii="Times New Roman" w:hAnsi="Times New Roman" w:cs="Times New Roman"/>
          <w:sz w:val="24"/>
          <w:szCs w:val="24"/>
          <w:vertAlign w:val="superscript"/>
        </w:rPr>
        <w:t>2</w:t>
      </w:r>
      <w:r w:rsidRPr="00125342">
        <w:rPr>
          <w:rFonts w:ascii="Times New Roman" w:hAnsi="Times New Roman" w:cs="Times New Roman"/>
          <w:sz w:val="24"/>
          <w:szCs w:val="24"/>
        </w:rPr>
        <w:t>, M.D., Ph.D., Jona Saemundsdottir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Svanur Sigurbjornsson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Kristin Sigurdardottir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Engilbert Sigurdsson</w:t>
      </w:r>
      <w:r w:rsidRPr="00125342">
        <w:rPr>
          <w:rFonts w:ascii="Times New Roman" w:hAnsi="Times New Roman" w:cs="Times New Roman"/>
          <w:sz w:val="24"/>
          <w:szCs w:val="24"/>
          <w:vertAlign w:val="superscript"/>
        </w:rPr>
        <w:t>3,6</w:t>
      </w:r>
      <w:r w:rsidRPr="00125342">
        <w:rPr>
          <w:rFonts w:ascii="Times New Roman" w:hAnsi="Times New Roman" w:cs="Times New Roman"/>
          <w:sz w:val="24"/>
          <w:szCs w:val="24"/>
        </w:rPr>
        <w:t>, M.D., M.Sc., Martin I. Sigurdsson</w:t>
      </w:r>
      <w:r w:rsidRPr="00125342">
        <w:rPr>
          <w:rFonts w:ascii="Times New Roman" w:hAnsi="Times New Roman" w:cs="Times New Roman"/>
          <w:sz w:val="24"/>
          <w:szCs w:val="24"/>
          <w:vertAlign w:val="superscript"/>
        </w:rPr>
        <w:t>3,7</w:t>
      </w:r>
      <w:r w:rsidRPr="00125342">
        <w:rPr>
          <w:rFonts w:ascii="Times New Roman" w:hAnsi="Times New Roman" w:cs="Times New Roman"/>
          <w:sz w:val="24"/>
          <w:szCs w:val="24"/>
        </w:rPr>
        <w:t>, M.D., Ph.D., Emil L. Sigurdsson</w:t>
      </w:r>
      <w:r w:rsidRPr="00125342">
        <w:rPr>
          <w:rFonts w:ascii="Times New Roman" w:hAnsi="Times New Roman" w:cs="Times New Roman"/>
          <w:sz w:val="24"/>
          <w:szCs w:val="24"/>
          <w:vertAlign w:val="superscript"/>
        </w:rPr>
        <w:t>8,9</w:t>
      </w:r>
      <w:r w:rsidRPr="00125342">
        <w:rPr>
          <w:rFonts w:ascii="Times New Roman" w:hAnsi="Times New Roman" w:cs="Times New Roman"/>
          <w:sz w:val="24"/>
          <w:szCs w:val="24"/>
        </w:rPr>
        <w:t>, M.D., Ph.D., Valgerdur Steinthorsdottir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Gardar Sveinbjornsson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M.Sc., Emil A. Thorarensen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Bjarni Thorbjornsson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Brynja Thorsteinsdóttir</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B.Sc., Vinicius Tragante</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Magnus O. Ulfarsson</w:t>
      </w:r>
      <w:r w:rsidRPr="00125342">
        <w:rPr>
          <w:rFonts w:ascii="Times New Roman" w:hAnsi="Times New Roman" w:cs="Times New Roman"/>
          <w:sz w:val="24"/>
          <w:szCs w:val="24"/>
          <w:vertAlign w:val="superscript"/>
        </w:rPr>
        <w:t>1,10</w:t>
      </w:r>
      <w:r w:rsidRPr="00125342">
        <w:rPr>
          <w:rFonts w:ascii="Times New Roman" w:hAnsi="Times New Roman" w:cs="Times New Roman"/>
          <w:sz w:val="24"/>
          <w:szCs w:val="24"/>
        </w:rPr>
        <w:t>, Ph.D., Hreinn Stefansson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Ph.D., Thorsteinn Gislason</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Runolfur Palsson</w:t>
      </w:r>
      <w:r w:rsidRPr="00125342">
        <w:rPr>
          <w:rFonts w:ascii="Times New Roman" w:hAnsi="Times New Roman" w:cs="Times New Roman"/>
          <w:sz w:val="24"/>
          <w:szCs w:val="24"/>
          <w:vertAlign w:val="superscript"/>
        </w:rPr>
        <w:t>2,3</w:t>
      </w:r>
      <w:r w:rsidRPr="00125342">
        <w:rPr>
          <w:rFonts w:ascii="Times New Roman" w:hAnsi="Times New Roman" w:cs="Times New Roman"/>
          <w:sz w:val="24"/>
          <w:szCs w:val="24"/>
        </w:rPr>
        <w:t>, M.D., Mar Kristjansson</w:t>
      </w:r>
      <w:r w:rsidRPr="00125342">
        <w:rPr>
          <w:rFonts w:ascii="Times New Roman" w:hAnsi="Times New Roman" w:cs="Times New Roman"/>
          <w:sz w:val="24"/>
          <w:szCs w:val="24"/>
          <w:vertAlign w:val="superscript"/>
        </w:rPr>
        <w:t>2</w:t>
      </w:r>
      <w:r w:rsidRPr="00125342">
        <w:rPr>
          <w:rFonts w:ascii="Times New Roman" w:hAnsi="Times New Roman" w:cs="Times New Roman"/>
          <w:sz w:val="24"/>
          <w:szCs w:val="24"/>
        </w:rPr>
        <w:t>, M.D., Patrick Sulem</w:t>
      </w:r>
      <w:r w:rsidRPr="00125342">
        <w:rPr>
          <w:rFonts w:ascii="Times New Roman" w:hAnsi="Times New Roman" w:cs="Times New Roman"/>
          <w:sz w:val="24"/>
          <w:szCs w:val="24"/>
          <w:vertAlign w:val="superscript"/>
        </w:rPr>
        <w:t>1</w:t>
      </w:r>
      <w:r w:rsidRPr="00125342">
        <w:rPr>
          <w:rFonts w:ascii="Times New Roman" w:hAnsi="Times New Roman" w:cs="Times New Roman"/>
          <w:sz w:val="24"/>
          <w:szCs w:val="24"/>
        </w:rPr>
        <w:t>, M.D., Unnur Thorsteinsdottir</w:t>
      </w:r>
      <w:r w:rsidRPr="00125342">
        <w:rPr>
          <w:rFonts w:ascii="Times New Roman" w:hAnsi="Times New Roman" w:cs="Times New Roman"/>
          <w:sz w:val="24"/>
          <w:szCs w:val="24"/>
          <w:vertAlign w:val="superscript"/>
        </w:rPr>
        <w:t>1,3</w:t>
      </w:r>
      <w:r w:rsidRPr="00125342">
        <w:rPr>
          <w:rFonts w:ascii="Times New Roman" w:hAnsi="Times New Roman" w:cs="Times New Roman"/>
          <w:sz w:val="24"/>
          <w:szCs w:val="24"/>
        </w:rPr>
        <w:t>, Ph.D., Gudmundur Thorgeirsson</w:t>
      </w:r>
      <w:r w:rsidRPr="00125342">
        <w:rPr>
          <w:rFonts w:ascii="Times New Roman" w:hAnsi="Times New Roman" w:cs="Times New Roman"/>
          <w:sz w:val="24"/>
          <w:szCs w:val="24"/>
          <w:vertAlign w:val="superscript"/>
        </w:rPr>
        <w:t>1,3</w:t>
      </w:r>
      <w:r w:rsidRPr="00125342">
        <w:rPr>
          <w:rFonts w:ascii="Times New Roman" w:hAnsi="Times New Roman" w:cs="Times New Roman"/>
          <w:sz w:val="24"/>
          <w:szCs w:val="24"/>
        </w:rPr>
        <w:t>, M.D., Ph.D., Daniel F. Gudbjartsson</w:t>
      </w:r>
      <w:r w:rsidRPr="00125342">
        <w:rPr>
          <w:rFonts w:ascii="Times New Roman" w:hAnsi="Times New Roman" w:cs="Times New Roman"/>
          <w:sz w:val="24"/>
          <w:szCs w:val="24"/>
          <w:vertAlign w:val="superscript"/>
        </w:rPr>
        <w:t>1,11</w:t>
      </w:r>
      <w:r w:rsidRPr="00125342">
        <w:rPr>
          <w:rFonts w:ascii="Times New Roman" w:hAnsi="Times New Roman" w:cs="Times New Roman"/>
          <w:sz w:val="24"/>
          <w:szCs w:val="24"/>
        </w:rPr>
        <w:t>, Ph.D., Kari Stefansson</w:t>
      </w:r>
      <w:r w:rsidRPr="00125342">
        <w:rPr>
          <w:rFonts w:ascii="Times New Roman" w:hAnsi="Times New Roman" w:cs="Times New Roman"/>
          <w:sz w:val="24"/>
          <w:szCs w:val="24"/>
          <w:vertAlign w:val="superscript"/>
        </w:rPr>
        <w:t>1,3</w:t>
      </w:r>
      <w:r w:rsidRPr="00125342">
        <w:rPr>
          <w:rFonts w:ascii="Times New Roman" w:hAnsi="Times New Roman" w:cs="Times New Roman"/>
          <w:sz w:val="24"/>
          <w:szCs w:val="24"/>
        </w:rPr>
        <w:t>, M.D., Ph.D.</w:t>
      </w:r>
    </w:p>
    <w:p w14:paraId="614767BC" w14:textId="77777777" w:rsidR="00070479" w:rsidRPr="00985CBB" w:rsidRDefault="00070479" w:rsidP="00070479">
      <w:pPr>
        <w:rPr>
          <w:rFonts w:ascii="Times New Roman" w:hAnsi="Times New Roman" w:cs="Times New Roman"/>
          <w:sz w:val="24"/>
          <w:szCs w:val="24"/>
        </w:rPr>
      </w:pPr>
    </w:p>
    <w:p w14:paraId="0B6370EA"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1. deCODE genetics/Amgen Inc., Reykjavik, Iceland</w:t>
      </w:r>
    </w:p>
    <w:p w14:paraId="00EF7DC7"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2. Internal Medicine and Emergency Services, Landspitali – The National University Hospital of Iceland, Reykjavik, Iceland</w:t>
      </w:r>
    </w:p>
    <w:p w14:paraId="7EB8FAAE"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3. Faculty of Medicine, School of Health Sciences, University of Iceland, Reykjavik, Iceland.</w:t>
      </w:r>
    </w:p>
    <w:p w14:paraId="1975D8AE"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4. National Institute of Hearing and Speech in Iceland, Reykjavik, Iceland</w:t>
      </w:r>
    </w:p>
    <w:p w14:paraId="590646C7"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5. Clinical Laboratory Services, Diagnostics and Blood Bank, Landspitali – The National University Hospital of Iceland, Reykjavik, Iceland</w:t>
      </w:r>
    </w:p>
    <w:p w14:paraId="60D629A4"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6. Mental Health Services, Landspitali – The National University Hospital of Iceland, Reykjavik, Iceland</w:t>
      </w:r>
    </w:p>
    <w:p w14:paraId="13086142"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7. Perioperative Services, Landspitali – The National University Hospital of Iceland, Reykjavik, Iceland</w:t>
      </w:r>
    </w:p>
    <w:p w14:paraId="4387CAF0"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8. Department of Family Medicine, University of Iceland, Reykjavik, Iceland</w:t>
      </w:r>
    </w:p>
    <w:p w14:paraId="4B81283D"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9. Development Centre for Primary Health Care in Iceland, Reykjavik, Iceland</w:t>
      </w:r>
    </w:p>
    <w:p w14:paraId="34F177D7" w14:textId="77777777" w:rsidR="00070479" w:rsidRPr="00070479" w:rsidRDefault="00070479" w:rsidP="00070479">
      <w:pPr>
        <w:spacing w:after="0" w:line="240" w:lineRule="auto"/>
        <w:rPr>
          <w:rFonts w:ascii="Times New Roman" w:hAnsi="Times New Roman" w:cs="Times New Roman"/>
          <w:sz w:val="20"/>
          <w:szCs w:val="20"/>
          <w:lang w:val="en-US"/>
        </w:rPr>
      </w:pPr>
      <w:r w:rsidRPr="00070479">
        <w:rPr>
          <w:rFonts w:ascii="Times New Roman" w:hAnsi="Times New Roman" w:cs="Times New Roman"/>
          <w:sz w:val="20"/>
          <w:szCs w:val="20"/>
        </w:rPr>
        <w:t xml:space="preserve">10. </w:t>
      </w:r>
      <w:r w:rsidRPr="00070479">
        <w:rPr>
          <w:rFonts w:ascii="Times New Roman" w:hAnsi="Times New Roman" w:cs="Times New Roman"/>
          <w:sz w:val="20"/>
          <w:szCs w:val="20"/>
          <w:lang w:val="en-US"/>
        </w:rPr>
        <w:t>Faculty of Electrical and Computer Engineering, University of Iceland</w:t>
      </w:r>
    </w:p>
    <w:p w14:paraId="2E8F381E"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11. School of Engineering and Natural Sciences, University of Iceland, Reykjavik, Iceland</w:t>
      </w:r>
    </w:p>
    <w:p w14:paraId="4768958A" w14:textId="77777777" w:rsidR="00070479" w:rsidRPr="00070479" w:rsidRDefault="00070479" w:rsidP="00070479">
      <w:pPr>
        <w:spacing w:after="0" w:line="240" w:lineRule="auto"/>
        <w:rPr>
          <w:rFonts w:ascii="Times New Roman" w:hAnsi="Times New Roman" w:cs="Times New Roman"/>
          <w:sz w:val="20"/>
          <w:szCs w:val="20"/>
        </w:rPr>
      </w:pPr>
    </w:p>
    <w:p w14:paraId="123DA348" w14:textId="77777777" w:rsidR="00070479" w:rsidRPr="00070479" w:rsidRDefault="00070479" w:rsidP="00070479">
      <w:pPr>
        <w:spacing w:after="0" w:line="240" w:lineRule="auto"/>
        <w:rPr>
          <w:rFonts w:ascii="Times New Roman" w:hAnsi="Times New Roman" w:cs="Times New Roman"/>
          <w:sz w:val="20"/>
          <w:szCs w:val="20"/>
        </w:rPr>
      </w:pPr>
      <w:r w:rsidRPr="00070479">
        <w:rPr>
          <w:rFonts w:ascii="Times New Roman" w:hAnsi="Times New Roman" w:cs="Times New Roman"/>
          <w:sz w:val="20"/>
          <w:szCs w:val="20"/>
        </w:rPr>
        <w:t xml:space="preserve">*Hilma Holm, Erna V. Ivarsdottir and Thorhildur Olafsdottir share first authorship. </w:t>
      </w:r>
    </w:p>
    <w:p w14:paraId="61ADB3F5" w14:textId="77777777" w:rsidR="00070479" w:rsidRDefault="00070479" w:rsidP="00070479">
      <w:pPr>
        <w:rPr>
          <w:rFonts w:ascii="Times New Roman" w:hAnsi="Times New Roman" w:cs="Times New Roman"/>
          <w:sz w:val="24"/>
          <w:szCs w:val="24"/>
        </w:rPr>
      </w:pPr>
    </w:p>
    <w:p w14:paraId="46293F9E" w14:textId="77777777" w:rsidR="00070479" w:rsidRDefault="00070479">
      <w:r>
        <w:rPr>
          <w:b/>
          <w:bCs/>
        </w:rPr>
        <w:br w:type="page"/>
      </w:r>
    </w:p>
    <w:sdt>
      <w:sdtPr>
        <w:rPr>
          <w:rFonts w:asciiTheme="minorHAnsi" w:eastAsiaTheme="minorHAnsi" w:hAnsiTheme="minorHAnsi" w:cstheme="minorBidi"/>
          <w:b w:val="0"/>
          <w:bCs w:val="0"/>
          <w:color w:val="auto"/>
          <w:sz w:val="22"/>
          <w:szCs w:val="22"/>
          <w:lang w:val="is-IS"/>
        </w:rPr>
        <w:id w:val="-1144118482"/>
        <w:docPartObj>
          <w:docPartGallery w:val="Table of Contents"/>
          <w:docPartUnique/>
        </w:docPartObj>
      </w:sdtPr>
      <w:sdtEndPr>
        <w:rPr>
          <w:noProof/>
        </w:rPr>
      </w:sdtEndPr>
      <w:sdtContent>
        <w:p w14:paraId="398AF256" w14:textId="0ADFC8DB" w:rsidR="00853E65" w:rsidRPr="00853E65" w:rsidRDefault="00853E65">
          <w:pPr>
            <w:pStyle w:val="TOCHeading"/>
            <w:rPr>
              <w:color w:val="000000" w:themeColor="text1"/>
            </w:rPr>
          </w:pPr>
          <w:r w:rsidRPr="00853E65">
            <w:rPr>
              <w:color w:val="000000" w:themeColor="text1"/>
            </w:rPr>
            <w:t>Table of Contents</w:t>
          </w:r>
        </w:p>
        <w:p w14:paraId="5DDC7A5D" w14:textId="2B277C44" w:rsidR="00CC41A8" w:rsidRDefault="00853E65">
          <w:pPr>
            <w:pStyle w:val="TOC1"/>
            <w:tabs>
              <w:tab w:val="right" w:leader="dot" w:pos="9062"/>
            </w:tabs>
            <w:rPr>
              <w:rFonts w:eastAsiaTheme="minorEastAsia"/>
              <w:b w:val="0"/>
              <w:bCs w:val="0"/>
              <w:i w:val="0"/>
              <w:iCs w:val="0"/>
              <w:noProof/>
              <w:lang w:val="en-IS" w:eastAsia="en-GB"/>
            </w:rPr>
          </w:pPr>
          <w:r>
            <w:rPr>
              <w:b w:val="0"/>
              <w:bCs w:val="0"/>
            </w:rPr>
            <w:fldChar w:fldCharType="begin"/>
          </w:r>
          <w:r>
            <w:instrText xml:space="preserve"> TOC \o "1-3" \h \z \u </w:instrText>
          </w:r>
          <w:r>
            <w:rPr>
              <w:b w:val="0"/>
              <w:bCs w:val="0"/>
            </w:rPr>
            <w:fldChar w:fldCharType="separate"/>
          </w:r>
          <w:hyperlink w:anchor="_Toc100246218" w:history="1">
            <w:r w:rsidR="00CC41A8" w:rsidRPr="0066252D">
              <w:rPr>
                <w:rStyle w:val="Hyperlink"/>
                <w:noProof/>
              </w:rPr>
              <w:t>Supplementary Methods</w:t>
            </w:r>
            <w:r w:rsidR="00CC41A8">
              <w:rPr>
                <w:noProof/>
                <w:webHidden/>
              </w:rPr>
              <w:tab/>
            </w:r>
            <w:r w:rsidR="00CC41A8">
              <w:rPr>
                <w:noProof/>
                <w:webHidden/>
              </w:rPr>
              <w:fldChar w:fldCharType="begin"/>
            </w:r>
            <w:r w:rsidR="00CC41A8">
              <w:rPr>
                <w:noProof/>
                <w:webHidden/>
              </w:rPr>
              <w:instrText xml:space="preserve"> PAGEREF _Toc100246218 \h </w:instrText>
            </w:r>
            <w:r w:rsidR="00CC41A8">
              <w:rPr>
                <w:noProof/>
                <w:webHidden/>
              </w:rPr>
            </w:r>
            <w:r w:rsidR="00CC41A8">
              <w:rPr>
                <w:noProof/>
                <w:webHidden/>
              </w:rPr>
              <w:fldChar w:fldCharType="separate"/>
            </w:r>
            <w:r w:rsidR="00CC41A8">
              <w:rPr>
                <w:noProof/>
                <w:webHidden/>
              </w:rPr>
              <w:t>5</w:t>
            </w:r>
            <w:r w:rsidR="00CC41A8">
              <w:rPr>
                <w:noProof/>
                <w:webHidden/>
              </w:rPr>
              <w:fldChar w:fldCharType="end"/>
            </w:r>
          </w:hyperlink>
        </w:p>
        <w:p w14:paraId="6E4F1BEC" w14:textId="4C3B8E52" w:rsidR="00CC41A8" w:rsidRDefault="00CC41A8">
          <w:pPr>
            <w:pStyle w:val="TOC2"/>
            <w:tabs>
              <w:tab w:val="right" w:leader="dot" w:pos="9062"/>
            </w:tabs>
            <w:rPr>
              <w:rFonts w:eastAsiaTheme="minorEastAsia"/>
              <w:b w:val="0"/>
              <w:bCs w:val="0"/>
              <w:noProof/>
              <w:sz w:val="24"/>
              <w:szCs w:val="24"/>
              <w:lang w:val="en-IS" w:eastAsia="en-GB"/>
            </w:rPr>
          </w:pPr>
          <w:hyperlink w:anchor="_Toc100246219" w:history="1">
            <w:r w:rsidRPr="0066252D">
              <w:rPr>
                <w:rStyle w:val="Hyperlink"/>
                <w:noProof/>
              </w:rPr>
              <w:t>Overview of the deCODE Health Study and changes to the study to address consequences of SARS-CoV-2 infection</w:t>
            </w:r>
            <w:r>
              <w:rPr>
                <w:noProof/>
                <w:webHidden/>
              </w:rPr>
              <w:tab/>
            </w:r>
            <w:r>
              <w:rPr>
                <w:noProof/>
                <w:webHidden/>
              </w:rPr>
              <w:fldChar w:fldCharType="begin"/>
            </w:r>
            <w:r>
              <w:rPr>
                <w:noProof/>
                <w:webHidden/>
              </w:rPr>
              <w:instrText xml:space="preserve"> PAGEREF _Toc100246219 \h </w:instrText>
            </w:r>
            <w:r>
              <w:rPr>
                <w:noProof/>
                <w:webHidden/>
              </w:rPr>
            </w:r>
            <w:r>
              <w:rPr>
                <w:noProof/>
                <w:webHidden/>
              </w:rPr>
              <w:fldChar w:fldCharType="separate"/>
            </w:r>
            <w:r>
              <w:rPr>
                <w:noProof/>
                <w:webHidden/>
              </w:rPr>
              <w:t>5</w:t>
            </w:r>
            <w:r>
              <w:rPr>
                <w:noProof/>
                <w:webHidden/>
              </w:rPr>
              <w:fldChar w:fldCharType="end"/>
            </w:r>
          </w:hyperlink>
        </w:p>
        <w:p w14:paraId="6BEF1A47" w14:textId="7E59BACF" w:rsidR="00CC41A8" w:rsidRDefault="00CC41A8">
          <w:pPr>
            <w:pStyle w:val="TOC2"/>
            <w:tabs>
              <w:tab w:val="right" w:leader="dot" w:pos="9062"/>
            </w:tabs>
            <w:rPr>
              <w:rFonts w:eastAsiaTheme="minorEastAsia"/>
              <w:b w:val="0"/>
              <w:bCs w:val="0"/>
              <w:noProof/>
              <w:sz w:val="24"/>
              <w:szCs w:val="24"/>
              <w:lang w:val="en-IS" w:eastAsia="en-GB"/>
            </w:rPr>
          </w:pPr>
          <w:hyperlink w:anchor="_Toc100246220" w:history="1">
            <w:r w:rsidRPr="0066252D">
              <w:rPr>
                <w:rStyle w:val="Hyperlink"/>
                <w:noProof/>
              </w:rPr>
              <w:t>The dHS online questionnaire on health and lifestyle</w:t>
            </w:r>
            <w:r>
              <w:rPr>
                <w:noProof/>
                <w:webHidden/>
              </w:rPr>
              <w:tab/>
            </w:r>
            <w:r>
              <w:rPr>
                <w:noProof/>
                <w:webHidden/>
              </w:rPr>
              <w:fldChar w:fldCharType="begin"/>
            </w:r>
            <w:r>
              <w:rPr>
                <w:noProof/>
                <w:webHidden/>
              </w:rPr>
              <w:instrText xml:space="preserve"> PAGEREF _Toc100246220 \h </w:instrText>
            </w:r>
            <w:r>
              <w:rPr>
                <w:noProof/>
                <w:webHidden/>
              </w:rPr>
            </w:r>
            <w:r>
              <w:rPr>
                <w:noProof/>
                <w:webHidden/>
              </w:rPr>
              <w:fldChar w:fldCharType="separate"/>
            </w:r>
            <w:r>
              <w:rPr>
                <w:noProof/>
                <w:webHidden/>
              </w:rPr>
              <w:t>5</w:t>
            </w:r>
            <w:r>
              <w:rPr>
                <w:noProof/>
                <w:webHidden/>
              </w:rPr>
              <w:fldChar w:fldCharType="end"/>
            </w:r>
          </w:hyperlink>
        </w:p>
        <w:p w14:paraId="4ED00536" w14:textId="111FC83A" w:rsidR="00CC41A8" w:rsidRDefault="00CC41A8">
          <w:pPr>
            <w:pStyle w:val="TOC3"/>
            <w:tabs>
              <w:tab w:val="right" w:leader="dot" w:pos="9062"/>
            </w:tabs>
            <w:rPr>
              <w:rFonts w:eastAsiaTheme="minorEastAsia"/>
              <w:noProof/>
              <w:sz w:val="24"/>
              <w:szCs w:val="24"/>
              <w:lang w:val="en-IS" w:eastAsia="en-GB"/>
            </w:rPr>
          </w:pPr>
          <w:hyperlink w:anchor="_Toc100246221" w:history="1">
            <w:r w:rsidRPr="0066252D">
              <w:rPr>
                <w:rStyle w:val="Hyperlink"/>
                <w:noProof/>
                <w:lang w:val="en-US"/>
              </w:rPr>
              <w:t>General Anxiety Disorder-7</w:t>
            </w:r>
            <w:r>
              <w:rPr>
                <w:noProof/>
                <w:webHidden/>
              </w:rPr>
              <w:tab/>
            </w:r>
            <w:r>
              <w:rPr>
                <w:noProof/>
                <w:webHidden/>
              </w:rPr>
              <w:fldChar w:fldCharType="begin"/>
            </w:r>
            <w:r>
              <w:rPr>
                <w:noProof/>
                <w:webHidden/>
              </w:rPr>
              <w:instrText xml:space="preserve"> PAGEREF _Toc100246221 \h </w:instrText>
            </w:r>
            <w:r>
              <w:rPr>
                <w:noProof/>
                <w:webHidden/>
              </w:rPr>
            </w:r>
            <w:r>
              <w:rPr>
                <w:noProof/>
                <w:webHidden/>
              </w:rPr>
              <w:fldChar w:fldCharType="separate"/>
            </w:r>
            <w:r>
              <w:rPr>
                <w:noProof/>
                <w:webHidden/>
              </w:rPr>
              <w:t>6</w:t>
            </w:r>
            <w:r>
              <w:rPr>
                <w:noProof/>
                <w:webHidden/>
              </w:rPr>
              <w:fldChar w:fldCharType="end"/>
            </w:r>
          </w:hyperlink>
        </w:p>
        <w:p w14:paraId="1D64C65B" w14:textId="1AE0F133" w:rsidR="00CC41A8" w:rsidRDefault="00CC41A8">
          <w:pPr>
            <w:pStyle w:val="TOC3"/>
            <w:tabs>
              <w:tab w:val="right" w:leader="dot" w:pos="9062"/>
            </w:tabs>
            <w:rPr>
              <w:rFonts w:eastAsiaTheme="minorEastAsia"/>
              <w:noProof/>
              <w:sz w:val="24"/>
              <w:szCs w:val="24"/>
              <w:lang w:val="en-IS" w:eastAsia="en-GB"/>
            </w:rPr>
          </w:pPr>
          <w:hyperlink w:anchor="_Toc100246222" w:history="1">
            <w:r w:rsidRPr="0066252D">
              <w:rPr>
                <w:rStyle w:val="Hyperlink"/>
                <w:noProof/>
                <w:lang w:val="en-US"/>
              </w:rPr>
              <w:t>Patient Health Questionnaire-9</w:t>
            </w:r>
            <w:r>
              <w:rPr>
                <w:noProof/>
                <w:webHidden/>
              </w:rPr>
              <w:tab/>
            </w:r>
            <w:r>
              <w:rPr>
                <w:noProof/>
                <w:webHidden/>
              </w:rPr>
              <w:fldChar w:fldCharType="begin"/>
            </w:r>
            <w:r>
              <w:rPr>
                <w:noProof/>
                <w:webHidden/>
              </w:rPr>
              <w:instrText xml:space="preserve"> PAGEREF _Toc100246222 \h </w:instrText>
            </w:r>
            <w:r>
              <w:rPr>
                <w:noProof/>
                <w:webHidden/>
              </w:rPr>
            </w:r>
            <w:r>
              <w:rPr>
                <w:noProof/>
                <w:webHidden/>
              </w:rPr>
              <w:fldChar w:fldCharType="separate"/>
            </w:r>
            <w:r>
              <w:rPr>
                <w:noProof/>
                <w:webHidden/>
              </w:rPr>
              <w:t>6</w:t>
            </w:r>
            <w:r>
              <w:rPr>
                <w:noProof/>
                <w:webHidden/>
              </w:rPr>
              <w:fldChar w:fldCharType="end"/>
            </w:r>
          </w:hyperlink>
        </w:p>
        <w:p w14:paraId="3E1A4D74" w14:textId="210212BA" w:rsidR="00CC41A8" w:rsidRDefault="00CC41A8">
          <w:pPr>
            <w:pStyle w:val="TOC3"/>
            <w:tabs>
              <w:tab w:val="right" w:leader="dot" w:pos="9062"/>
            </w:tabs>
            <w:rPr>
              <w:rFonts w:eastAsiaTheme="minorEastAsia"/>
              <w:noProof/>
              <w:sz w:val="24"/>
              <w:szCs w:val="24"/>
              <w:lang w:val="en-IS" w:eastAsia="en-GB"/>
            </w:rPr>
          </w:pPr>
          <w:hyperlink w:anchor="_Toc100246223" w:history="1">
            <w:r w:rsidRPr="0066252D">
              <w:rPr>
                <w:rStyle w:val="Hyperlink"/>
                <w:noProof/>
                <w:lang w:val="en-US"/>
              </w:rPr>
              <w:t>Perceived Stress Scale</w:t>
            </w:r>
            <w:r>
              <w:rPr>
                <w:noProof/>
                <w:webHidden/>
              </w:rPr>
              <w:tab/>
            </w:r>
            <w:r>
              <w:rPr>
                <w:noProof/>
                <w:webHidden/>
              </w:rPr>
              <w:fldChar w:fldCharType="begin"/>
            </w:r>
            <w:r>
              <w:rPr>
                <w:noProof/>
                <w:webHidden/>
              </w:rPr>
              <w:instrText xml:space="preserve"> PAGEREF _Toc100246223 \h </w:instrText>
            </w:r>
            <w:r>
              <w:rPr>
                <w:noProof/>
                <w:webHidden/>
              </w:rPr>
            </w:r>
            <w:r>
              <w:rPr>
                <w:noProof/>
                <w:webHidden/>
              </w:rPr>
              <w:fldChar w:fldCharType="separate"/>
            </w:r>
            <w:r>
              <w:rPr>
                <w:noProof/>
                <w:webHidden/>
              </w:rPr>
              <w:t>6</w:t>
            </w:r>
            <w:r>
              <w:rPr>
                <w:noProof/>
                <w:webHidden/>
              </w:rPr>
              <w:fldChar w:fldCharType="end"/>
            </w:r>
          </w:hyperlink>
        </w:p>
        <w:p w14:paraId="121A1E0E" w14:textId="1ABFABC0" w:rsidR="00CC41A8" w:rsidRDefault="00CC41A8">
          <w:pPr>
            <w:pStyle w:val="TOC3"/>
            <w:tabs>
              <w:tab w:val="right" w:leader="dot" w:pos="9062"/>
            </w:tabs>
            <w:rPr>
              <w:rFonts w:eastAsiaTheme="minorEastAsia"/>
              <w:noProof/>
              <w:sz w:val="24"/>
              <w:szCs w:val="24"/>
              <w:lang w:val="en-IS" w:eastAsia="en-GB"/>
            </w:rPr>
          </w:pPr>
          <w:hyperlink w:anchor="_Toc100246224" w:history="1">
            <w:r w:rsidRPr="0066252D">
              <w:rPr>
                <w:rStyle w:val="Hyperlink"/>
                <w:noProof/>
                <w:lang w:val="en-US"/>
              </w:rPr>
              <w:t>Short Health Anxiety Inventory</w:t>
            </w:r>
            <w:r>
              <w:rPr>
                <w:noProof/>
                <w:webHidden/>
              </w:rPr>
              <w:tab/>
            </w:r>
            <w:r>
              <w:rPr>
                <w:noProof/>
                <w:webHidden/>
              </w:rPr>
              <w:fldChar w:fldCharType="begin"/>
            </w:r>
            <w:r>
              <w:rPr>
                <w:noProof/>
                <w:webHidden/>
              </w:rPr>
              <w:instrText xml:space="preserve"> PAGEREF _Toc100246224 \h </w:instrText>
            </w:r>
            <w:r>
              <w:rPr>
                <w:noProof/>
                <w:webHidden/>
              </w:rPr>
            </w:r>
            <w:r>
              <w:rPr>
                <w:noProof/>
                <w:webHidden/>
              </w:rPr>
              <w:fldChar w:fldCharType="separate"/>
            </w:r>
            <w:r>
              <w:rPr>
                <w:noProof/>
                <w:webHidden/>
              </w:rPr>
              <w:t>6</w:t>
            </w:r>
            <w:r>
              <w:rPr>
                <w:noProof/>
                <w:webHidden/>
              </w:rPr>
              <w:fldChar w:fldCharType="end"/>
            </w:r>
          </w:hyperlink>
        </w:p>
        <w:p w14:paraId="0EFFBA6F" w14:textId="1A34F146" w:rsidR="00CC41A8" w:rsidRDefault="00CC41A8">
          <w:pPr>
            <w:pStyle w:val="TOC3"/>
            <w:tabs>
              <w:tab w:val="right" w:leader="dot" w:pos="9062"/>
            </w:tabs>
            <w:rPr>
              <w:rFonts w:eastAsiaTheme="minorEastAsia"/>
              <w:noProof/>
              <w:sz w:val="24"/>
              <w:szCs w:val="24"/>
              <w:lang w:val="en-IS" w:eastAsia="en-GB"/>
            </w:rPr>
          </w:pPr>
          <w:hyperlink w:anchor="_Toc100246225" w:history="1">
            <w:r w:rsidRPr="0066252D">
              <w:rPr>
                <w:rStyle w:val="Hyperlink"/>
                <w:noProof/>
                <w:lang w:val="en-US"/>
              </w:rPr>
              <w:t>Satisfaction With Life Scale</w:t>
            </w:r>
            <w:r>
              <w:rPr>
                <w:noProof/>
                <w:webHidden/>
              </w:rPr>
              <w:tab/>
            </w:r>
            <w:r>
              <w:rPr>
                <w:noProof/>
                <w:webHidden/>
              </w:rPr>
              <w:fldChar w:fldCharType="begin"/>
            </w:r>
            <w:r>
              <w:rPr>
                <w:noProof/>
                <w:webHidden/>
              </w:rPr>
              <w:instrText xml:space="preserve"> PAGEREF _Toc100246225 \h </w:instrText>
            </w:r>
            <w:r>
              <w:rPr>
                <w:noProof/>
                <w:webHidden/>
              </w:rPr>
            </w:r>
            <w:r>
              <w:rPr>
                <w:noProof/>
                <w:webHidden/>
              </w:rPr>
              <w:fldChar w:fldCharType="separate"/>
            </w:r>
            <w:r>
              <w:rPr>
                <w:noProof/>
                <w:webHidden/>
              </w:rPr>
              <w:t>6</w:t>
            </w:r>
            <w:r>
              <w:rPr>
                <w:noProof/>
                <w:webHidden/>
              </w:rPr>
              <w:fldChar w:fldCharType="end"/>
            </w:r>
          </w:hyperlink>
        </w:p>
        <w:p w14:paraId="039FE269" w14:textId="70AFEF9B" w:rsidR="00CC41A8" w:rsidRDefault="00CC41A8">
          <w:pPr>
            <w:pStyle w:val="TOC3"/>
            <w:tabs>
              <w:tab w:val="right" w:leader="dot" w:pos="9062"/>
            </w:tabs>
            <w:rPr>
              <w:rFonts w:eastAsiaTheme="minorEastAsia"/>
              <w:noProof/>
              <w:sz w:val="24"/>
              <w:szCs w:val="24"/>
              <w:lang w:val="en-IS" w:eastAsia="en-GB"/>
            </w:rPr>
          </w:pPr>
          <w:hyperlink w:anchor="_Toc100246226" w:history="1">
            <w:r w:rsidRPr="0066252D">
              <w:rPr>
                <w:rStyle w:val="Hyperlink"/>
                <w:noProof/>
                <w:lang w:val="en-US"/>
              </w:rPr>
              <w:t>36-Item Short Form Survey</w:t>
            </w:r>
            <w:r>
              <w:rPr>
                <w:noProof/>
                <w:webHidden/>
              </w:rPr>
              <w:tab/>
            </w:r>
            <w:r>
              <w:rPr>
                <w:noProof/>
                <w:webHidden/>
              </w:rPr>
              <w:fldChar w:fldCharType="begin"/>
            </w:r>
            <w:r>
              <w:rPr>
                <w:noProof/>
                <w:webHidden/>
              </w:rPr>
              <w:instrText xml:space="preserve"> PAGEREF _Toc100246226 \h </w:instrText>
            </w:r>
            <w:r>
              <w:rPr>
                <w:noProof/>
                <w:webHidden/>
              </w:rPr>
            </w:r>
            <w:r>
              <w:rPr>
                <w:noProof/>
                <w:webHidden/>
              </w:rPr>
              <w:fldChar w:fldCharType="separate"/>
            </w:r>
            <w:r>
              <w:rPr>
                <w:noProof/>
                <w:webHidden/>
              </w:rPr>
              <w:t>6</w:t>
            </w:r>
            <w:r>
              <w:rPr>
                <w:noProof/>
                <w:webHidden/>
              </w:rPr>
              <w:fldChar w:fldCharType="end"/>
            </w:r>
          </w:hyperlink>
        </w:p>
        <w:p w14:paraId="27BD7E75" w14:textId="7435AF8C" w:rsidR="00CC41A8" w:rsidRDefault="00CC41A8">
          <w:pPr>
            <w:pStyle w:val="TOC2"/>
            <w:tabs>
              <w:tab w:val="right" w:leader="dot" w:pos="9062"/>
            </w:tabs>
            <w:rPr>
              <w:rFonts w:eastAsiaTheme="minorEastAsia"/>
              <w:b w:val="0"/>
              <w:bCs w:val="0"/>
              <w:noProof/>
              <w:sz w:val="24"/>
              <w:szCs w:val="24"/>
              <w:lang w:val="en-IS" w:eastAsia="en-GB"/>
            </w:rPr>
          </w:pPr>
          <w:hyperlink w:anchor="_Toc100246227" w:history="1">
            <w:r w:rsidRPr="0066252D">
              <w:rPr>
                <w:rStyle w:val="Hyperlink"/>
                <w:noProof/>
              </w:rPr>
              <w:t>Additional data for GAD-7, PHQ-9, PSS, SWLS and 36-SF from the iStopMM study.</w:t>
            </w:r>
            <w:r>
              <w:rPr>
                <w:noProof/>
                <w:webHidden/>
              </w:rPr>
              <w:tab/>
            </w:r>
            <w:r>
              <w:rPr>
                <w:noProof/>
                <w:webHidden/>
              </w:rPr>
              <w:fldChar w:fldCharType="begin"/>
            </w:r>
            <w:r>
              <w:rPr>
                <w:noProof/>
                <w:webHidden/>
              </w:rPr>
              <w:instrText xml:space="preserve"> PAGEREF _Toc100246227 \h </w:instrText>
            </w:r>
            <w:r>
              <w:rPr>
                <w:noProof/>
                <w:webHidden/>
              </w:rPr>
            </w:r>
            <w:r>
              <w:rPr>
                <w:noProof/>
                <w:webHidden/>
              </w:rPr>
              <w:fldChar w:fldCharType="separate"/>
            </w:r>
            <w:r>
              <w:rPr>
                <w:noProof/>
                <w:webHidden/>
              </w:rPr>
              <w:t>7</w:t>
            </w:r>
            <w:r>
              <w:rPr>
                <w:noProof/>
                <w:webHidden/>
              </w:rPr>
              <w:fldChar w:fldCharType="end"/>
            </w:r>
          </w:hyperlink>
        </w:p>
        <w:p w14:paraId="2BA91DB4" w14:textId="0700C040" w:rsidR="00CC41A8" w:rsidRDefault="00CC41A8">
          <w:pPr>
            <w:pStyle w:val="TOC2"/>
            <w:tabs>
              <w:tab w:val="right" w:leader="dot" w:pos="9062"/>
            </w:tabs>
            <w:rPr>
              <w:rFonts w:eastAsiaTheme="minorEastAsia"/>
              <w:b w:val="0"/>
              <w:bCs w:val="0"/>
              <w:noProof/>
              <w:sz w:val="24"/>
              <w:szCs w:val="24"/>
              <w:lang w:val="en-IS" w:eastAsia="en-GB"/>
            </w:rPr>
          </w:pPr>
          <w:hyperlink w:anchor="_Toc100246228" w:history="1">
            <w:r w:rsidRPr="0066252D">
              <w:rPr>
                <w:rStyle w:val="Hyperlink"/>
                <w:noProof/>
              </w:rPr>
              <w:t>The C19Q questionnaire</w:t>
            </w:r>
            <w:r>
              <w:rPr>
                <w:noProof/>
                <w:webHidden/>
              </w:rPr>
              <w:tab/>
            </w:r>
            <w:r>
              <w:rPr>
                <w:noProof/>
                <w:webHidden/>
              </w:rPr>
              <w:fldChar w:fldCharType="begin"/>
            </w:r>
            <w:r>
              <w:rPr>
                <w:noProof/>
                <w:webHidden/>
              </w:rPr>
              <w:instrText xml:space="preserve"> PAGEREF _Toc100246228 \h </w:instrText>
            </w:r>
            <w:r>
              <w:rPr>
                <w:noProof/>
                <w:webHidden/>
              </w:rPr>
            </w:r>
            <w:r>
              <w:rPr>
                <w:noProof/>
                <w:webHidden/>
              </w:rPr>
              <w:fldChar w:fldCharType="separate"/>
            </w:r>
            <w:r>
              <w:rPr>
                <w:noProof/>
                <w:webHidden/>
              </w:rPr>
              <w:t>7</w:t>
            </w:r>
            <w:r>
              <w:rPr>
                <w:noProof/>
                <w:webHidden/>
              </w:rPr>
              <w:fldChar w:fldCharType="end"/>
            </w:r>
          </w:hyperlink>
        </w:p>
        <w:p w14:paraId="11E55C02" w14:textId="4375B5B2" w:rsidR="00CC41A8" w:rsidRDefault="00CC41A8">
          <w:pPr>
            <w:pStyle w:val="TOC3"/>
            <w:tabs>
              <w:tab w:val="right" w:leader="dot" w:pos="9062"/>
            </w:tabs>
            <w:rPr>
              <w:rFonts w:eastAsiaTheme="minorEastAsia"/>
              <w:noProof/>
              <w:sz w:val="24"/>
              <w:szCs w:val="24"/>
              <w:lang w:val="en-IS" w:eastAsia="en-GB"/>
            </w:rPr>
          </w:pPr>
          <w:hyperlink w:anchor="_Toc100246229" w:history="1">
            <w:r w:rsidRPr="0066252D">
              <w:rPr>
                <w:rStyle w:val="Hyperlink"/>
                <w:noProof/>
              </w:rPr>
              <w:t>The Symptom Impact Questionnaire</w:t>
            </w:r>
            <w:r>
              <w:rPr>
                <w:noProof/>
                <w:webHidden/>
              </w:rPr>
              <w:tab/>
            </w:r>
            <w:r>
              <w:rPr>
                <w:noProof/>
                <w:webHidden/>
              </w:rPr>
              <w:fldChar w:fldCharType="begin"/>
            </w:r>
            <w:r>
              <w:rPr>
                <w:noProof/>
                <w:webHidden/>
              </w:rPr>
              <w:instrText xml:space="preserve"> PAGEREF _Toc100246229 \h </w:instrText>
            </w:r>
            <w:r>
              <w:rPr>
                <w:noProof/>
                <w:webHidden/>
              </w:rPr>
            </w:r>
            <w:r>
              <w:rPr>
                <w:noProof/>
                <w:webHidden/>
              </w:rPr>
              <w:fldChar w:fldCharType="separate"/>
            </w:r>
            <w:r>
              <w:rPr>
                <w:noProof/>
                <w:webHidden/>
              </w:rPr>
              <w:t>7</w:t>
            </w:r>
            <w:r>
              <w:rPr>
                <w:noProof/>
                <w:webHidden/>
              </w:rPr>
              <w:fldChar w:fldCharType="end"/>
            </w:r>
          </w:hyperlink>
        </w:p>
        <w:p w14:paraId="2707757F" w14:textId="08D0D617" w:rsidR="00CC41A8" w:rsidRDefault="00CC41A8">
          <w:pPr>
            <w:pStyle w:val="TOC2"/>
            <w:tabs>
              <w:tab w:val="right" w:leader="dot" w:pos="9062"/>
            </w:tabs>
            <w:rPr>
              <w:rFonts w:eastAsiaTheme="minorEastAsia"/>
              <w:b w:val="0"/>
              <w:bCs w:val="0"/>
              <w:noProof/>
              <w:sz w:val="24"/>
              <w:szCs w:val="24"/>
              <w:lang w:val="en-IS" w:eastAsia="en-GB"/>
            </w:rPr>
          </w:pPr>
          <w:hyperlink w:anchor="_Toc100246230" w:history="1">
            <w:r w:rsidRPr="0066252D">
              <w:rPr>
                <w:rStyle w:val="Hyperlink"/>
                <w:noProof/>
              </w:rPr>
              <w:t>Height and weight</w:t>
            </w:r>
            <w:r>
              <w:rPr>
                <w:noProof/>
                <w:webHidden/>
              </w:rPr>
              <w:tab/>
            </w:r>
            <w:r>
              <w:rPr>
                <w:noProof/>
                <w:webHidden/>
              </w:rPr>
              <w:fldChar w:fldCharType="begin"/>
            </w:r>
            <w:r>
              <w:rPr>
                <w:noProof/>
                <w:webHidden/>
              </w:rPr>
              <w:instrText xml:space="preserve"> PAGEREF _Toc100246230 \h </w:instrText>
            </w:r>
            <w:r>
              <w:rPr>
                <w:noProof/>
                <w:webHidden/>
              </w:rPr>
            </w:r>
            <w:r>
              <w:rPr>
                <w:noProof/>
                <w:webHidden/>
              </w:rPr>
              <w:fldChar w:fldCharType="separate"/>
            </w:r>
            <w:r>
              <w:rPr>
                <w:noProof/>
                <w:webHidden/>
              </w:rPr>
              <w:t>8</w:t>
            </w:r>
            <w:r>
              <w:rPr>
                <w:noProof/>
                <w:webHidden/>
              </w:rPr>
              <w:fldChar w:fldCharType="end"/>
            </w:r>
          </w:hyperlink>
        </w:p>
        <w:p w14:paraId="64334886" w14:textId="65BD5817" w:rsidR="00CC41A8" w:rsidRDefault="00CC41A8">
          <w:pPr>
            <w:pStyle w:val="TOC2"/>
            <w:tabs>
              <w:tab w:val="right" w:leader="dot" w:pos="9062"/>
            </w:tabs>
            <w:rPr>
              <w:rFonts w:eastAsiaTheme="minorEastAsia"/>
              <w:b w:val="0"/>
              <w:bCs w:val="0"/>
              <w:noProof/>
              <w:sz w:val="24"/>
              <w:szCs w:val="24"/>
              <w:lang w:val="en-IS" w:eastAsia="en-GB"/>
            </w:rPr>
          </w:pPr>
          <w:hyperlink w:anchor="_Toc100246231" w:history="1">
            <w:r w:rsidRPr="0066252D">
              <w:rPr>
                <w:rStyle w:val="Hyperlink"/>
                <w:noProof/>
              </w:rPr>
              <w:t>Vital signs</w:t>
            </w:r>
            <w:r>
              <w:rPr>
                <w:noProof/>
                <w:webHidden/>
              </w:rPr>
              <w:tab/>
            </w:r>
            <w:r>
              <w:rPr>
                <w:noProof/>
                <w:webHidden/>
              </w:rPr>
              <w:fldChar w:fldCharType="begin"/>
            </w:r>
            <w:r>
              <w:rPr>
                <w:noProof/>
                <w:webHidden/>
              </w:rPr>
              <w:instrText xml:space="preserve"> PAGEREF _Toc100246231 \h </w:instrText>
            </w:r>
            <w:r>
              <w:rPr>
                <w:noProof/>
                <w:webHidden/>
              </w:rPr>
            </w:r>
            <w:r>
              <w:rPr>
                <w:noProof/>
                <w:webHidden/>
              </w:rPr>
              <w:fldChar w:fldCharType="separate"/>
            </w:r>
            <w:r>
              <w:rPr>
                <w:noProof/>
                <w:webHidden/>
              </w:rPr>
              <w:t>8</w:t>
            </w:r>
            <w:r>
              <w:rPr>
                <w:noProof/>
                <w:webHidden/>
              </w:rPr>
              <w:fldChar w:fldCharType="end"/>
            </w:r>
          </w:hyperlink>
        </w:p>
        <w:p w14:paraId="1E723026" w14:textId="333797A6" w:rsidR="00CC41A8" w:rsidRDefault="00CC41A8">
          <w:pPr>
            <w:pStyle w:val="TOC2"/>
            <w:tabs>
              <w:tab w:val="right" w:leader="dot" w:pos="9062"/>
            </w:tabs>
            <w:rPr>
              <w:rFonts w:eastAsiaTheme="minorEastAsia"/>
              <w:b w:val="0"/>
              <w:bCs w:val="0"/>
              <w:noProof/>
              <w:sz w:val="24"/>
              <w:szCs w:val="24"/>
              <w:lang w:val="en-IS" w:eastAsia="en-GB"/>
            </w:rPr>
          </w:pPr>
          <w:hyperlink w:anchor="_Toc100246232" w:history="1">
            <w:r w:rsidRPr="0066252D">
              <w:rPr>
                <w:rStyle w:val="Hyperlink"/>
                <w:noProof/>
              </w:rPr>
              <w:t>5-minute orthostatic test</w:t>
            </w:r>
            <w:r>
              <w:rPr>
                <w:noProof/>
                <w:webHidden/>
              </w:rPr>
              <w:tab/>
            </w:r>
            <w:r>
              <w:rPr>
                <w:noProof/>
                <w:webHidden/>
              </w:rPr>
              <w:fldChar w:fldCharType="begin"/>
            </w:r>
            <w:r>
              <w:rPr>
                <w:noProof/>
                <w:webHidden/>
              </w:rPr>
              <w:instrText xml:space="preserve"> PAGEREF _Toc100246232 \h </w:instrText>
            </w:r>
            <w:r>
              <w:rPr>
                <w:noProof/>
                <w:webHidden/>
              </w:rPr>
            </w:r>
            <w:r>
              <w:rPr>
                <w:noProof/>
                <w:webHidden/>
              </w:rPr>
              <w:fldChar w:fldCharType="separate"/>
            </w:r>
            <w:r>
              <w:rPr>
                <w:noProof/>
                <w:webHidden/>
              </w:rPr>
              <w:t>8</w:t>
            </w:r>
            <w:r>
              <w:rPr>
                <w:noProof/>
                <w:webHidden/>
              </w:rPr>
              <w:fldChar w:fldCharType="end"/>
            </w:r>
          </w:hyperlink>
        </w:p>
        <w:p w14:paraId="1DADD1C3" w14:textId="6FEBC43B" w:rsidR="00CC41A8" w:rsidRDefault="00CC41A8">
          <w:pPr>
            <w:pStyle w:val="TOC2"/>
            <w:tabs>
              <w:tab w:val="right" w:leader="dot" w:pos="9062"/>
            </w:tabs>
            <w:rPr>
              <w:rFonts w:eastAsiaTheme="minorEastAsia"/>
              <w:b w:val="0"/>
              <w:bCs w:val="0"/>
              <w:noProof/>
              <w:sz w:val="24"/>
              <w:szCs w:val="24"/>
              <w:lang w:val="en-IS" w:eastAsia="en-GB"/>
            </w:rPr>
          </w:pPr>
          <w:hyperlink w:anchor="_Toc100246233" w:history="1">
            <w:r w:rsidRPr="0066252D">
              <w:rPr>
                <w:rStyle w:val="Hyperlink"/>
                <w:noProof/>
              </w:rPr>
              <w:t>Body composition</w:t>
            </w:r>
            <w:r>
              <w:rPr>
                <w:noProof/>
                <w:webHidden/>
              </w:rPr>
              <w:tab/>
            </w:r>
            <w:r>
              <w:rPr>
                <w:noProof/>
                <w:webHidden/>
              </w:rPr>
              <w:fldChar w:fldCharType="begin"/>
            </w:r>
            <w:r>
              <w:rPr>
                <w:noProof/>
                <w:webHidden/>
              </w:rPr>
              <w:instrText xml:space="preserve"> PAGEREF _Toc100246233 \h </w:instrText>
            </w:r>
            <w:r>
              <w:rPr>
                <w:noProof/>
                <w:webHidden/>
              </w:rPr>
            </w:r>
            <w:r>
              <w:rPr>
                <w:noProof/>
                <w:webHidden/>
              </w:rPr>
              <w:fldChar w:fldCharType="separate"/>
            </w:r>
            <w:r>
              <w:rPr>
                <w:noProof/>
                <w:webHidden/>
              </w:rPr>
              <w:t>8</w:t>
            </w:r>
            <w:r>
              <w:rPr>
                <w:noProof/>
                <w:webHidden/>
              </w:rPr>
              <w:fldChar w:fldCharType="end"/>
            </w:r>
          </w:hyperlink>
        </w:p>
        <w:p w14:paraId="3054E2E8" w14:textId="3CC0FCD7" w:rsidR="00CC41A8" w:rsidRDefault="00CC41A8">
          <w:pPr>
            <w:pStyle w:val="TOC2"/>
            <w:tabs>
              <w:tab w:val="right" w:leader="dot" w:pos="9062"/>
            </w:tabs>
            <w:rPr>
              <w:rFonts w:eastAsiaTheme="minorEastAsia"/>
              <w:b w:val="0"/>
              <w:bCs w:val="0"/>
              <w:noProof/>
              <w:sz w:val="24"/>
              <w:szCs w:val="24"/>
              <w:lang w:val="en-IS" w:eastAsia="en-GB"/>
            </w:rPr>
          </w:pPr>
          <w:hyperlink w:anchor="_Toc100246234" w:history="1">
            <w:r w:rsidRPr="0066252D">
              <w:rPr>
                <w:rStyle w:val="Hyperlink"/>
                <w:noProof/>
              </w:rPr>
              <w:t>Grip strength</w:t>
            </w:r>
            <w:r>
              <w:rPr>
                <w:noProof/>
                <w:webHidden/>
              </w:rPr>
              <w:tab/>
            </w:r>
            <w:r>
              <w:rPr>
                <w:noProof/>
                <w:webHidden/>
              </w:rPr>
              <w:fldChar w:fldCharType="begin"/>
            </w:r>
            <w:r>
              <w:rPr>
                <w:noProof/>
                <w:webHidden/>
              </w:rPr>
              <w:instrText xml:space="preserve"> PAGEREF _Toc100246234 \h </w:instrText>
            </w:r>
            <w:r>
              <w:rPr>
                <w:noProof/>
                <w:webHidden/>
              </w:rPr>
            </w:r>
            <w:r>
              <w:rPr>
                <w:noProof/>
                <w:webHidden/>
              </w:rPr>
              <w:fldChar w:fldCharType="separate"/>
            </w:r>
            <w:r>
              <w:rPr>
                <w:noProof/>
                <w:webHidden/>
              </w:rPr>
              <w:t>8</w:t>
            </w:r>
            <w:r>
              <w:rPr>
                <w:noProof/>
                <w:webHidden/>
              </w:rPr>
              <w:fldChar w:fldCharType="end"/>
            </w:r>
          </w:hyperlink>
        </w:p>
        <w:p w14:paraId="4391B98B" w14:textId="014F1130" w:rsidR="00CC41A8" w:rsidRDefault="00CC41A8">
          <w:pPr>
            <w:pStyle w:val="TOC2"/>
            <w:tabs>
              <w:tab w:val="right" w:leader="dot" w:pos="9062"/>
            </w:tabs>
            <w:rPr>
              <w:rFonts w:eastAsiaTheme="minorEastAsia"/>
              <w:b w:val="0"/>
              <w:bCs w:val="0"/>
              <w:noProof/>
              <w:sz w:val="24"/>
              <w:szCs w:val="24"/>
              <w:lang w:val="en-IS" w:eastAsia="en-GB"/>
            </w:rPr>
          </w:pPr>
          <w:hyperlink w:anchor="_Toc100246235" w:history="1">
            <w:r w:rsidRPr="0066252D">
              <w:rPr>
                <w:rStyle w:val="Hyperlink"/>
                <w:noProof/>
              </w:rPr>
              <w:t>Smell test</w:t>
            </w:r>
            <w:r>
              <w:rPr>
                <w:noProof/>
                <w:webHidden/>
              </w:rPr>
              <w:tab/>
            </w:r>
            <w:r>
              <w:rPr>
                <w:noProof/>
                <w:webHidden/>
              </w:rPr>
              <w:fldChar w:fldCharType="begin"/>
            </w:r>
            <w:r>
              <w:rPr>
                <w:noProof/>
                <w:webHidden/>
              </w:rPr>
              <w:instrText xml:space="preserve"> PAGEREF _Toc100246235 \h </w:instrText>
            </w:r>
            <w:r>
              <w:rPr>
                <w:noProof/>
                <w:webHidden/>
              </w:rPr>
            </w:r>
            <w:r>
              <w:rPr>
                <w:noProof/>
                <w:webHidden/>
              </w:rPr>
              <w:fldChar w:fldCharType="separate"/>
            </w:r>
            <w:r>
              <w:rPr>
                <w:noProof/>
                <w:webHidden/>
              </w:rPr>
              <w:t>8</w:t>
            </w:r>
            <w:r>
              <w:rPr>
                <w:noProof/>
                <w:webHidden/>
              </w:rPr>
              <w:fldChar w:fldCharType="end"/>
            </w:r>
          </w:hyperlink>
        </w:p>
        <w:p w14:paraId="4887EC7A" w14:textId="5C2B61C0" w:rsidR="00CC41A8" w:rsidRDefault="00CC41A8">
          <w:pPr>
            <w:pStyle w:val="TOC2"/>
            <w:tabs>
              <w:tab w:val="right" w:leader="dot" w:pos="9062"/>
            </w:tabs>
            <w:rPr>
              <w:rFonts w:eastAsiaTheme="minorEastAsia"/>
              <w:b w:val="0"/>
              <w:bCs w:val="0"/>
              <w:noProof/>
              <w:sz w:val="24"/>
              <w:szCs w:val="24"/>
              <w:lang w:val="en-IS" w:eastAsia="en-GB"/>
            </w:rPr>
          </w:pPr>
          <w:hyperlink w:anchor="_Toc100246236" w:history="1">
            <w:r w:rsidRPr="0066252D">
              <w:rPr>
                <w:rStyle w:val="Hyperlink"/>
                <w:noProof/>
              </w:rPr>
              <w:t>Taste test</w:t>
            </w:r>
            <w:r>
              <w:rPr>
                <w:noProof/>
                <w:webHidden/>
              </w:rPr>
              <w:tab/>
            </w:r>
            <w:r>
              <w:rPr>
                <w:noProof/>
                <w:webHidden/>
              </w:rPr>
              <w:fldChar w:fldCharType="begin"/>
            </w:r>
            <w:r>
              <w:rPr>
                <w:noProof/>
                <w:webHidden/>
              </w:rPr>
              <w:instrText xml:space="preserve"> PAGEREF _Toc100246236 \h </w:instrText>
            </w:r>
            <w:r>
              <w:rPr>
                <w:noProof/>
                <w:webHidden/>
              </w:rPr>
            </w:r>
            <w:r>
              <w:rPr>
                <w:noProof/>
                <w:webHidden/>
              </w:rPr>
              <w:fldChar w:fldCharType="separate"/>
            </w:r>
            <w:r>
              <w:rPr>
                <w:noProof/>
                <w:webHidden/>
              </w:rPr>
              <w:t>9</w:t>
            </w:r>
            <w:r>
              <w:rPr>
                <w:noProof/>
                <w:webHidden/>
              </w:rPr>
              <w:fldChar w:fldCharType="end"/>
            </w:r>
          </w:hyperlink>
        </w:p>
        <w:p w14:paraId="2187DC23" w14:textId="595FCC2D" w:rsidR="00CC41A8" w:rsidRDefault="00CC41A8">
          <w:pPr>
            <w:pStyle w:val="TOC2"/>
            <w:tabs>
              <w:tab w:val="right" w:leader="dot" w:pos="9062"/>
            </w:tabs>
            <w:rPr>
              <w:rFonts w:eastAsiaTheme="minorEastAsia"/>
              <w:b w:val="0"/>
              <w:bCs w:val="0"/>
              <w:noProof/>
              <w:sz w:val="24"/>
              <w:szCs w:val="24"/>
              <w:lang w:val="en-IS" w:eastAsia="en-GB"/>
            </w:rPr>
          </w:pPr>
          <w:hyperlink w:anchor="_Toc100246237" w:history="1">
            <w:r w:rsidRPr="0066252D">
              <w:rPr>
                <w:rStyle w:val="Hyperlink"/>
                <w:noProof/>
              </w:rPr>
              <w:t>Hearing test</w:t>
            </w:r>
            <w:r>
              <w:rPr>
                <w:noProof/>
                <w:webHidden/>
              </w:rPr>
              <w:tab/>
            </w:r>
            <w:r>
              <w:rPr>
                <w:noProof/>
                <w:webHidden/>
              </w:rPr>
              <w:fldChar w:fldCharType="begin"/>
            </w:r>
            <w:r>
              <w:rPr>
                <w:noProof/>
                <w:webHidden/>
              </w:rPr>
              <w:instrText xml:space="preserve"> PAGEREF _Toc100246237 \h </w:instrText>
            </w:r>
            <w:r>
              <w:rPr>
                <w:noProof/>
                <w:webHidden/>
              </w:rPr>
            </w:r>
            <w:r>
              <w:rPr>
                <w:noProof/>
                <w:webHidden/>
              </w:rPr>
              <w:fldChar w:fldCharType="separate"/>
            </w:r>
            <w:r>
              <w:rPr>
                <w:noProof/>
                <w:webHidden/>
              </w:rPr>
              <w:t>9</w:t>
            </w:r>
            <w:r>
              <w:rPr>
                <w:noProof/>
                <w:webHidden/>
              </w:rPr>
              <w:fldChar w:fldCharType="end"/>
            </w:r>
          </w:hyperlink>
        </w:p>
        <w:p w14:paraId="7415000E" w14:textId="2FA7894F" w:rsidR="00CC41A8" w:rsidRDefault="00CC41A8">
          <w:pPr>
            <w:pStyle w:val="TOC2"/>
            <w:tabs>
              <w:tab w:val="right" w:leader="dot" w:pos="9062"/>
            </w:tabs>
            <w:rPr>
              <w:rFonts w:eastAsiaTheme="minorEastAsia"/>
              <w:b w:val="0"/>
              <w:bCs w:val="0"/>
              <w:noProof/>
              <w:sz w:val="24"/>
              <w:szCs w:val="24"/>
              <w:lang w:val="en-IS" w:eastAsia="en-GB"/>
            </w:rPr>
          </w:pPr>
          <w:hyperlink w:anchor="_Toc100246238" w:history="1">
            <w:r w:rsidRPr="0066252D">
              <w:rPr>
                <w:rStyle w:val="Hyperlink"/>
                <w:noProof/>
              </w:rPr>
              <w:t>Spirometry</w:t>
            </w:r>
            <w:r>
              <w:rPr>
                <w:noProof/>
                <w:webHidden/>
              </w:rPr>
              <w:tab/>
            </w:r>
            <w:r>
              <w:rPr>
                <w:noProof/>
                <w:webHidden/>
              </w:rPr>
              <w:fldChar w:fldCharType="begin"/>
            </w:r>
            <w:r>
              <w:rPr>
                <w:noProof/>
                <w:webHidden/>
              </w:rPr>
              <w:instrText xml:space="preserve"> PAGEREF _Toc100246238 \h </w:instrText>
            </w:r>
            <w:r>
              <w:rPr>
                <w:noProof/>
                <w:webHidden/>
              </w:rPr>
            </w:r>
            <w:r>
              <w:rPr>
                <w:noProof/>
                <w:webHidden/>
              </w:rPr>
              <w:fldChar w:fldCharType="separate"/>
            </w:r>
            <w:r>
              <w:rPr>
                <w:noProof/>
                <w:webHidden/>
              </w:rPr>
              <w:t>10</w:t>
            </w:r>
            <w:r>
              <w:rPr>
                <w:noProof/>
                <w:webHidden/>
              </w:rPr>
              <w:fldChar w:fldCharType="end"/>
            </w:r>
          </w:hyperlink>
        </w:p>
        <w:p w14:paraId="64B01504" w14:textId="1834805F" w:rsidR="00CC41A8" w:rsidRDefault="00CC41A8">
          <w:pPr>
            <w:pStyle w:val="TOC2"/>
            <w:tabs>
              <w:tab w:val="right" w:leader="dot" w:pos="9062"/>
            </w:tabs>
            <w:rPr>
              <w:rFonts w:eastAsiaTheme="minorEastAsia"/>
              <w:b w:val="0"/>
              <w:bCs w:val="0"/>
              <w:noProof/>
              <w:sz w:val="24"/>
              <w:szCs w:val="24"/>
              <w:lang w:val="en-IS" w:eastAsia="en-GB"/>
            </w:rPr>
          </w:pPr>
          <w:hyperlink w:anchor="_Toc100246239" w:history="1">
            <w:r w:rsidRPr="0066252D">
              <w:rPr>
                <w:rStyle w:val="Hyperlink"/>
                <w:noProof/>
              </w:rPr>
              <w:t>Cardiopulmonary exercise test</w:t>
            </w:r>
            <w:r>
              <w:rPr>
                <w:noProof/>
                <w:webHidden/>
              </w:rPr>
              <w:tab/>
            </w:r>
            <w:r>
              <w:rPr>
                <w:noProof/>
                <w:webHidden/>
              </w:rPr>
              <w:fldChar w:fldCharType="begin"/>
            </w:r>
            <w:r>
              <w:rPr>
                <w:noProof/>
                <w:webHidden/>
              </w:rPr>
              <w:instrText xml:space="preserve"> PAGEREF _Toc100246239 \h </w:instrText>
            </w:r>
            <w:r>
              <w:rPr>
                <w:noProof/>
                <w:webHidden/>
              </w:rPr>
            </w:r>
            <w:r>
              <w:rPr>
                <w:noProof/>
                <w:webHidden/>
              </w:rPr>
              <w:fldChar w:fldCharType="separate"/>
            </w:r>
            <w:r>
              <w:rPr>
                <w:noProof/>
                <w:webHidden/>
              </w:rPr>
              <w:t>10</w:t>
            </w:r>
            <w:r>
              <w:rPr>
                <w:noProof/>
                <w:webHidden/>
              </w:rPr>
              <w:fldChar w:fldCharType="end"/>
            </w:r>
          </w:hyperlink>
        </w:p>
        <w:p w14:paraId="52232513" w14:textId="33AA9C16" w:rsidR="00CC41A8" w:rsidRDefault="00CC41A8">
          <w:pPr>
            <w:pStyle w:val="TOC2"/>
            <w:tabs>
              <w:tab w:val="right" w:leader="dot" w:pos="9062"/>
            </w:tabs>
            <w:rPr>
              <w:rFonts w:eastAsiaTheme="minorEastAsia"/>
              <w:b w:val="0"/>
              <w:bCs w:val="0"/>
              <w:noProof/>
              <w:sz w:val="24"/>
              <w:szCs w:val="24"/>
              <w:lang w:val="en-IS" w:eastAsia="en-GB"/>
            </w:rPr>
          </w:pPr>
          <w:hyperlink w:anchor="_Toc100246240" w:history="1">
            <w:r w:rsidRPr="0066252D">
              <w:rPr>
                <w:rStyle w:val="Hyperlink"/>
                <w:noProof/>
              </w:rPr>
              <w:t>Cognitive tests</w:t>
            </w:r>
            <w:r>
              <w:rPr>
                <w:noProof/>
                <w:webHidden/>
              </w:rPr>
              <w:tab/>
            </w:r>
            <w:r>
              <w:rPr>
                <w:noProof/>
                <w:webHidden/>
              </w:rPr>
              <w:fldChar w:fldCharType="begin"/>
            </w:r>
            <w:r>
              <w:rPr>
                <w:noProof/>
                <w:webHidden/>
              </w:rPr>
              <w:instrText xml:space="preserve"> PAGEREF _Toc100246240 \h </w:instrText>
            </w:r>
            <w:r>
              <w:rPr>
                <w:noProof/>
                <w:webHidden/>
              </w:rPr>
            </w:r>
            <w:r>
              <w:rPr>
                <w:noProof/>
                <w:webHidden/>
              </w:rPr>
              <w:fldChar w:fldCharType="separate"/>
            </w:r>
            <w:r>
              <w:rPr>
                <w:noProof/>
                <w:webHidden/>
              </w:rPr>
              <w:t>10</w:t>
            </w:r>
            <w:r>
              <w:rPr>
                <w:noProof/>
                <w:webHidden/>
              </w:rPr>
              <w:fldChar w:fldCharType="end"/>
            </w:r>
          </w:hyperlink>
        </w:p>
        <w:p w14:paraId="295235F3" w14:textId="09ECD5B8" w:rsidR="00CC41A8" w:rsidRDefault="00CC41A8">
          <w:pPr>
            <w:pStyle w:val="TOC3"/>
            <w:tabs>
              <w:tab w:val="right" w:leader="dot" w:pos="9062"/>
            </w:tabs>
            <w:rPr>
              <w:rFonts w:eastAsiaTheme="minorEastAsia"/>
              <w:noProof/>
              <w:sz w:val="24"/>
              <w:szCs w:val="24"/>
              <w:lang w:val="en-IS" w:eastAsia="en-GB"/>
            </w:rPr>
          </w:pPr>
          <w:hyperlink w:anchor="_Toc100246241" w:history="1">
            <w:r w:rsidRPr="0066252D">
              <w:rPr>
                <w:rStyle w:val="Hyperlink"/>
                <w:noProof/>
              </w:rPr>
              <w:t>Digit Coding</w:t>
            </w:r>
            <w:r>
              <w:rPr>
                <w:noProof/>
                <w:webHidden/>
              </w:rPr>
              <w:tab/>
            </w:r>
            <w:r>
              <w:rPr>
                <w:noProof/>
                <w:webHidden/>
              </w:rPr>
              <w:fldChar w:fldCharType="begin"/>
            </w:r>
            <w:r>
              <w:rPr>
                <w:noProof/>
                <w:webHidden/>
              </w:rPr>
              <w:instrText xml:space="preserve"> PAGEREF _Toc100246241 \h </w:instrText>
            </w:r>
            <w:r>
              <w:rPr>
                <w:noProof/>
                <w:webHidden/>
              </w:rPr>
            </w:r>
            <w:r>
              <w:rPr>
                <w:noProof/>
                <w:webHidden/>
              </w:rPr>
              <w:fldChar w:fldCharType="separate"/>
            </w:r>
            <w:r>
              <w:rPr>
                <w:noProof/>
                <w:webHidden/>
              </w:rPr>
              <w:t>10</w:t>
            </w:r>
            <w:r>
              <w:rPr>
                <w:noProof/>
                <w:webHidden/>
              </w:rPr>
              <w:fldChar w:fldCharType="end"/>
            </w:r>
          </w:hyperlink>
        </w:p>
        <w:p w14:paraId="51EC8245" w14:textId="3D84BC96" w:rsidR="00CC41A8" w:rsidRDefault="00CC41A8">
          <w:pPr>
            <w:pStyle w:val="TOC3"/>
            <w:tabs>
              <w:tab w:val="right" w:leader="dot" w:pos="9062"/>
            </w:tabs>
            <w:rPr>
              <w:rFonts w:eastAsiaTheme="minorEastAsia"/>
              <w:noProof/>
              <w:sz w:val="24"/>
              <w:szCs w:val="24"/>
              <w:lang w:val="en-IS" w:eastAsia="en-GB"/>
            </w:rPr>
          </w:pPr>
          <w:hyperlink w:anchor="_Toc100246242" w:history="1">
            <w:r w:rsidRPr="0066252D">
              <w:rPr>
                <w:rStyle w:val="Hyperlink"/>
                <w:noProof/>
              </w:rPr>
              <w:t>Letter and Category Fluency</w:t>
            </w:r>
            <w:r>
              <w:rPr>
                <w:noProof/>
                <w:webHidden/>
              </w:rPr>
              <w:tab/>
            </w:r>
            <w:r>
              <w:rPr>
                <w:noProof/>
                <w:webHidden/>
              </w:rPr>
              <w:fldChar w:fldCharType="begin"/>
            </w:r>
            <w:r>
              <w:rPr>
                <w:noProof/>
                <w:webHidden/>
              </w:rPr>
              <w:instrText xml:space="preserve"> PAGEREF _Toc100246242 \h </w:instrText>
            </w:r>
            <w:r>
              <w:rPr>
                <w:noProof/>
                <w:webHidden/>
              </w:rPr>
            </w:r>
            <w:r>
              <w:rPr>
                <w:noProof/>
                <w:webHidden/>
              </w:rPr>
              <w:fldChar w:fldCharType="separate"/>
            </w:r>
            <w:r>
              <w:rPr>
                <w:noProof/>
                <w:webHidden/>
              </w:rPr>
              <w:t>11</w:t>
            </w:r>
            <w:r>
              <w:rPr>
                <w:noProof/>
                <w:webHidden/>
              </w:rPr>
              <w:fldChar w:fldCharType="end"/>
            </w:r>
          </w:hyperlink>
        </w:p>
        <w:p w14:paraId="794E667B" w14:textId="74965902" w:rsidR="00CC41A8" w:rsidRDefault="00CC41A8">
          <w:pPr>
            <w:pStyle w:val="TOC3"/>
            <w:tabs>
              <w:tab w:val="right" w:leader="dot" w:pos="9062"/>
            </w:tabs>
            <w:rPr>
              <w:rFonts w:eastAsiaTheme="minorEastAsia"/>
              <w:noProof/>
              <w:sz w:val="24"/>
              <w:szCs w:val="24"/>
              <w:lang w:val="en-IS" w:eastAsia="en-GB"/>
            </w:rPr>
          </w:pPr>
          <w:hyperlink w:anchor="_Toc100246243" w:history="1">
            <w:r w:rsidRPr="0066252D">
              <w:rPr>
                <w:rStyle w:val="Hyperlink"/>
                <w:noProof/>
              </w:rPr>
              <w:t>Logical Memory</w:t>
            </w:r>
            <w:r>
              <w:rPr>
                <w:noProof/>
                <w:webHidden/>
              </w:rPr>
              <w:tab/>
            </w:r>
            <w:r>
              <w:rPr>
                <w:noProof/>
                <w:webHidden/>
              </w:rPr>
              <w:fldChar w:fldCharType="begin"/>
            </w:r>
            <w:r>
              <w:rPr>
                <w:noProof/>
                <w:webHidden/>
              </w:rPr>
              <w:instrText xml:space="preserve"> PAGEREF _Toc100246243 \h </w:instrText>
            </w:r>
            <w:r>
              <w:rPr>
                <w:noProof/>
                <w:webHidden/>
              </w:rPr>
            </w:r>
            <w:r>
              <w:rPr>
                <w:noProof/>
                <w:webHidden/>
              </w:rPr>
              <w:fldChar w:fldCharType="separate"/>
            </w:r>
            <w:r>
              <w:rPr>
                <w:noProof/>
                <w:webHidden/>
              </w:rPr>
              <w:t>11</w:t>
            </w:r>
            <w:r>
              <w:rPr>
                <w:noProof/>
                <w:webHidden/>
              </w:rPr>
              <w:fldChar w:fldCharType="end"/>
            </w:r>
          </w:hyperlink>
        </w:p>
        <w:p w14:paraId="4FBE7F95" w14:textId="0BA8A9B5" w:rsidR="00CC41A8" w:rsidRDefault="00CC41A8">
          <w:pPr>
            <w:pStyle w:val="TOC3"/>
            <w:tabs>
              <w:tab w:val="right" w:leader="dot" w:pos="9062"/>
            </w:tabs>
            <w:rPr>
              <w:rFonts w:eastAsiaTheme="minorEastAsia"/>
              <w:noProof/>
              <w:sz w:val="24"/>
              <w:szCs w:val="24"/>
              <w:lang w:val="en-IS" w:eastAsia="en-GB"/>
            </w:rPr>
          </w:pPr>
          <w:hyperlink w:anchor="_Toc100246244" w:history="1">
            <w:r w:rsidRPr="0066252D">
              <w:rPr>
                <w:rStyle w:val="Hyperlink"/>
                <w:noProof/>
              </w:rPr>
              <w:t>Spatial Working Memory</w:t>
            </w:r>
            <w:r>
              <w:rPr>
                <w:noProof/>
                <w:webHidden/>
              </w:rPr>
              <w:tab/>
            </w:r>
            <w:r>
              <w:rPr>
                <w:noProof/>
                <w:webHidden/>
              </w:rPr>
              <w:fldChar w:fldCharType="begin"/>
            </w:r>
            <w:r>
              <w:rPr>
                <w:noProof/>
                <w:webHidden/>
              </w:rPr>
              <w:instrText xml:space="preserve"> PAGEREF _Toc100246244 \h </w:instrText>
            </w:r>
            <w:r>
              <w:rPr>
                <w:noProof/>
                <w:webHidden/>
              </w:rPr>
            </w:r>
            <w:r>
              <w:rPr>
                <w:noProof/>
                <w:webHidden/>
              </w:rPr>
              <w:fldChar w:fldCharType="separate"/>
            </w:r>
            <w:r>
              <w:rPr>
                <w:noProof/>
                <w:webHidden/>
              </w:rPr>
              <w:t>11</w:t>
            </w:r>
            <w:r>
              <w:rPr>
                <w:noProof/>
                <w:webHidden/>
              </w:rPr>
              <w:fldChar w:fldCharType="end"/>
            </w:r>
          </w:hyperlink>
        </w:p>
        <w:p w14:paraId="5A315D8E" w14:textId="380FDFAD" w:rsidR="00CC41A8" w:rsidRDefault="00CC41A8">
          <w:pPr>
            <w:pStyle w:val="TOC3"/>
            <w:tabs>
              <w:tab w:val="right" w:leader="dot" w:pos="9062"/>
            </w:tabs>
            <w:rPr>
              <w:rFonts w:eastAsiaTheme="minorEastAsia"/>
              <w:noProof/>
              <w:sz w:val="24"/>
              <w:szCs w:val="24"/>
              <w:lang w:val="en-IS" w:eastAsia="en-GB"/>
            </w:rPr>
          </w:pPr>
          <w:hyperlink w:anchor="_Toc100246245" w:history="1">
            <w:r w:rsidRPr="0066252D">
              <w:rPr>
                <w:rStyle w:val="Hyperlink"/>
                <w:noProof/>
              </w:rPr>
              <w:t>Trail Making Test</w:t>
            </w:r>
            <w:r>
              <w:rPr>
                <w:noProof/>
                <w:webHidden/>
              </w:rPr>
              <w:tab/>
            </w:r>
            <w:r>
              <w:rPr>
                <w:noProof/>
                <w:webHidden/>
              </w:rPr>
              <w:fldChar w:fldCharType="begin"/>
            </w:r>
            <w:r>
              <w:rPr>
                <w:noProof/>
                <w:webHidden/>
              </w:rPr>
              <w:instrText xml:space="preserve"> PAGEREF _Toc100246245 \h </w:instrText>
            </w:r>
            <w:r>
              <w:rPr>
                <w:noProof/>
                <w:webHidden/>
              </w:rPr>
            </w:r>
            <w:r>
              <w:rPr>
                <w:noProof/>
                <w:webHidden/>
              </w:rPr>
              <w:fldChar w:fldCharType="separate"/>
            </w:r>
            <w:r>
              <w:rPr>
                <w:noProof/>
                <w:webHidden/>
              </w:rPr>
              <w:t>11</w:t>
            </w:r>
            <w:r>
              <w:rPr>
                <w:noProof/>
                <w:webHidden/>
              </w:rPr>
              <w:fldChar w:fldCharType="end"/>
            </w:r>
          </w:hyperlink>
        </w:p>
        <w:p w14:paraId="32DEF60A" w14:textId="6CD660B2" w:rsidR="00CC41A8" w:rsidRDefault="00CC41A8">
          <w:pPr>
            <w:pStyle w:val="TOC3"/>
            <w:tabs>
              <w:tab w:val="right" w:leader="dot" w:pos="9062"/>
            </w:tabs>
            <w:rPr>
              <w:rFonts w:eastAsiaTheme="minorEastAsia"/>
              <w:noProof/>
              <w:sz w:val="24"/>
              <w:szCs w:val="24"/>
              <w:lang w:val="en-IS" w:eastAsia="en-GB"/>
            </w:rPr>
          </w:pPr>
          <w:hyperlink w:anchor="_Toc100246246" w:history="1">
            <w:r w:rsidRPr="0066252D">
              <w:rPr>
                <w:rStyle w:val="Hyperlink"/>
                <w:noProof/>
              </w:rPr>
              <w:t>Wechsler Abbreviated Scale of Intelligence</w:t>
            </w:r>
            <w:r>
              <w:rPr>
                <w:noProof/>
                <w:webHidden/>
              </w:rPr>
              <w:tab/>
            </w:r>
            <w:r>
              <w:rPr>
                <w:noProof/>
                <w:webHidden/>
              </w:rPr>
              <w:fldChar w:fldCharType="begin"/>
            </w:r>
            <w:r>
              <w:rPr>
                <w:noProof/>
                <w:webHidden/>
              </w:rPr>
              <w:instrText xml:space="preserve"> PAGEREF _Toc100246246 \h </w:instrText>
            </w:r>
            <w:r>
              <w:rPr>
                <w:noProof/>
                <w:webHidden/>
              </w:rPr>
            </w:r>
            <w:r>
              <w:rPr>
                <w:noProof/>
                <w:webHidden/>
              </w:rPr>
              <w:fldChar w:fldCharType="separate"/>
            </w:r>
            <w:r>
              <w:rPr>
                <w:noProof/>
                <w:webHidden/>
              </w:rPr>
              <w:t>11</w:t>
            </w:r>
            <w:r>
              <w:rPr>
                <w:noProof/>
                <w:webHidden/>
              </w:rPr>
              <w:fldChar w:fldCharType="end"/>
            </w:r>
          </w:hyperlink>
        </w:p>
        <w:p w14:paraId="2E91B53A" w14:textId="4014981E" w:rsidR="00CC41A8" w:rsidRDefault="00CC41A8">
          <w:pPr>
            <w:pStyle w:val="TOC2"/>
            <w:tabs>
              <w:tab w:val="right" w:leader="dot" w:pos="9062"/>
            </w:tabs>
            <w:rPr>
              <w:rFonts w:eastAsiaTheme="minorEastAsia"/>
              <w:b w:val="0"/>
              <w:bCs w:val="0"/>
              <w:noProof/>
              <w:sz w:val="24"/>
              <w:szCs w:val="24"/>
              <w:lang w:val="en-IS" w:eastAsia="en-GB"/>
            </w:rPr>
          </w:pPr>
          <w:hyperlink w:anchor="_Toc100246247" w:history="1">
            <w:r w:rsidRPr="0066252D">
              <w:rPr>
                <w:rStyle w:val="Hyperlink"/>
                <w:noProof/>
              </w:rPr>
              <w:t>Blood tests</w:t>
            </w:r>
            <w:r>
              <w:rPr>
                <w:noProof/>
                <w:webHidden/>
              </w:rPr>
              <w:tab/>
            </w:r>
            <w:r>
              <w:rPr>
                <w:noProof/>
                <w:webHidden/>
              </w:rPr>
              <w:fldChar w:fldCharType="begin"/>
            </w:r>
            <w:r>
              <w:rPr>
                <w:noProof/>
                <w:webHidden/>
              </w:rPr>
              <w:instrText xml:space="preserve"> PAGEREF _Toc100246247 \h </w:instrText>
            </w:r>
            <w:r>
              <w:rPr>
                <w:noProof/>
                <w:webHidden/>
              </w:rPr>
            </w:r>
            <w:r>
              <w:rPr>
                <w:noProof/>
                <w:webHidden/>
              </w:rPr>
              <w:fldChar w:fldCharType="separate"/>
            </w:r>
            <w:r>
              <w:rPr>
                <w:noProof/>
                <w:webHidden/>
              </w:rPr>
              <w:t>11</w:t>
            </w:r>
            <w:r>
              <w:rPr>
                <w:noProof/>
                <w:webHidden/>
              </w:rPr>
              <w:fldChar w:fldCharType="end"/>
            </w:r>
          </w:hyperlink>
        </w:p>
        <w:p w14:paraId="26E23283" w14:textId="503AB946" w:rsidR="00CC41A8" w:rsidRDefault="00CC41A8">
          <w:pPr>
            <w:pStyle w:val="TOC2"/>
            <w:tabs>
              <w:tab w:val="right" w:leader="dot" w:pos="9062"/>
            </w:tabs>
            <w:rPr>
              <w:rFonts w:eastAsiaTheme="minorEastAsia"/>
              <w:b w:val="0"/>
              <w:bCs w:val="0"/>
              <w:noProof/>
              <w:sz w:val="24"/>
              <w:szCs w:val="24"/>
              <w:lang w:val="en-IS" w:eastAsia="en-GB"/>
            </w:rPr>
          </w:pPr>
          <w:hyperlink w:anchor="_Toc100246248" w:history="1">
            <w:r w:rsidRPr="0066252D">
              <w:rPr>
                <w:rStyle w:val="Hyperlink"/>
                <w:noProof/>
              </w:rPr>
              <w:t>Ambulatory sleep study</w:t>
            </w:r>
            <w:r>
              <w:rPr>
                <w:noProof/>
                <w:webHidden/>
              </w:rPr>
              <w:tab/>
            </w:r>
            <w:r>
              <w:rPr>
                <w:noProof/>
                <w:webHidden/>
              </w:rPr>
              <w:fldChar w:fldCharType="begin"/>
            </w:r>
            <w:r>
              <w:rPr>
                <w:noProof/>
                <w:webHidden/>
              </w:rPr>
              <w:instrText xml:space="preserve"> PAGEREF _Toc100246248 \h </w:instrText>
            </w:r>
            <w:r>
              <w:rPr>
                <w:noProof/>
                <w:webHidden/>
              </w:rPr>
            </w:r>
            <w:r>
              <w:rPr>
                <w:noProof/>
                <w:webHidden/>
              </w:rPr>
              <w:fldChar w:fldCharType="separate"/>
            </w:r>
            <w:r>
              <w:rPr>
                <w:noProof/>
                <w:webHidden/>
              </w:rPr>
              <w:t>11</w:t>
            </w:r>
            <w:r>
              <w:rPr>
                <w:noProof/>
                <w:webHidden/>
              </w:rPr>
              <w:fldChar w:fldCharType="end"/>
            </w:r>
          </w:hyperlink>
        </w:p>
        <w:p w14:paraId="4EB88728" w14:textId="39C94185" w:rsidR="00CC41A8" w:rsidRDefault="00CC41A8">
          <w:pPr>
            <w:pStyle w:val="TOC2"/>
            <w:tabs>
              <w:tab w:val="right" w:leader="dot" w:pos="9062"/>
            </w:tabs>
            <w:rPr>
              <w:rFonts w:eastAsiaTheme="minorEastAsia"/>
              <w:b w:val="0"/>
              <w:bCs w:val="0"/>
              <w:noProof/>
              <w:sz w:val="24"/>
              <w:szCs w:val="24"/>
              <w:lang w:val="en-IS" w:eastAsia="en-GB"/>
            </w:rPr>
          </w:pPr>
          <w:hyperlink w:anchor="_Toc100246249" w:history="1">
            <w:r w:rsidRPr="0066252D">
              <w:rPr>
                <w:rStyle w:val="Hyperlink"/>
                <w:noProof/>
              </w:rPr>
              <w:t>Confirmation of SARS-CoV-2 infection</w:t>
            </w:r>
            <w:r>
              <w:rPr>
                <w:noProof/>
                <w:webHidden/>
              </w:rPr>
              <w:tab/>
            </w:r>
            <w:r>
              <w:rPr>
                <w:noProof/>
                <w:webHidden/>
              </w:rPr>
              <w:fldChar w:fldCharType="begin"/>
            </w:r>
            <w:r>
              <w:rPr>
                <w:noProof/>
                <w:webHidden/>
              </w:rPr>
              <w:instrText xml:space="preserve"> PAGEREF _Toc100246249 \h </w:instrText>
            </w:r>
            <w:r>
              <w:rPr>
                <w:noProof/>
                <w:webHidden/>
              </w:rPr>
            </w:r>
            <w:r>
              <w:rPr>
                <w:noProof/>
                <w:webHidden/>
              </w:rPr>
              <w:fldChar w:fldCharType="separate"/>
            </w:r>
            <w:r>
              <w:rPr>
                <w:noProof/>
                <w:webHidden/>
              </w:rPr>
              <w:t>12</w:t>
            </w:r>
            <w:r>
              <w:rPr>
                <w:noProof/>
                <w:webHidden/>
              </w:rPr>
              <w:fldChar w:fldCharType="end"/>
            </w:r>
          </w:hyperlink>
        </w:p>
        <w:p w14:paraId="1825F2E2" w14:textId="2B50F018" w:rsidR="00CC41A8" w:rsidRDefault="00CC41A8">
          <w:pPr>
            <w:pStyle w:val="TOC2"/>
            <w:tabs>
              <w:tab w:val="right" w:leader="dot" w:pos="9062"/>
            </w:tabs>
            <w:rPr>
              <w:rFonts w:eastAsiaTheme="minorEastAsia"/>
              <w:b w:val="0"/>
              <w:bCs w:val="0"/>
              <w:noProof/>
              <w:sz w:val="24"/>
              <w:szCs w:val="24"/>
              <w:lang w:val="en-IS" w:eastAsia="en-GB"/>
            </w:rPr>
          </w:pPr>
          <w:hyperlink w:anchor="_Toc100246250" w:history="1">
            <w:r w:rsidRPr="0066252D">
              <w:rPr>
                <w:rStyle w:val="Hyperlink"/>
                <w:noProof/>
              </w:rPr>
              <w:t>Severity scale and categories</w:t>
            </w:r>
            <w:r>
              <w:rPr>
                <w:noProof/>
                <w:webHidden/>
              </w:rPr>
              <w:tab/>
            </w:r>
            <w:r>
              <w:rPr>
                <w:noProof/>
                <w:webHidden/>
              </w:rPr>
              <w:fldChar w:fldCharType="begin"/>
            </w:r>
            <w:r>
              <w:rPr>
                <w:noProof/>
                <w:webHidden/>
              </w:rPr>
              <w:instrText xml:space="preserve"> PAGEREF _Toc100246250 \h </w:instrText>
            </w:r>
            <w:r>
              <w:rPr>
                <w:noProof/>
                <w:webHidden/>
              </w:rPr>
            </w:r>
            <w:r>
              <w:rPr>
                <w:noProof/>
                <w:webHidden/>
              </w:rPr>
              <w:fldChar w:fldCharType="separate"/>
            </w:r>
            <w:r>
              <w:rPr>
                <w:noProof/>
                <w:webHidden/>
              </w:rPr>
              <w:t>12</w:t>
            </w:r>
            <w:r>
              <w:rPr>
                <w:noProof/>
                <w:webHidden/>
              </w:rPr>
              <w:fldChar w:fldCharType="end"/>
            </w:r>
          </w:hyperlink>
        </w:p>
        <w:p w14:paraId="02E38A6B" w14:textId="122A0C93" w:rsidR="00CC41A8" w:rsidRDefault="00CC41A8">
          <w:pPr>
            <w:pStyle w:val="TOC2"/>
            <w:tabs>
              <w:tab w:val="right" w:leader="dot" w:pos="9062"/>
            </w:tabs>
            <w:rPr>
              <w:rFonts w:eastAsiaTheme="minorEastAsia"/>
              <w:b w:val="0"/>
              <w:bCs w:val="0"/>
              <w:noProof/>
              <w:sz w:val="24"/>
              <w:szCs w:val="24"/>
              <w:lang w:val="en-IS" w:eastAsia="en-GB"/>
            </w:rPr>
          </w:pPr>
          <w:hyperlink w:anchor="_Toc100246251" w:history="1">
            <w:r w:rsidRPr="0066252D">
              <w:rPr>
                <w:rStyle w:val="Hyperlink"/>
                <w:noProof/>
              </w:rPr>
              <w:t>Batch effect in phenotypic measures</w:t>
            </w:r>
            <w:r>
              <w:rPr>
                <w:noProof/>
                <w:webHidden/>
              </w:rPr>
              <w:tab/>
            </w:r>
            <w:r>
              <w:rPr>
                <w:noProof/>
                <w:webHidden/>
              </w:rPr>
              <w:fldChar w:fldCharType="begin"/>
            </w:r>
            <w:r>
              <w:rPr>
                <w:noProof/>
                <w:webHidden/>
              </w:rPr>
              <w:instrText xml:space="preserve"> PAGEREF _Toc100246251 \h </w:instrText>
            </w:r>
            <w:r>
              <w:rPr>
                <w:noProof/>
                <w:webHidden/>
              </w:rPr>
            </w:r>
            <w:r>
              <w:rPr>
                <w:noProof/>
                <w:webHidden/>
              </w:rPr>
              <w:fldChar w:fldCharType="separate"/>
            </w:r>
            <w:r>
              <w:rPr>
                <w:noProof/>
                <w:webHidden/>
              </w:rPr>
              <w:t>12</w:t>
            </w:r>
            <w:r>
              <w:rPr>
                <w:noProof/>
                <w:webHidden/>
              </w:rPr>
              <w:fldChar w:fldCharType="end"/>
            </w:r>
          </w:hyperlink>
        </w:p>
        <w:p w14:paraId="6E41D4D4" w14:textId="0A532FC7" w:rsidR="00CC41A8" w:rsidRDefault="00CC41A8">
          <w:pPr>
            <w:pStyle w:val="TOC2"/>
            <w:tabs>
              <w:tab w:val="right" w:leader="dot" w:pos="9062"/>
            </w:tabs>
            <w:rPr>
              <w:rFonts w:eastAsiaTheme="minorEastAsia"/>
              <w:b w:val="0"/>
              <w:bCs w:val="0"/>
              <w:noProof/>
              <w:sz w:val="24"/>
              <w:szCs w:val="24"/>
              <w:lang w:val="en-IS" w:eastAsia="en-GB"/>
            </w:rPr>
          </w:pPr>
          <w:hyperlink w:anchor="_Toc100246252" w:history="1">
            <w:r w:rsidRPr="0066252D">
              <w:rPr>
                <w:rStyle w:val="Hyperlink"/>
                <w:noProof/>
              </w:rPr>
              <w:t>Association analyses</w:t>
            </w:r>
            <w:r>
              <w:rPr>
                <w:noProof/>
                <w:webHidden/>
              </w:rPr>
              <w:tab/>
            </w:r>
            <w:r>
              <w:rPr>
                <w:noProof/>
                <w:webHidden/>
              </w:rPr>
              <w:fldChar w:fldCharType="begin"/>
            </w:r>
            <w:r>
              <w:rPr>
                <w:noProof/>
                <w:webHidden/>
              </w:rPr>
              <w:instrText xml:space="preserve"> PAGEREF _Toc100246252 \h </w:instrText>
            </w:r>
            <w:r>
              <w:rPr>
                <w:noProof/>
                <w:webHidden/>
              </w:rPr>
            </w:r>
            <w:r>
              <w:rPr>
                <w:noProof/>
                <w:webHidden/>
              </w:rPr>
              <w:fldChar w:fldCharType="separate"/>
            </w:r>
            <w:r>
              <w:rPr>
                <w:noProof/>
                <w:webHidden/>
              </w:rPr>
              <w:t>13</w:t>
            </w:r>
            <w:r>
              <w:rPr>
                <w:noProof/>
                <w:webHidden/>
              </w:rPr>
              <w:fldChar w:fldCharType="end"/>
            </w:r>
          </w:hyperlink>
        </w:p>
        <w:p w14:paraId="6E8EBE6E" w14:textId="2C86D89E" w:rsidR="00CC41A8" w:rsidRDefault="00CC41A8">
          <w:pPr>
            <w:pStyle w:val="TOC2"/>
            <w:tabs>
              <w:tab w:val="right" w:leader="dot" w:pos="9062"/>
            </w:tabs>
            <w:rPr>
              <w:rFonts w:eastAsiaTheme="minorEastAsia"/>
              <w:b w:val="0"/>
              <w:bCs w:val="0"/>
              <w:noProof/>
              <w:sz w:val="24"/>
              <w:szCs w:val="24"/>
              <w:lang w:val="en-IS" w:eastAsia="en-GB"/>
            </w:rPr>
          </w:pPr>
          <w:hyperlink w:anchor="_Toc100246253" w:history="1">
            <w:r w:rsidRPr="0066252D">
              <w:rPr>
                <w:rStyle w:val="Hyperlink"/>
                <w:noProof/>
              </w:rPr>
              <w:t>Comorbidities</w:t>
            </w:r>
            <w:r>
              <w:rPr>
                <w:noProof/>
                <w:webHidden/>
              </w:rPr>
              <w:tab/>
            </w:r>
            <w:r>
              <w:rPr>
                <w:noProof/>
                <w:webHidden/>
              </w:rPr>
              <w:fldChar w:fldCharType="begin"/>
            </w:r>
            <w:r>
              <w:rPr>
                <w:noProof/>
                <w:webHidden/>
              </w:rPr>
              <w:instrText xml:space="preserve"> PAGEREF _Toc100246253 \h </w:instrText>
            </w:r>
            <w:r>
              <w:rPr>
                <w:noProof/>
                <w:webHidden/>
              </w:rPr>
            </w:r>
            <w:r>
              <w:rPr>
                <w:noProof/>
                <w:webHidden/>
              </w:rPr>
              <w:fldChar w:fldCharType="separate"/>
            </w:r>
            <w:r>
              <w:rPr>
                <w:noProof/>
                <w:webHidden/>
              </w:rPr>
              <w:t>14</w:t>
            </w:r>
            <w:r>
              <w:rPr>
                <w:noProof/>
                <w:webHidden/>
              </w:rPr>
              <w:fldChar w:fldCharType="end"/>
            </w:r>
          </w:hyperlink>
        </w:p>
        <w:p w14:paraId="752C64A3" w14:textId="5433F03A" w:rsidR="00CC41A8" w:rsidRDefault="00CC41A8">
          <w:pPr>
            <w:pStyle w:val="TOC3"/>
            <w:tabs>
              <w:tab w:val="right" w:leader="dot" w:pos="9062"/>
            </w:tabs>
            <w:rPr>
              <w:rFonts w:eastAsiaTheme="minorEastAsia"/>
              <w:noProof/>
              <w:sz w:val="24"/>
              <w:szCs w:val="24"/>
              <w:lang w:val="en-IS" w:eastAsia="en-GB"/>
            </w:rPr>
          </w:pPr>
          <w:hyperlink w:anchor="_Toc100246254" w:history="1">
            <w:r w:rsidRPr="0066252D">
              <w:rPr>
                <w:rStyle w:val="Hyperlink"/>
                <w:noProof/>
              </w:rPr>
              <w:t>Asthma</w:t>
            </w:r>
            <w:r>
              <w:rPr>
                <w:noProof/>
                <w:webHidden/>
              </w:rPr>
              <w:tab/>
            </w:r>
            <w:r>
              <w:rPr>
                <w:noProof/>
                <w:webHidden/>
              </w:rPr>
              <w:fldChar w:fldCharType="begin"/>
            </w:r>
            <w:r>
              <w:rPr>
                <w:noProof/>
                <w:webHidden/>
              </w:rPr>
              <w:instrText xml:space="preserve"> PAGEREF _Toc100246254 \h </w:instrText>
            </w:r>
            <w:r>
              <w:rPr>
                <w:noProof/>
                <w:webHidden/>
              </w:rPr>
            </w:r>
            <w:r>
              <w:rPr>
                <w:noProof/>
                <w:webHidden/>
              </w:rPr>
              <w:fldChar w:fldCharType="separate"/>
            </w:r>
            <w:r>
              <w:rPr>
                <w:noProof/>
                <w:webHidden/>
              </w:rPr>
              <w:t>14</w:t>
            </w:r>
            <w:r>
              <w:rPr>
                <w:noProof/>
                <w:webHidden/>
              </w:rPr>
              <w:fldChar w:fldCharType="end"/>
            </w:r>
          </w:hyperlink>
        </w:p>
        <w:p w14:paraId="431DC9F6" w14:textId="1CB0248C" w:rsidR="00CC41A8" w:rsidRDefault="00CC41A8">
          <w:pPr>
            <w:pStyle w:val="TOC3"/>
            <w:tabs>
              <w:tab w:val="right" w:leader="dot" w:pos="9062"/>
            </w:tabs>
            <w:rPr>
              <w:rFonts w:eastAsiaTheme="minorEastAsia"/>
              <w:noProof/>
              <w:sz w:val="24"/>
              <w:szCs w:val="24"/>
              <w:lang w:val="en-IS" w:eastAsia="en-GB"/>
            </w:rPr>
          </w:pPr>
          <w:hyperlink w:anchor="_Toc100246255" w:history="1">
            <w:r w:rsidRPr="0066252D">
              <w:rPr>
                <w:rStyle w:val="Hyperlink"/>
                <w:noProof/>
              </w:rPr>
              <w:t>Cancer</w:t>
            </w:r>
            <w:r>
              <w:rPr>
                <w:noProof/>
                <w:webHidden/>
              </w:rPr>
              <w:tab/>
            </w:r>
            <w:r>
              <w:rPr>
                <w:noProof/>
                <w:webHidden/>
              </w:rPr>
              <w:fldChar w:fldCharType="begin"/>
            </w:r>
            <w:r>
              <w:rPr>
                <w:noProof/>
                <w:webHidden/>
              </w:rPr>
              <w:instrText xml:space="preserve"> PAGEREF _Toc100246255 \h </w:instrText>
            </w:r>
            <w:r>
              <w:rPr>
                <w:noProof/>
                <w:webHidden/>
              </w:rPr>
            </w:r>
            <w:r>
              <w:rPr>
                <w:noProof/>
                <w:webHidden/>
              </w:rPr>
              <w:fldChar w:fldCharType="separate"/>
            </w:r>
            <w:r>
              <w:rPr>
                <w:noProof/>
                <w:webHidden/>
              </w:rPr>
              <w:t>14</w:t>
            </w:r>
            <w:r>
              <w:rPr>
                <w:noProof/>
                <w:webHidden/>
              </w:rPr>
              <w:fldChar w:fldCharType="end"/>
            </w:r>
          </w:hyperlink>
        </w:p>
        <w:p w14:paraId="68D9A8DF" w14:textId="746053D6" w:rsidR="00CC41A8" w:rsidRDefault="00CC41A8">
          <w:pPr>
            <w:pStyle w:val="TOC3"/>
            <w:tabs>
              <w:tab w:val="right" w:leader="dot" w:pos="9062"/>
            </w:tabs>
            <w:rPr>
              <w:rFonts w:eastAsiaTheme="minorEastAsia"/>
              <w:noProof/>
              <w:sz w:val="24"/>
              <w:szCs w:val="24"/>
              <w:lang w:val="en-IS" w:eastAsia="en-GB"/>
            </w:rPr>
          </w:pPr>
          <w:hyperlink w:anchor="_Toc100246256" w:history="1">
            <w:r w:rsidRPr="0066252D">
              <w:rPr>
                <w:rStyle w:val="Hyperlink"/>
                <w:noProof/>
              </w:rPr>
              <w:t>Coronary artery disease</w:t>
            </w:r>
            <w:r>
              <w:rPr>
                <w:noProof/>
                <w:webHidden/>
              </w:rPr>
              <w:tab/>
            </w:r>
            <w:r>
              <w:rPr>
                <w:noProof/>
                <w:webHidden/>
              </w:rPr>
              <w:fldChar w:fldCharType="begin"/>
            </w:r>
            <w:r>
              <w:rPr>
                <w:noProof/>
                <w:webHidden/>
              </w:rPr>
              <w:instrText xml:space="preserve"> PAGEREF _Toc100246256 \h </w:instrText>
            </w:r>
            <w:r>
              <w:rPr>
                <w:noProof/>
                <w:webHidden/>
              </w:rPr>
            </w:r>
            <w:r>
              <w:rPr>
                <w:noProof/>
                <w:webHidden/>
              </w:rPr>
              <w:fldChar w:fldCharType="separate"/>
            </w:r>
            <w:r>
              <w:rPr>
                <w:noProof/>
                <w:webHidden/>
              </w:rPr>
              <w:t>14</w:t>
            </w:r>
            <w:r>
              <w:rPr>
                <w:noProof/>
                <w:webHidden/>
              </w:rPr>
              <w:fldChar w:fldCharType="end"/>
            </w:r>
          </w:hyperlink>
        </w:p>
        <w:p w14:paraId="0130704C" w14:textId="73EE5267" w:rsidR="00CC41A8" w:rsidRDefault="00CC41A8">
          <w:pPr>
            <w:pStyle w:val="TOC3"/>
            <w:tabs>
              <w:tab w:val="right" w:leader="dot" w:pos="9062"/>
            </w:tabs>
            <w:rPr>
              <w:rFonts w:eastAsiaTheme="minorEastAsia"/>
              <w:noProof/>
              <w:sz w:val="24"/>
              <w:szCs w:val="24"/>
              <w:lang w:val="en-IS" w:eastAsia="en-GB"/>
            </w:rPr>
          </w:pPr>
          <w:hyperlink w:anchor="_Toc100246257" w:history="1">
            <w:r w:rsidRPr="0066252D">
              <w:rPr>
                <w:rStyle w:val="Hyperlink"/>
                <w:noProof/>
                <w:lang w:val="en-US"/>
              </w:rPr>
              <w:t>Hypertension</w:t>
            </w:r>
            <w:r>
              <w:rPr>
                <w:noProof/>
                <w:webHidden/>
              </w:rPr>
              <w:tab/>
            </w:r>
            <w:r>
              <w:rPr>
                <w:noProof/>
                <w:webHidden/>
              </w:rPr>
              <w:fldChar w:fldCharType="begin"/>
            </w:r>
            <w:r>
              <w:rPr>
                <w:noProof/>
                <w:webHidden/>
              </w:rPr>
              <w:instrText xml:space="preserve"> PAGEREF _Toc100246257 \h </w:instrText>
            </w:r>
            <w:r>
              <w:rPr>
                <w:noProof/>
                <w:webHidden/>
              </w:rPr>
            </w:r>
            <w:r>
              <w:rPr>
                <w:noProof/>
                <w:webHidden/>
              </w:rPr>
              <w:fldChar w:fldCharType="separate"/>
            </w:r>
            <w:r>
              <w:rPr>
                <w:noProof/>
                <w:webHidden/>
              </w:rPr>
              <w:t>14</w:t>
            </w:r>
            <w:r>
              <w:rPr>
                <w:noProof/>
                <w:webHidden/>
              </w:rPr>
              <w:fldChar w:fldCharType="end"/>
            </w:r>
          </w:hyperlink>
        </w:p>
        <w:p w14:paraId="3A50BBB2" w14:textId="7E3AB2A9" w:rsidR="00CC41A8" w:rsidRDefault="00CC41A8">
          <w:pPr>
            <w:pStyle w:val="TOC3"/>
            <w:tabs>
              <w:tab w:val="right" w:leader="dot" w:pos="9062"/>
            </w:tabs>
            <w:rPr>
              <w:rFonts w:eastAsiaTheme="minorEastAsia"/>
              <w:noProof/>
              <w:sz w:val="24"/>
              <w:szCs w:val="24"/>
              <w:lang w:val="en-IS" w:eastAsia="en-GB"/>
            </w:rPr>
          </w:pPr>
          <w:hyperlink w:anchor="_Toc100246258" w:history="1">
            <w:r w:rsidRPr="0066252D">
              <w:rPr>
                <w:rStyle w:val="Hyperlink"/>
                <w:noProof/>
                <w:lang w:val="en-US"/>
              </w:rPr>
              <w:t>Immunocompromised state</w:t>
            </w:r>
            <w:r>
              <w:rPr>
                <w:noProof/>
                <w:webHidden/>
              </w:rPr>
              <w:tab/>
            </w:r>
            <w:r>
              <w:rPr>
                <w:noProof/>
                <w:webHidden/>
              </w:rPr>
              <w:fldChar w:fldCharType="begin"/>
            </w:r>
            <w:r>
              <w:rPr>
                <w:noProof/>
                <w:webHidden/>
              </w:rPr>
              <w:instrText xml:space="preserve"> PAGEREF _Toc100246258 \h </w:instrText>
            </w:r>
            <w:r>
              <w:rPr>
                <w:noProof/>
                <w:webHidden/>
              </w:rPr>
            </w:r>
            <w:r>
              <w:rPr>
                <w:noProof/>
                <w:webHidden/>
              </w:rPr>
              <w:fldChar w:fldCharType="separate"/>
            </w:r>
            <w:r>
              <w:rPr>
                <w:noProof/>
                <w:webHidden/>
              </w:rPr>
              <w:t>14</w:t>
            </w:r>
            <w:r>
              <w:rPr>
                <w:noProof/>
                <w:webHidden/>
              </w:rPr>
              <w:fldChar w:fldCharType="end"/>
            </w:r>
          </w:hyperlink>
        </w:p>
        <w:p w14:paraId="463D7C53" w14:textId="225A612F" w:rsidR="00CC41A8" w:rsidRDefault="00CC41A8">
          <w:pPr>
            <w:pStyle w:val="TOC3"/>
            <w:tabs>
              <w:tab w:val="right" w:leader="dot" w:pos="9062"/>
            </w:tabs>
            <w:rPr>
              <w:rFonts w:eastAsiaTheme="minorEastAsia"/>
              <w:noProof/>
              <w:sz w:val="24"/>
              <w:szCs w:val="24"/>
              <w:lang w:val="en-IS" w:eastAsia="en-GB"/>
            </w:rPr>
          </w:pPr>
          <w:hyperlink w:anchor="_Toc100246259" w:history="1">
            <w:r w:rsidRPr="0066252D">
              <w:rPr>
                <w:rStyle w:val="Hyperlink"/>
                <w:noProof/>
              </w:rPr>
              <w:t>Type 2 Diabetes</w:t>
            </w:r>
            <w:r>
              <w:rPr>
                <w:noProof/>
                <w:webHidden/>
              </w:rPr>
              <w:tab/>
            </w:r>
            <w:r>
              <w:rPr>
                <w:noProof/>
                <w:webHidden/>
              </w:rPr>
              <w:fldChar w:fldCharType="begin"/>
            </w:r>
            <w:r>
              <w:rPr>
                <w:noProof/>
                <w:webHidden/>
              </w:rPr>
              <w:instrText xml:space="preserve"> PAGEREF _Toc100246259 \h </w:instrText>
            </w:r>
            <w:r>
              <w:rPr>
                <w:noProof/>
                <w:webHidden/>
              </w:rPr>
            </w:r>
            <w:r>
              <w:rPr>
                <w:noProof/>
                <w:webHidden/>
              </w:rPr>
              <w:fldChar w:fldCharType="separate"/>
            </w:r>
            <w:r>
              <w:rPr>
                <w:noProof/>
                <w:webHidden/>
              </w:rPr>
              <w:t>15</w:t>
            </w:r>
            <w:r>
              <w:rPr>
                <w:noProof/>
                <w:webHidden/>
              </w:rPr>
              <w:fldChar w:fldCharType="end"/>
            </w:r>
          </w:hyperlink>
        </w:p>
        <w:p w14:paraId="3FD7473B" w14:textId="29C5D69A" w:rsidR="00CC41A8" w:rsidRDefault="00CC41A8">
          <w:pPr>
            <w:pStyle w:val="TOC3"/>
            <w:tabs>
              <w:tab w:val="right" w:leader="dot" w:pos="9062"/>
            </w:tabs>
            <w:rPr>
              <w:rFonts w:eastAsiaTheme="minorEastAsia"/>
              <w:noProof/>
              <w:sz w:val="24"/>
              <w:szCs w:val="24"/>
              <w:lang w:val="en-IS" w:eastAsia="en-GB"/>
            </w:rPr>
          </w:pPr>
          <w:hyperlink w:anchor="_Toc100246260" w:history="1">
            <w:r w:rsidRPr="0066252D">
              <w:rPr>
                <w:rStyle w:val="Hyperlink"/>
                <w:noProof/>
                <w:lang w:val="en-US"/>
              </w:rPr>
              <w:t>Chronic kidney disease</w:t>
            </w:r>
            <w:r>
              <w:rPr>
                <w:noProof/>
                <w:webHidden/>
              </w:rPr>
              <w:tab/>
            </w:r>
            <w:r>
              <w:rPr>
                <w:noProof/>
                <w:webHidden/>
              </w:rPr>
              <w:fldChar w:fldCharType="begin"/>
            </w:r>
            <w:r>
              <w:rPr>
                <w:noProof/>
                <w:webHidden/>
              </w:rPr>
              <w:instrText xml:space="preserve"> PAGEREF _Toc100246260 \h </w:instrText>
            </w:r>
            <w:r>
              <w:rPr>
                <w:noProof/>
                <w:webHidden/>
              </w:rPr>
            </w:r>
            <w:r>
              <w:rPr>
                <w:noProof/>
                <w:webHidden/>
              </w:rPr>
              <w:fldChar w:fldCharType="separate"/>
            </w:r>
            <w:r>
              <w:rPr>
                <w:noProof/>
                <w:webHidden/>
              </w:rPr>
              <w:t>15</w:t>
            </w:r>
            <w:r>
              <w:rPr>
                <w:noProof/>
                <w:webHidden/>
              </w:rPr>
              <w:fldChar w:fldCharType="end"/>
            </w:r>
          </w:hyperlink>
        </w:p>
        <w:p w14:paraId="40D47C6C" w14:textId="4933F927" w:rsidR="00CC41A8" w:rsidRDefault="00CC41A8">
          <w:pPr>
            <w:pStyle w:val="TOC3"/>
            <w:tabs>
              <w:tab w:val="right" w:leader="dot" w:pos="9062"/>
            </w:tabs>
            <w:rPr>
              <w:rFonts w:eastAsiaTheme="minorEastAsia"/>
              <w:noProof/>
              <w:sz w:val="24"/>
              <w:szCs w:val="24"/>
              <w:lang w:val="en-IS" w:eastAsia="en-GB"/>
            </w:rPr>
          </w:pPr>
          <w:hyperlink w:anchor="_Toc100246261" w:history="1">
            <w:r w:rsidRPr="0066252D">
              <w:rPr>
                <w:rStyle w:val="Hyperlink"/>
                <w:noProof/>
                <w:lang w:val="en-US"/>
              </w:rPr>
              <w:t>Liver disease</w:t>
            </w:r>
            <w:r>
              <w:rPr>
                <w:noProof/>
                <w:webHidden/>
              </w:rPr>
              <w:tab/>
            </w:r>
            <w:r>
              <w:rPr>
                <w:noProof/>
                <w:webHidden/>
              </w:rPr>
              <w:fldChar w:fldCharType="begin"/>
            </w:r>
            <w:r>
              <w:rPr>
                <w:noProof/>
                <w:webHidden/>
              </w:rPr>
              <w:instrText xml:space="preserve"> PAGEREF _Toc100246261 \h </w:instrText>
            </w:r>
            <w:r>
              <w:rPr>
                <w:noProof/>
                <w:webHidden/>
              </w:rPr>
            </w:r>
            <w:r>
              <w:rPr>
                <w:noProof/>
                <w:webHidden/>
              </w:rPr>
              <w:fldChar w:fldCharType="separate"/>
            </w:r>
            <w:r>
              <w:rPr>
                <w:noProof/>
                <w:webHidden/>
              </w:rPr>
              <w:t>15</w:t>
            </w:r>
            <w:r>
              <w:rPr>
                <w:noProof/>
                <w:webHidden/>
              </w:rPr>
              <w:fldChar w:fldCharType="end"/>
            </w:r>
          </w:hyperlink>
        </w:p>
        <w:p w14:paraId="32B61AD8" w14:textId="62D25B86" w:rsidR="00CC41A8" w:rsidRDefault="00CC41A8">
          <w:pPr>
            <w:pStyle w:val="TOC1"/>
            <w:tabs>
              <w:tab w:val="right" w:leader="dot" w:pos="9062"/>
            </w:tabs>
            <w:rPr>
              <w:rFonts w:eastAsiaTheme="minorEastAsia"/>
              <w:b w:val="0"/>
              <w:bCs w:val="0"/>
              <w:i w:val="0"/>
              <w:iCs w:val="0"/>
              <w:noProof/>
              <w:lang w:val="en-IS" w:eastAsia="en-GB"/>
            </w:rPr>
          </w:pPr>
          <w:hyperlink w:anchor="_Toc100246262" w:history="1">
            <w:r w:rsidRPr="0066252D">
              <w:rPr>
                <w:rStyle w:val="Hyperlink"/>
                <w:noProof/>
              </w:rPr>
              <w:t>Supplementary Figures</w:t>
            </w:r>
            <w:r>
              <w:rPr>
                <w:noProof/>
                <w:webHidden/>
              </w:rPr>
              <w:tab/>
            </w:r>
            <w:r>
              <w:rPr>
                <w:noProof/>
                <w:webHidden/>
              </w:rPr>
              <w:fldChar w:fldCharType="begin"/>
            </w:r>
            <w:r>
              <w:rPr>
                <w:noProof/>
                <w:webHidden/>
              </w:rPr>
              <w:instrText xml:space="preserve"> PAGEREF _Toc100246262 \h </w:instrText>
            </w:r>
            <w:r>
              <w:rPr>
                <w:noProof/>
                <w:webHidden/>
              </w:rPr>
            </w:r>
            <w:r>
              <w:rPr>
                <w:noProof/>
                <w:webHidden/>
              </w:rPr>
              <w:fldChar w:fldCharType="separate"/>
            </w:r>
            <w:r>
              <w:rPr>
                <w:noProof/>
                <w:webHidden/>
              </w:rPr>
              <w:t>16</w:t>
            </w:r>
            <w:r>
              <w:rPr>
                <w:noProof/>
                <w:webHidden/>
              </w:rPr>
              <w:fldChar w:fldCharType="end"/>
            </w:r>
          </w:hyperlink>
        </w:p>
        <w:p w14:paraId="0F30A19F" w14:textId="03475E58" w:rsidR="00CC41A8" w:rsidRDefault="00CC41A8">
          <w:pPr>
            <w:pStyle w:val="TOC2"/>
            <w:tabs>
              <w:tab w:val="right" w:leader="dot" w:pos="9062"/>
            </w:tabs>
            <w:rPr>
              <w:rFonts w:eastAsiaTheme="minorEastAsia"/>
              <w:b w:val="0"/>
              <w:bCs w:val="0"/>
              <w:noProof/>
              <w:sz w:val="24"/>
              <w:szCs w:val="24"/>
              <w:lang w:val="en-IS" w:eastAsia="en-GB"/>
            </w:rPr>
          </w:pPr>
          <w:hyperlink w:anchor="_Toc100246263" w:history="1">
            <w:r w:rsidRPr="0066252D">
              <w:rPr>
                <w:rStyle w:val="Hyperlink"/>
                <w:noProof/>
              </w:rPr>
              <w:t>Figure S1. Antibody levels and severity categories</w:t>
            </w:r>
            <w:r>
              <w:rPr>
                <w:noProof/>
                <w:webHidden/>
              </w:rPr>
              <w:tab/>
            </w:r>
            <w:r>
              <w:rPr>
                <w:noProof/>
                <w:webHidden/>
              </w:rPr>
              <w:fldChar w:fldCharType="begin"/>
            </w:r>
            <w:r>
              <w:rPr>
                <w:noProof/>
                <w:webHidden/>
              </w:rPr>
              <w:instrText xml:space="preserve"> PAGEREF _Toc100246263 \h </w:instrText>
            </w:r>
            <w:r>
              <w:rPr>
                <w:noProof/>
                <w:webHidden/>
              </w:rPr>
            </w:r>
            <w:r>
              <w:rPr>
                <w:noProof/>
                <w:webHidden/>
              </w:rPr>
              <w:fldChar w:fldCharType="separate"/>
            </w:r>
            <w:r>
              <w:rPr>
                <w:noProof/>
                <w:webHidden/>
              </w:rPr>
              <w:t>16</w:t>
            </w:r>
            <w:r>
              <w:rPr>
                <w:noProof/>
                <w:webHidden/>
              </w:rPr>
              <w:fldChar w:fldCharType="end"/>
            </w:r>
          </w:hyperlink>
        </w:p>
        <w:p w14:paraId="57B4F95F" w14:textId="7262392E" w:rsidR="00CC41A8" w:rsidRDefault="00CC41A8">
          <w:pPr>
            <w:pStyle w:val="TOC2"/>
            <w:tabs>
              <w:tab w:val="right" w:leader="dot" w:pos="9062"/>
            </w:tabs>
            <w:rPr>
              <w:rFonts w:eastAsiaTheme="minorEastAsia"/>
              <w:b w:val="0"/>
              <w:bCs w:val="0"/>
              <w:noProof/>
              <w:sz w:val="24"/>
              <w:szCs w:val="24"/>
              <w:lang w:val="en-IS" w:eastAsia="en-GB"/>
            </w:rPr>
          </w:pPr>
          <w:hyperlink w:anchor="_Toc100246264" w:history="1">
            <w:r w:rsidRPr="0066252D">
              <w:rPr>
                <w:rStyle w:val="Hyperlink"/>
                <w:noProof/>
              </w:rPr>
              <w:t>Figure S2. Days from diagnosis of SARS-CoV-2 to visit at the deCODE Health Study</w:t>
            </w:r>
            <w:r>
              <w:rPr>
                <w:noProof/>
                <w:webHidden/>
              </w:rPr>
              <w:tab/>
            </w:r>
            <w:r>
              <w:rPr>
                <w:noProof/>
                <w:webHidden/>
              </w:rPr>
              <w:fldChar w:fldCharType="begin"/>
            </w:r>
            <w:r>
              <w:rPr>
                <w:noProof/>
                <w:webHidden/>
              </w:rPr>
              <w:instrText xml:space="preserve"> PAGEREF _Toc100246264 \h </w:instrText>
            </w:r>
            <w:r>
              <w:rPr>
                <w:noProof/>
                <w:webHidden/>
              </w:rPr>
            </w:r>
            <w:r>
              <w:rPr>
                <w:noProof/>
                <w:webHidden/>
              </w:rPr>
              <w:fldChar w:fldCharType="separate"/>
            </w:r>
            <w:r>
              <w:rPr>
                <w:noProof/>
                <w:webHidden/>
              </w:rPr>
              <w:t>17</w:t>
            </w:r>
            <w:r>
              <w:rPr>
                <w:noProof/>
                <w:webHidden/>
              </w:rPr>
              <w:fldChar w:fldCharType="end"/>
            </w:r>
          </w:hyperlink>
        </w:p>
        <w:p w14:paraId="54CF9C95" w14:textId="595B2B37" w:rsidR="00CC41A8" w:rsidRDefault="00CC41A8">
          <w:pPr>
            <w:pStyle w:val="TOC2"/>
            <w:tabs>
              <w:tab w:val="right" w:leader="dot" w:pos="9062"/>
            </w:tabs>
            <w:rPr>
              <w:rFonts w:eastAsiaTheme="minorEastAsia"/>
              <w:b w:val="0"/>
              <w:bCs w:val="0"/>
              <w:noProof/>
              <w:sz w:val="24"/>
              <w:szCs w:val="24"/>
              <w:lang w:val="en-IS" w:eastAsia="en-GB"/>
            </w:rPr>
          </w:pPr>
          <w:hyperlink w:anchor="_Toc100246265" w:history="1">
            <w:r w:rsidRPr="0066252D">
              <w:rPr>
                <w:rStyle w:val="Hyperlink"/>
                <w:noProof/>
              </w:rPr>
              <w:t>Figure S3. The correlation matrix for recent symptoms obtained from the C19Q questionnaire</w:t>
            </w:r>
            <w:r>
              <w:rPr>
                <w:noProof/>
                <w:webHidden/>
              </w:rPr>
              <w:tab/>
            </w:r>
            <w:r>
              <w:rPr>
                <w:noProof/>
                <w:webHidden/>
              </w:rPr>
              <w:fldChar w:fldCharType="begin"/>
            </w:r>
            <w:r>
              <w:rPr>
                <w:noProof/>
                <w:webHidden/>
              </w:rPr>
              <w:instrText xml:space="preserve"> PAGEREF _Toc100246265 \h </w:instrText>
            </w:r>
            <w:r>
              <w:rPr>
                <w:noProof/>
                <w:webHidden/>
              </w:rPr>
            </w:r>
            <w:r>
              <w:rPr>
                <w:noProof/>
                <w:webHidden/>
              </w:rPr>
              <w:fldChar w:fldCharType="separate"/>
            </w:r>
            <w:r>
              <w:rPr>
                <w:noProof/>
                <w:webHidden/>
              </w:rPr>
              <w:t>18</w:t>
            </w:r>
            <w:r>
              <w:rPr>
                <w:noProof/>
                <w:webHidden/>
              </w:rPr>
              <w:fldChar w:fldCharType="end"/>
            </w:r>
          </w:hyperlink>
        </w:p>
        <w:p w14:paraId="3BB6EF9F" w14:textId="385EACED" w:rsidR="00CC41A8" w:rsidRDefault="00CC41A8">
          <w:pPr>
            <w:pStyle w:val="TOC2"/>
            <w:tabs>
              <w:tab w:val="right" w:leader="dot" w:pos="9062"/>
            </w:tabs>
            <w:rPr>
              <w:rFonts w:eastAsiaTheme="minorEastAsia"/>
              <w:b w:val="0"/>
              <w:bCs w:val="0"/>
              <w:noProof/>
              <w:sz w:val="24"/>
              <w:szCs w:val="24"/>
              <w:lang w:val="en-IS" w:eastAsia="en-GB"/>
            </w:rPr>
          </w:pPr>
          <w:hyperlink w:anchor="_Toc100246266" w:history="1">
            <w:r w:rsidRPr="0066252D">
              <w:rPr>
                <w:rStyle w:val="Hyperlink"/>
                <w:noProof/>
              </w:rPr>
              <w:t>Figure S4. Time trends in physiological measures</w:t>
            </w:r>
            <w:r>
              <w:rPr>
                <w:noProof/>
                <w:webHidden/>
              </w:rPr>
              <w:tab/>
            </w:r>
            <w:r>
              <w:rPr>
                <w:noProof/>
                <w:webHidden/>
              </w:rPr>
              <w:fldChar w:fldCharType="begin"/>
            </w:r>
            <w:r>
              <w:rPr>
                <w:noProof/>
                <w:webHidden/>
              </w:rPr>
              <w:instrText xml:space="preserve"> PAGEREF _Toc100246266 \h </w:instrText>
            </w:r>
            <w:r>
              <w:rPr>
                <w:noProof/>
                <w:webHidden/>
              </w:rPr>
            </w:r>
            <w:r>
              <w:rPr>
                <w:noProof/>
                <w:webHidden/>
              </w:rPr>
              <w:fldChar w:fldCharType="separate"/>
            </w:r>
            <w:r>
              <w:rPr>
                <w:noProof/>
                <w:webHidden/>
              </w:rPr>
              <w:t>19</w:t>
            </w:r>
            <w:r>
              <w:rPr>
                <w:noProof/>
                <w:webHidden/>
              </w:rPr>
              <w:fldChar w:fldCharType="end"/>
            </w:r>
          </w:hyperlink>
        </w:p>
        <w:p w14:paraId="74138B63" w14:textId="3843964C" w:rsidR="00CC41A8" w:rsidRDefault="00CC41A8">
          <w:pPr>
            <w:pStyle w:val="TOC1"/>
            <w:tabs>
              <w:tab w:val="right" w:leader="dot" w:pos="9062"/>
            </w:tabs>
            <w:rPr>
              <w:rFonts w:eastAsiaTheme="minorEastAsia"/>
              <w:b w:val="0"/>
              <w:bCs w:val="0"/>
              <w:i w:val="0"/>
              <w:iCs w:val="0"/>
              <w:noProof/>
              <w:lang w:val="en-IS" w:eastAsia="en-GB"/>
            </w:rPr>
          </w:pPr>
          <w:hyperlink w:anchor="_Toc100246267" w:history="1">
            <w:r w:rsidRPr="0066252D">
              <w:rPr>
                <w:rStyle w:val="Hyperlink"/>
                <w:noProof/>
              </w:rPr>
              <w:t>References</w:t>
            </w:r>
            <w:r>
              <w:rPr>
                <w:noProof/>
                <w:webHidden/>
              </w:rPr>
              <w:tab/>
            </w:r>
            <w:r>
              <w:rPr>
                <w:noProof/>
                <w:webHidden/>
              </w:rPr>
              <w:fldChar w:fldCharType="begin"/>
            </w:r>
            <w:r>
              <w:rPr>
                <w:noProof/>
                <w:webHidden/>
              </w:rPr>
              <w:instrText xml:space="preserve"> PAGEREF _Toc100246267 \h </w:instrText>
            </w:r>
            <w:r>
              <w:rPr>
                <w:noProof/>
                <w:webHidden/>
              </w:rPr>
            </w:r>
            <w:r>
              <w:rPr>
                <w:noProof/>
                <w:webHidden/>
              </w:rPr>
              <w:fldChar w:fldCharType="separate"/>
            </w:r>
            <w:r>
              <w:rPr>
                <w:noProof/>
                <w:webHidden/>
              </w:rPr>
              <w:t>21</w:t>
            </w:r>
            <w:r>
              <w:rPr>
                <w:noProof/>
                <w:webHidden/>
              </w:rPr>
              <w:fldChar w:fldCharType="end"/>
            </w:r>
          </w:hyperlink>
        </w:p>
        <w:p w14:paraId="227FA476" w14:textId="2CD752FF" w:rsidR="00853E65" w:rsidRDefault="00853E65">
          <w:r>
            <w:rPr>
              <w:b/>
              <w:bCs/>
              <w:noProof/>
            </w:rPr>
            <w:fldChar w:fldCharType="end"/>
          </w:r>
        </w:p>
      </w:sdtContent>
    </w:sdt>
    <w:p w14:paraId="4FAC29EE" w14:textId="77777777" w:rsidR="00471907" w:rsidRPr="00A422D0" w:rsidRDefault="00471907" w:rsidP="005F18E5">
      <w:pPr>
        <w:spacing w:after="240" w:line="360" w:lineRule="auto"/>
        <w:rPr>
          <w:rFonts w:ascii="Times New Roman" w:hAnsi="Times New Roman" w:cs="Times New Roman"/>
          <w:sz w:val="20"/>
          <w:szCs w:val="20"/>
          <w:lang w:val="en-US"/>
        </w:rPr>
      </w:pPr>
    </w:p>
    <w:p w14:paraId="6D8B419F" w14:textId="712C7385" w:rsidR="00AF0213" w:rsidRPr="00B6478E" w:rsidRDefault="00D9473B" w:rsidP="005F18E5">
      <w:pPr>
        <w:spacing w:after="240" w:line="360" w:lineRule="auto"/>
        <w:rPr>
          <w:rFonts w:ascii="Times New Roman" w:hAnsi="Times New Roman" w:cs="Times New Roman"/>
          <w:b/>
          <w:sz w:val="20"/>
          <w:szCs w:val="20"/>
          <w:lang w:val="en-US"/>
        </w:rPr>
      </w:pPr>
      <w:r w:rsidRPr="00A422D0">
        <w:rPr>
          <w:rFonts w:ascii="Times New Roman" w:hAnsi="Times New Roman" w:cs="Times New Roman"/>
          <w:b/>
          <w:sz w:val="20"/>
          <w:szCs w:val="20"/>
          <w:lang w:val="en-US"/>
        </w:rPr>
        <w:br w:type="page"/>
      </w:r>
    </w:p>
    <w:p w14:paraId="2AE4536D" w14:textId="5D27F5BF" w:rsidR="00D17A25" w:rsidRDefault="00D17A25" w:rsidP="00A56B49">
      <w:pPr>
        <w:pStyle w:val="Style1"/>
      </w:pPr>
      <w:bookmarkStart w:id="1" w:name="_Toc100246218"/>
      <w:r>
        <w:lastRenderedPageBreak/>
        <w:t>Supplementary Methods</w:t>
      </w:r>
      <w:bookmarkEnd w:id="1"/>
    </w:p>
    <w:p w14:paraId="610B8D2E" w14:textId="77777777" w:rsidR="0069233F" w:rsidRPr="00B6478E" w:rsidRDefault="0069233F" w:rsidP="00A56B49">
      <w:pPr>
        <w:pStyle w:val="Style1"/>
        <w:rPr>
          <w:bCs/>
        </w:rPr>
      </w:pPr>
    </w:p>
    <w:p w14:paraId="5FC68586" w14:textId="42AE9FCD" w:rsidR="00901D6B" w:rsidRPr="00A422D0" w:rsidRDefault="008D49A3" w:rsidP="00A56B49">
      <w:pPr>
        <w:pStyle w:val="Style2"/>
      </w:pPr>
      <w:bookmarkStart w:id="2" w:name="_Toc100246219"/>
      <w:r w:rsidRPr="00A422D0">
        <w:t>Overview of t</w:t>
      </w:r>
      <w:r w:rsidR="00564DF2" w:rsidRPr="00A422D0">
        <w:t>he deCODE Health Study</w:t>
      </w:r>
      <w:r w:rsidR="002F0B99" w:rsidRPr="00A422D0">
        <w:t xml:space="preserve"> and changes </w:t>
      </w:r>
      <w:r w:rsidR="00580291">
        <w:t xml:space="preserve">to the study </w:t>
      </w:r>
      <w:r w:rsidR="002F0B99" w:rsidRPr="00A422D0">
        <w:t xml:space="preserve">to address consequences of </w:t>
      </w:r>
      <w:r w:rsidR="000A416B">
        <w:t>SARS-CoV-2 infection</w:t>
      </w:r>
      <w:bookmarkEnd w:id="2"/>
    </w:p>
    <w:p w14:paraId="171D6543" w14:textId="58D70C53" w:rsidR="00564DF2" w:rsidRPr="00A422D0" w:rsidRDefault="007D135E" w:rsidP="005F18E5">
      <w:pPr>
        <w:spacing w:after="240" w:line="360" w:lineRule="auto"/>
        <w:rPr>
          <w:rFonts w:ascii="Times New Roman" w:hAnsi="Times New Roman" w:cs="Times New Roman"/>
          <w:sz w:val="20"/>
          <w:szCs w:val="20"/>
          <w:lang w:val="en-US"/>
        </w:rPr>
      </w:pPr>
      <w:r w:rsidRPr="007D135E">
        <w:rPr>
          <w:rFonts w:ascii="Times New Roman" w:hAnsi="Times New Roman" w:cs="Times New Roman"/>
          <w:sz w:val="20"/>
          <w:szCs w:val="20"/>
          <w:lang w:val="en-US"/>
        </w:rPr>
        <w:t xml:space="preserve">The deCODE </w:t>
      </w:r>
      <w:r w:rsidR="00580291">
        <w:rPr>
          <w:rFonts w:ascii="Times New Roman" w:hAnsi="Times New Roman" w:cs="Times New Roman"/>
          <w:sz w:val="20"/>
          <w:szCs w:val="20"/>
          <w:lang w:val="en-US"/>
        </w:rPr>
        <w:t>H</w:t>
      </w:r>
      <w:r w:rsidRPr="007D135E">
        <w:rPr>
          <w:rFonts w:ascii="Times New Roman" w:hAnsi="Times New Roman" w:cs="Times New Roman"/>
          <w:sz w:val="20"/>
          <w:szCs w:val="20"/>
          <w:lang w:val="en-US"/>
        </w:rPr>
        <w:t xml:space="preserve">ealth </w:t>
      </w:r>
      <w:r w:rsidR="00580291">
        <w:rPr>
          <w:rFonts w:ascii="Times New Roman" w:hAnsi="Times New Roman" w:cs="Times New Roman"/>
          <w:sz w:val="20"/>
          <w:szCs w:val="20"/>
          <w:lang w:val="en-US"/>
        </w:rPr>
        <w:t>S</w:t>
      </w:r>
      <w:r w:rsidRPr="007D135E">
        <w:rPr>
          <w:rFonts w:ascii="Times New Roman" w:hAnsi="Times New Roman" w:cs="Times New Roman"/>
          <w:sz w:val="20"/>
          <w:szCs w:val="20"/>
          <w:lang w:val="en-US"/>
        </w:rPr>
        <w:t>tudy (dHS)</w:t>
      </w:r>
      <w:r w:rsidR="00535223">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{"citationID":"a1h309mm3rm","properties":{"formattedCitation":"{\\rtf \\super 1\\nosupersub{}}","plainCitation":"1"},"citationItems":[{"id":"ITEM-1","uris":["http://www.mendeley.com/documents/?uuid=0249e9bf-e208-4a56-abad-3ab13900198e"],"uri":["http://www.mendeley.com/documents/?uuid=0249e9bf-e208-4a56-abad-3ab13900198e"],"itemData":{"DOI":"10.1038/s41467-019-09304-9","ISSN":"2041-1723","abstract":"The corneal endothelium is vital for transparency and proper hydration of the cornea. Here, we conduct a genome-wide association study of corneal endothelial cell density (cells/mm2), coefficient of cell size variation (CV), percentage of hexagonal cells (HEX) and central corneal thickness (CCT) in 6,125 Icelanders and find associations at 10 loci, including 7 novel. We assess the effects of these variants on various ocular biomechanics such as corneal hysteresis (CH), as well as eye diseases such as glaucoma and corneal dystrophies. Most notably, an intergenic variant close to ANAPC1 (rs78658973[A], frequency = 28.3%) strongly associates with decreased cell density and accounts for 24% of the population variance in cell density (β = -0.77 SD, P = 1.8 × 10-314) and associates with increased CH (β = 0.19 SD, P = 2.6 × 10-19) without affecting risk of corneal diseases and glaucoma. Our findings indicate that despite correlations between cell density and eye diseases, low cell density does not increase the risk of disease.","author":[{"dropping-particle":"V.","family":"Ivarsdottir","given":"Erna","non-dropping-particle":"","parse-names":false,"suffix":""},{"dropping-particle":"","family":"Benonisdottir","given":"Stefania","non-dropping-particle":"","parse-names":false,"suffix":""},{"dropping-particle":"","family":"Thorleifsson","given":"Gudmar","non-dropping-particle":"","parse-names":false,"suffix":""},{"dropping-particle":"","family":"Sulem","given":"Patrick","non-dropping-particle":"","parse-names":false,"suffix":""},{"dropping-particle":"","family":"Oddsson","given":"Asmundur","non-dropping-particle":"","parse-names":false,"suffix":""},{"dropping-particle":"","family":"Styrkarsdottir","given":"Unnur","non-dropping-particle":"","parse-names":false,"suffix":""},{"dropping-particle":"","family":"Kristmundsdottir","given":"Snaedis","non-dropping-particle":"","parse-names":false,"suffix":""},{"dropping-particle":"","family":"Arnadottir","given":"Gudny A.","non-dropping-particle":"","parse-names":false,"suffix":""},{"dropping-particle":"","family":"Thorgeirsson","given":"Gudmundur","non-dropping-particle":"","parse-names":false,"suffix":""},{"dropping-particle":"","family":"Jonsdottir","given":"Ingileif","non-dropping-particle":"","parse-names":false,"suffix":""},{"dropping-particle":"","family":"Zoega","given":"Gunnar M.","non-dropping-particle":"","parse-names":false,"suffix":""},{"dropping-particle":"","family":"Thorsteinsdottir","given":"Unnur","non-dropping-particle":"","parse-names":false,"suffix":""},{"dropping-particle":"","family":"Gudbjartsson","given":"Daniel F.","non-dropping-particle":"","parse-names":false,"suffix":""},{"dropping-particle":"","family":"Jonasson","given":"Fridbert","non-dropping-particle":"","parse-names":false,"suffix":""},{"dropping-particle":"","family":"Holm","given":"Hilma","non-dropping-particle":"","parse-names":false,"suffix":""},{"dropping-particle":"","family":"Stefansson","given":"Kari","non-dropping-particle":"","parse-names":false,"suffix":""}],"container-title":"Nature Communications","id":"ITEM-1","issue":"1","issued":{"date-parts":[["2019"]]},"language":"eng","page":"1284","title":"Sequence variation at ANAPC1 accounts for 24% of the variability in corneal endothelial cell density","type":"article-journal","volume":"10"}}],"schema":"https://github.com/citation-style-language/schema/raw/master/csl-citation.json"} </w:instrText>
      </w:r>
      <w:r w:rsidR="00535223">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w:t>
      </w:r>
      <w:r w:rsidR="00535223">
        <w:rPr>
          <w:rFonts w:ascii="Times New Roman" w:hAnsi="Times New Roman" w:cs="Times New Roman"/>
          <w:sz w:val="20"/>
          <w:szCs w:val="20"/>
          <w:lang w:val="en-US"/>
        </w:rPr>
        <w:fldChar w:fldCharType="end"/>
      </w:r>
      <w:r w:rsidR="00000568" w:rsidRPr="00A422D0">
        <w:rPr>
          <w:rFonts w:ascii="Times New Roman" w:hAnsi="Times New Roman" w:cs="Times New Roman"/>
          <w:sz w:val="20"/>
          <w:szCs w:val="20"/>
          <w:lang w:val="en-US"/>
        </w:rPr>
        <w:t xml:space="preserve"> </w:t>
      </w:r>
      <w:r w:rsidRPr="007D135E">
        <w:rPr>
          <w:rFonts w:ascii="Times New Roman" w:hAnsi="Times New Roman" w:cs="Times New Roman"/>
          <w:sz w:val="20"/>
          <w:szCs w:val="20"/>
          <w:lang w:val="en-US"/>
        </w:rPr>
        <w:t>is an ongoing prospective cohort study in Iceland with extensive phenotypic and genotypic information produced and collected from the participants. More than 1</w:t>
      </w:r>
      <w:r w:rsidR="00580291">
        <w:rPr>
          <w:rFonts w:ascii="Times New Roman" w:hAnsi="Times New Roman" w:cs="Times New Roman"/>
          <w:sz w:val="20"/>
          <w:szCs w:val="20"/>
          <w:lang w:val="en-US"/>
        </w:rPr>
        <w:t>6</w:t>
      </w:r>
      <w:r w:rsidRPr="007D135E">
        <w:rPr>
          <w:rFonts w:ascii="Times New Roman" w:hAnsi="Times New Roman" w:cs="Times New Roman"/>
          <w:sz w:val="20"/>
          <w:szCs w:val="20"/>
          <w:lang w:val="en-US"/>
        </w:rPr>
        <w:t>,000 individuals have participated in the study since its initiation in June 2016, aged between 18 and 97 years at recruitment.</w:t>
      </w:r>
      <w:r>
        <w:rPr>
          <w:rFonts w:ascii="Times New Roman" w:hAnsi="Times New Roman" w:cs="Times New Roman"/>
          <w:sz w:val="20"/>
          <w:szCs w:val="20"/>
          <w:lang w:val="en-US"/>
        </w:rPr>
        <w:t xml:space="preserve"> </w:t>
      </w:r>
      <w:r w:rsidR="00EF1E19" w:rsidRPr="00A422D0">
        <w:rPr>
          <w:rFonts w:ascii="Times New Roman" w:hAnsi="Times New Roman" w:cs="Times New Roman"/>
          <w:sz w:val="20"/>
          <w:szCs w:val="20"/>
          <w:lang w:val="en-US"/>
        </w:rPr>
        <w:t>Participants in the dHS are invited by letter to participate in the study. The letter is follow</w:t>
      </w:r>
      <w:r w:rsidR="008D49A3" w:rsidRPr="00A422D0">
        <w:rPr>
          <w:rFonts w:ascii="Times New Roman" w:hAnsi="Times New Roman" w:cs="Times New Roman"/>
          <w:sz w:val="20"/>
          <w:szCs w:val="20"/>
          <w:lang w:val="en-US"/>
        </w:rPr>
        <w:t>ed</w:t>
      </w:r>
      <w:r w:rsidR="00EF1E19" w:rsidRPr="00A422D0">
        <w:rPr>
          <w:rFonts w:ascii="Times New Roman" w:hAnsi="Times New Roman" w:cs="Times New Roman"/>
          <w:sz w:val="20"/>
          <w:szCs w:val="20"/>
          <w:lang w:val="en-US"/>
        </w:rPr>
        <w:t>-up with a phone call to schedule the one study visit to the deCODE R</w:t>
      </w:r>
      <w:r w:rsidR="00413A42" w:rsidRPr="00A422D0">
        <w:rPr>
          <w:rFonts w:ascii="Times New Roman" w:hAnsi="Times New Roman" w:cs="Times New Roman"/>
          <w:sz w:val="20"/>
          <w:szCs w:val="20"/>
          <w:lang w:val="en-US"/>
        </w:rPr>
        <w:t xml:space="preserve">ecruitment </w:t>
      </w:r>
      <w:r w:rsidR="00EF1E19" w:rsidRPr="00A422D0">
        <w:rPr>
          <w:rFonts w:ascii="Times New Roman" w:hAnsi="Times New Roman" w:cs="Times New Roman"/>
          <w:sz w:val="20"/>
          <w:szCs w:val="20"/>
          <w:lang w:val="en-US"/>
        </w:rPr>
        <w:t>Center, in Kopavogur, Iceland</w:t>
      </w:r>
      <w:r w:rsidR="00000568" w:rsidRPr="00A422D0">
        <w:rPr>
          <w:rFonts w:ascii="Times New Roman" w:hAnsi="Times New Roman" w:cs="Times New Roman"/>
          <w:sz w:val="20"/>
          <w:szCs w:val="20"/>
          <w:lang w:val="en-US"/>
        </w:rPr>
        <w:t>, and participants</w:t>
      </w:r>
      <w:r w:rsidR="00EF1E19" w:rsidRPr="00A422D0">
        <w:rPr>
          <w:rFonts w:ascii="Times New Roman" w:hAnsi="Times New Roman" w:cs="Times New Roman"/>
          <w:sz w:val="20"/>
          <w:szCs w:val="20"/>
          <w:lang w:val="en-US"/>
        </w:rPr>
        <w:t xml:space="preserve"> are asked to complete an online questionnaire before </w:t>
      </w:r>
      <w:r w:rsidR="008D49A3" w:rsidRPr="00A422D0">
        <w:rPr>
          <w:rFonts w:ascii="Times New Roman" w:hAnsi="Times New Roman" w:cs="Times New Roman"/>
          <w:sz w:val="20"/>
          <w:szCs w:val="20"/>
          <w:lang w:val="en-US"/>
        </w:rPr>
        <w:t>the</w:t>
      </w:r>
      <w:r w:rsidR="00EF1E19" w:rsidRPr="00A422D0">
        <w:rPr>
          <w:rFonts w:ascii="Times New Roman" w:hAnsi="Times New Roman" w:cs="Times New Roman"/>
          <w:sz w:val="20"/>
          <w:szCs w:val="20"/>
          <w:lang w:val="en-US"/>
        </w:rPr>
        <w:t xml:space="preserve"> visit. The averag</w:t>
      </w:r>
      <w:r w:rsidR="005E5BAE">
        <w:rPr>
          <w:rFonts w:ascii="Times New Roman" w:hAnsi="Times New Roman" w:cs="Times New Roman"/>
          <w:sz w:val="20"/>
          <w:szCs w:val="20"/>
          <w:lang w:val="en-US"/>
        </w:rPr>
        <w:t xml:space="preserve">e duration of the study visit </w:t>
      </w:r>
      <w:r>
        <w:rPr>
          <w:rFonts w:ascii="Times New Roman" w:hAnsi="Times New Roman" w:cs="Times New Roman"/>
          <w:sz w:val="20"/>
          <w:szCs w:val="20"/>
          <w:lang w:val="en-US"/>
        </w:rPr>
        <w:t>is</w:t>
      </w:r>
      <w:r w:rsidR="00EF1E19" w:rsidRPr="00A422D0">
        <w:rPr>
          <w:rFonts w:ascii="Times New Roman" w:hAnsi="Times New Roman" w:cs="Times New Roman"/>
          <w:sz w:val="20"/>
          <w:szCs w:val="20"/>
          <w:lang w:val="en-US"/>
        </w:rPr>
        <w:t xml:space="preserve"> </w:t>
      </w:r>
      <w:r w:rsidR="005E5BAE">
        <w:rPr>
          <w:rFonts w:ascii="Times New Roman" w:hAnsi="Times New Roman" w:cs="Times New Roman"/>
          <w:sz w:val="20"/>
          <w:szCs w:val="20"/>
          <w:lang w:val="en-US"/>
        </w:rPr>
        <w:t>four</w:t>
      </w:r>
      <w:r w:rsidR="00EF1E19" w:rsidRPr="00A422D0">
        <w:rPr>
          <w:rFonts w:ascii="Times New Roman" w:hAnsi="Times New Roman" w:cs="Times New Roman"/>
          <w:sz w:val="20"/>
          <w:szCs w:val="20"/>
          <w:lang w:val="en-US"/>
        </w:rPr>
        <w:t xml:space="preserve"> hours and </w:t>
      </w:r>
      <w:r w:rsidR="005E5BAE">
        <w:rPr>
          <w:rFonts w:ascii="Times New Roman" w:hAnsi="Times New Roman" w:cs="Times New Roman"/>
          <w:sz w:val="20"/>
          <w:szCs w:val="20"/>
          <w:lang w:val="en-US"/>
        </w:rPr>
        <w:t>six</w:t>
      </w:r>
      <w:r w:rsidR="00EF1E19" w:rsidRPr="00A422D0">
        <w:rPr>
          <w:rFonts w:ascii="Times New Roman" w:hAnsi="Times New Roman" w:cs="Times New Roman"/>
          <w:sz w:val="20"/>
          <w:szCs w:val="20"/>
          <w:lang w:val="en-US"/>
        </w:rPr>
        <w:t xml:space="preserve"> minutes.</w:t>
      </w:r>
      <w:r w:rsidR="00114A87" w:rsidRPr="00A422D0">
        <w:rPr>
          <w:rFonts w:ascii="Times New Roman" w:hAnsi="Times New Roman" w:cs="Times New Roman"/>
          <w:sz w:val="20"/>
          <w:szCs w:val="20"/>
          <w:lang w:val="en-US"/>
        </w:rPr>
        <w:t xml:space="preserve"> At the beginning of the visit, participants sign an informed consent, undergo a verbal interview</w:t>
      </w:r>
      <w:r w:rsidR="00EF1E19" w:rsidRPr="00A422D0">
        <w:rPr>
          <w:rFonts w:ascii="Times New Roman" w:hAnsi="Times New Roman" w:cs="Times New Roman"/>
          <w:sz w:val="20"/>
          <w:szCs w:val="20"/>
          <w:lang w:val="en-US"/>
        </w:rPr>
        <w:t xml:space="preserve"> </w:t>
      </w:r>
      <w:r w:rsidR="00114A87" w:rsidRPr="00A422D0">
        <w:rPr>
          <w:rFonts w:ascii="Times New Roman" w:hAnsi="Times New Roman" w:cs="Times New Roman"/>
          <w:sz w:val="20"/>
          <w:szCs w:val="20"/>
          <w:lang w:val="en-US"/>
        </w:rPr>
        <w:t xml:space="preserve">concerning their general and current health, vital signs are taken, and potential contraindications for participation in the study </w:t>
      </w:r>
      <w:r w:rsidR="00DC12D5" w:rsidRPr="00A422D0">
        <w:rPr>
          <w:rFonts w:ascii="Times New Roman" w:hAnsi="Times New Roman" w:cs="Times New Roman"/>
          <w:sz w:val="20"/>
          <w:szCs w:val="20"/>
          <w:lang w:val="en-US"/>
        </w:rPr>
        <w:t xml:space="preserve">as a whole or </w:t>
      </w:r>
      <w:r w:rsidR="00114A87" w:rsidRPr="00A422D0">
        <w:rPr>
          <w:rFonts w:ascii="Times New Roman" w:hAnsi="Times New Roman" w:cs="Times New Roman"/>
          <w:sz w:val="20"/>
          <w:szCs w:val="20"/>
          <w:lang w:val="en-US"/>
        </w:rPr>
        <w:t xml:space="preserve">any of the individual tests are assessed. </w:t>
      </w:r>
      <w:r w:rsidR="00DC12D5" w:rsidRPr="00A422D0">
        <w:rPr>
          <w:rFonts w:ascii="Times New Roman" w:hAnsi="Times New Roman" w:cs="Times New Roman"/>
          <w:sz w:val="20"/>
          <w:szCs w:val="20"/>
          <w:lang w:val="en-US"/>
        </w:rPr>
        <w:t xml:space="preserve">Most measures and tests </w:t>
      </w:r>
      <w:r w:rsidR="00000568" w:rsidRPr="00A422D0">
        <w:rPr>
          <w:rFonts w:ascii="Times New Roman" w:hAnsi="Times New Roman" w:cs="Times New Roman"/>
          <w:sz w:val="20"/>
          <w:szCs w:val="20"/>
          <w:lang w:val="en-US"/>
        </w:rPr>
        <w:t xml:space="preserve">in the dHS </w:t>
      </w:r>
      <w:r w:rsidR="00DC12D5" w:rsidRPr="00A422D0">
        <w:rPr>
          <w:rFonts w:ascii="Times New Roman" w:hAnsi="Times New Roman" w:cs="Times New Roman"/>
          <w:sz w:val="20"/>
          <w:szCs w:val="20"/>
          <w:lang w:val="en-US"/>
        </w:rPr>
        <w:t xml:space="preserve">have been unchanged since the beginning of the study: </w:t>
      </w:r>
      <w:r w:rsidRPr="00A422D0">
        <w:rPr>
          <w:rFonts w:ascii="Times New Roman" w:hAnsi="Times New Roman" w:cs="Times New Roman"/>
          <w:sz w:val="20"/>
          <w:szCs w:val="20"/>
          <w:lang w:val="en-US"/>
        </w:rPr>
        <w:t>height and weight</w:t>
      </w:r>
      <w:r>
        <w:rPr>
          <w:rFonts w:ascii="Times New Roman" w:hAnsi="Times New Roman" w:cs="Times New Roman"/>
          <w:sz w:val="20"/>
          <w:szCs w:val="20"/>
          <w:lang w:val="en-US"/>
        </w:rPr>
        <w:t xml:space="preserve">, </w:t>
      </w:r>
      <w:r w:rsidR="00DC12D5" w:rsidRPr="00A422D0">
        <w:rPr>
          <w:rFonts w:ascii="Times New Roman" w:hAnsi="Times New Roman" w:cs="Times New Roman"/>
          <w:sz w:val="20"/>
          <w:szCs w:val="20"/>
          <w:lang w:val="en-US"/>
        </w:rPr>
        <w:t>blood pressure, heart rate</w:t>
      </w:r>
      <w:r>
        <w:rPr>
          <w:rFonts w:ascii="Times New Roman" w:hAnsi="Times New Roman" w:cs="Times New Roman"/>
          <w:sz w:val="20"/>
          <w:szCs w:val="20"/>
          <w:lang w:val="en-US"/>
        </w:rPr>
        <w:t>, p</w:t>
      </w:r>
      <w:r w:rsidR="00DC12D5" w:rsidRPr="00A422D0">
        <w:rPr>
          <w:rFonts w:ascii="Times New Roman" w:hAnsi="Times New Roman" w:cs="Times New Roman"/>
          <w:sz w:val="20"/>
          <w:szCs w:val="20"/>
          <w:lang w:val="en-US"/>
        </w:rPr>
        <w:t>ulse oximeter</w:t>
      </w:r>
      <w:r>
        <w:rPr>
          <w:rFonts w:ascii="Times New Roman" w:hAnsi="Times New Roman" w:cs="Times New Roman"/>
          <w:sz w:val="20"/>
          <w:szCs w:val="20"/>
          <w:lang w:val="en-US"/>
        </w:rPr>
        <w:t xml:space="preserve">, </w:t>
      </w:r>
      <w:r w:rsidR="00DC12D5" w:rsidRPr="00A422D0">
        <w:rPr>
          <w:rFonts w:ascii="Times New Roman" w:hAnsi="Times New Roman" w:cs="Times New Roman"/>
          <w:sz w:val="20"/>
          <w:szCs w:val="20"/>
          <w:lang w:val="en-US"/>
        </w:rPr>
        <w:t>temperature, bone and whole-body dual-energy X-ray absorptiometry</w:t>
      </w:r>
      <w:r w:rsidR="005C7D72" w:rsidRPr="00A422D0">
        <w:rPr>
          <w:rFonts w:ascii="Times New Roman" w:hAnsi="Times New Roman" w:cs="Times New Roman"/>
          <w:sz w:val="20"/>
          <w:szCs w:val="20"/>
          <w:lang w:val="en-US"/>
        </w:rPr>
        <w:t xml:space="preserve"> (DXA)</w:t>
      </w:r>
      <w:r w:rsidR="00DC12D5" w:rsidRPr="00A422D0">
        <w:rPr>
          <w:rFonts w:ascii="Times New Roman" w:hAnsi="Times New Roman" w:cs="Times New Roman"/>
          <w:sz w:val="20"/>
          <w:szCs w:val="20"/>
          <w:lang w:val="en-US"/>
        </w:rPr>
        <w:t xml:space="preserve"> scan, 2D hand imaging, </w:t>
      </w:r>
      <w:r w:rsidR="007B5187" w:rsidRPr="00A422D0">
        <w:rPr>
          <w:rFonts w:ascii="Times New Roman" w:hAnsi="Times New Roman" w:cs="Times New Roman"/>
          <w:sz w:val="20"/>
          <w:szCs w:val="20"/>
          <w:lang w:val="en-US"/>
        </w:rPr>
        <w:t xml:space="preserve">3D body scan, </w:t>
      </w:r>
      <w:r w:rsidRPr="00A422D0">
        <w:rPr>
          <w:rFonts w:ascii="Times New Roman" w:hAnsi="Times New Roman" w:cs="Times New Roman"/>
          <w:sz w:val="20"/>
          <w:szCs w:val="20"/>
          <w:lang w:val="en-US"/>
        </w:rPr>
        <w:t xml:space="preserve">grip strength, </w:t>
      </w:r>
      <w:r w:rsidR="00DC12D5" w:rsidRPr="00A422D0">
        <w:rPr>
          <w:rFonts w:ascii="Times New Roman" w:hAnsi="Times New Roman" w:cs="Times New Roman"/>
          <w:sz w:val="20"/>
          <w:szCs w:val="20"/>
          <w:lang w:val="en-US"/>
        </w:rPr>
        <w:t xml:space="preserve">smell test, </w:t>
      </w:r>
      <w:r w:rsidRPr="00A422D0">
        <w:rPr>
          <w:rFonts w:ascii="Times New Roman" w:hAnsi="Times New Roman" w:cs="Times New Roman"/>
          <w:sz w:val="20"/>
          <w:szCs w:val="20"/>
          <w:lang w:val="en-US"/>
        </w:rPr>
        <w:t xml:space="preserve">hearing test, voice test, </w:t>
      </w:r>
      <w:r w:rsidR="002F0B99" w:rsidRPr="00A422D0">
        <w:rPr>
          <w:rFonts w:ascii="Times New Roman" w:hAnsi="Times New Roman" w:cs="Times New Roman"/>
          <w:sz w:val="20"/>
          <w:szCs w:val="20"/>
          <w:lang w:val="en-US"/>
        </w:rPr>
        <w:t>visual acuity,</w:t>
      </w:r>
      <w:r w:rsidR="00DC12D5" w:rsidRPr="00A422D0">
        <w:rPr>
          <w:rFonts w:ascii="Times New Roman" w:hAnsi="Times New Roman" w:cs="Times New Roman"/>
          <w:sz w:val="20"/>
          <w:szCs w:val="20"/>
          <w:lang w:val="en-US"/>
        </w:rPr>
        <w:t xml:space="preserve"> </w:t>
      </w:r>
      <w:r w:rsidR="002F0B99" w:rsidRPr="00A422D0">
        <w:rPr>
          <w:rFonts w:ascii="Times New Roman" w:hAnsi="Times New Roman" w:cs="Times New Roman"/>
          <w:sz w:val="20"/>
          <w:szCs w:val="20"/>
          <w:lang w:val="en-US"/>
        </w:rPr>
        <w:t xml:space="preserve">eye endothelial imaging, ocular biomechanics, intraocular pressure, </w:t>
      </w:r>
      <w:r w:rsidR="00DC12D5" w:rsidRPr="00A422D0">
        <w:rPr>
          <w:rFonts w:ascii="Times New Roman" w:hAnsi="Times New Roman" w:cs="Times New Roman"/>
          <w:sz w:val="20"/>
          <w:szCs w:val="20"/>
          <w:lang w:val="en-US"/>
        </w:rPr>
        <w:t xml:space="preserve">optical coherence tomography eye scan, </w:t>
      </w:r>
      <w:r w:rsidRPr="00A422D0">
        <w:rPr>
          <w:rFonts w:ascii="Times New Roman" w:hAnsi="Times New Roman" w:cs="Times New Roman"/>
          <w:sz w:val="20"/>
          <w:szCs w:val="20"/>
          <w:lang w:val="en-US"/>
        </w:rPr>
        <w:t xml:space="preserve">spirometry, </w:t>
      </w:r>
      <w:r w:rsidR="00DC12D5" w:rsidRPr="00A422D0">
        <w:rPr>
          <w:rFonts w:ascii="Times New Roman" w:hAnsi="Times New Roman" w:cs="Times New Roman"/>
          <w:sz w:val="20"/>
          <w:szCs w:val="20"/>
          <w:lang w:val="en-US"/>
        </w:rPr>
        <w:t>electrocardiogram</w:t>
      </w:r>
      <w:r>
        <w:rPr>
          <w:rFonts w:ascii="Times New Roman" w:hAnsi="Times New Roman" w:cs="Times New Roman"/>
          <w:sz w:val="20"/>
          <w:szCs w:val="20"/>
          <w:lang w:val="en-US"/>
        </w:rPr>
        <w:t>,</w:t>
      </w:r>
      <w:r w:rsidR="00C036B2" w:rsidRPr="00A422D0">
        <w:rPr>
          <w:rFonts w:ascii="Times New Roman" w:hAnsi="Times New Roman" w:cs="Times New Roman"/>
          <w:sz w:val="20"/>
          <w:szCs w:val="20"/>
          <w:lang w:val="en-US"/>
        </w:rPr>
        <w:t xml:space="preserve"> and</w:t>
      </w:r>
      <w:r w:rsidR="007B5187" w:rsidRPr="00A422D0">
        <w:rPr>
          <w:rFonts w:ascii="Times New Roman" w:hAnsi="Times New Roman" w:cs="Times New Roman"/>
          <w:sz w:val="20"/>
          <w:szCs w:val="20"/>
          <w:lang w:val="en-US"/>
        </w:rPr>
        <w:t xml:space="preserve"> </w:t>
      </w:r>
      <w:r w:rsidR="00DC12D5" w:rsidRPr="00A422D0">
        <w:rPr>
          <w:rFonts w:ascii="Times New Roman" w:hAnsi="Times New Roman" w:cs="Times New Roman"/>
          <w:sz w:val="20"/>
          <w:szCs w:val="20"/>
          <w:lang w:val="en-US"/>
        </w:rPr>
        <w:t>cardiopulmonary exercise test</w:t>
      </w:r>
      <w:r w:rsidR="005C7D72" w:rsidRPr="00A422D0">
        <w:rPr>
          <w:rFonts w:ascii="Times New Roman" w:hAnsi="Times New Roman" w:cs="Times New Roman"/>
          <w:sz w:val="20"/>
          <w:szCs w:val="20"/>
          <w:lang w:val="en-US"/>
        </w:rPr>
        <w:t xml:space="preserve"> (CPET)</w:t>
      </w:r>
      <w:r>
        <w:rPr>
          <w:rFonts w:ascii="Times New Roman" w:hAnsi="Times New Roman" w:cs="Times New Roman"/>
          <w:sz w:val="20"/>
          <w:szCs w:val="20"/>
          <w:lang w:val="en-US"/>
        </w:rPr>
        <w:t xml:space="preserve">. Participants also undergo </w:t>
      </w:r>
      <w:r w:rsidRPr="00A422D0">
        <w:rPr>
          <w:rFonts w:ascii="Times New Roman" w:hAnsi="Times New Roman" w:cs="Times New Roman"/>
          <w:sz w:val="20"/>
          <w:szCs w:val="20"/>
          <w:lang w:val="en-US"/>
        </w:rPr>
        <w:t xml:space="preserve">several </w:t>
      </w:r>
      <w:r>
        <w:rPr>
          <w:rFonts w:ascii="Times New Roman" w:hAnsi="Times New Roman" w:cs="Times New Roman"/>
          <w:sz w:val="20"/>
          <w:szCs w:val="20"/>
          <w:lang w:val="en-US"/>
        </w:rPr>
        <w:t>cognitive</w:t>
      </w:r>
      <w:r w:rsidRPr="00A422D0">
        <w:rPr>
          <w:rFonts w:ascii="Times New Roman" w:hAnsi="Times New Roman" w:cs="Times New Roman"/>
          <w:sz w:val="20"/>
          <w:szCs w:val="20"/>
          <w:lang w:val="en-US"/>
        </w:rPr>
        <w:t xml:space="preserve"> tests: letter and category fluency test, trail making test, digit symbol substitution test, rapid visual processing and spatial working memory</w:t>
      </w:r>
      <w:r>
        <w:rPr>
          <w:rFonts w:ascii="Times New Roman" w:hAnsi="Times New Roman" w:cs="Times New Roman"/>
          <w:sz w:val="20"/>
          <w:szCs w:val="20"/>
          <w:lang w:val="en-US"/>
        </w:rPr>
        <w:t xml:space="preserve"> as well as </w:t>
      </w:r>
      <w:r w:rsidRPr="00A422D0">
        <w:rPr>
          <w:rFonts w:ascii="Times New Roman" w:hAnsi="Times New Roman" w:cs="Times New Roman"/>
          <w:sz w:val="20"/>
          <w:szCs w:val="20"/>
          <w:lang w:val="en-US"/>
        </w:rPr>
        <w:t>The Mini International Neuropsychiatric Interview (MINI)</w:t>
      </w:r>
      <w:r>
        <w:rPr>
          <w:rFonts w:ascii="Times New Roman" w:hAnsi="Times New Roman" w:cs="Times New Roman"/>
          <w:sz w:val="20"/>
          <w:szCs w:val="20"/>
          <w:lang w:val="en-US"/>
        </w:rPr>
        <w:t xml:space="preserve">. </w:t>
      </w:r>
      <w:r w:rsidR="00C036B2" w:rsidRPr="00A422D0">
        <w:rPr>
          <w:rFonts w:ascii="Times New Roman" w:hAnsi="Times New Roman" w:cs="Times New Roman"/>
          <w:sz w:val="20"/>
          <w:szCs w:val="20"/>
          <w:lang w:val="en-US"/>
        </w:rPr>
        <w:t xml:space="preserve">Blood samples are collected. </w:t>
      </w:r>
      <w:r w:rsidR="00C61A21">
        <w:rPr>
          <w:rFonts w:ascii="Times New Roman" w:hAnsi="Times New Roman" w:cs="Times New Roman"/>
          <w:sz w:val="20"/>
          <w:szCs w:val="20"/>
          <w:lang w:val="en-US"/>
        </w:rPr>
        <w:t xml:space="preserve">A subset of participants is invited to undergo an ambulatory sleep study. </w:t>
      </w:r>
      <w:r w:rsidR="005C7D72" w:rsidRPr="00A422D0">
        <w:rPr>
          <w:rFonts w:ascii="Times New Roman" w:hAnsi="Times New Roman" w:cs="Times New Roman"/>
          <w:sz w:val="20"/>
          <w:szCs w:val="20"/>
          <w:lang w:val="en-US"/>
        </w:rPr>
        <w:t xml:space="preserve">In January 2018 we stopped administering the CPET to make time for additional </w:t>
      </w:r>
      <w:r w:rsidR="00535223">
        <w:rPr>
          <w:rFonts w:ascii="Times New Roman" w:hAnsi="Times New Roman" w:cs="Times New Roman"/>
          <w:sz w:val="20"/>
          <w:szCs w:val="20"/>
          <w:lang w:val="en-US"/>
        </w:rPr>
        <w:t>cognitive</w:t>
      </w:r>
      <w:r w:rsidR="005C7D72" w:rsidRPr="00A422D0">
        <w:rPr>
          <w:rFonts w:ascii="Times New Roman" w:hAnsi="Times New Roman" w:cs="Times New Roman"/>
          <w:sz w:val="20"/>
          <w:szCs w:val="20"/>
          <w:lang w:val="en-US"/>
        </w:rPr>
        <w:t xml:space="preserve"> tests: </w:t>
      </w:r>
      <w:r w:rsidR="00E32581" w:rsidRPr="00A422D0">
        <w:rPr>
          <w:rFonts w:ascii="Times New Roman" w:hAnsi="Times New Roman" w:cs="Times New Roman"/>
          <w:sz w:val="20"/>
          <w:szCs w:val="20"/>
          <w:lang w:val="en-US"/>
        </w:rPr>
        <w:t xml:space="preserve">Wechsler Abbreviated Scale of Intelligence </w:t>
      </w:r>
      <w:r w:rsidR="00485B53" w:rsidRPr="00A422D0">
        <w:rPr>
          <w:rFonts w:ascii="Times New Roman" w:hAnsi="Times New Roman" w:cs="Times New Roman"/>
          <w:sz w:val="20"/>
          <w:szCs w:val="20"/>
          <w:lang w:val="en-US"/>
        </w:rPr>
        <w:t xml:space="preserve">(WASI) </w:t>
      </w:r>
      <w:r w:rsidR="00E32581" w:rsidRPr="00A422D0">
        <w:rPr>
          <w:rFonts w:ascii="Times New Roman" w:hAnsi="Times New Roman" w:cs="Times New Roman"/>
          <w:sz w:val="20"/>
          <w:szCs w:val="20"/>
          <w:lang w:val="en-US"/>
        </w:rPr>
        <w:t xml:space="preserve">matrix reasoning and </w:t>
      </w:r>
      <w:r w:rsidR="00901D6B">
        <w:rPr>
          <w:rFonts w:ascii="Times New Roman" w:hAnsi="Times New Roman" w:cs="Times New Roman"/>
          <w:sz w:val="20"/>
          <w:szCs w:val="20"/>
          <w:lang w:val="en-US"/>
        </w:rPr>
        <w:t>word comprehension</w:t>
      </w:r>
      <w:r w:rsidR="005C7D72" w:rsidRPr="00A422D0">
        <w:rPr>
          <w:rFonts w:ascii="Times New Roman" w:hAnsi="Times New Roman" w:cs="Times New Roman"/>
          <w:sz w:val="20"/>
          <w:szCs w:val="20"/>
          <w:lang w:val="en-US"/>
        </w:rPr>
        <w:t xml:space="preserve">. When we decided to use the dHS to study the health consequences of </w:t>
      </w:r>
      <w:r w:rsidR="00535223" w:rsidRPr="00535223">
        <w:rPr>
          <w:rFonts w:ascii="Times New Roman" w:hAnsi="Times New Roman" w:cs="Times New Roman"/>
          <w:sz w:val="20"/>
          <w:szCs w:val="20"/>
          <w:lang w:val="en-US"/>
        </w:rPr>
        <w:t>SARS-CoV-2</w:t>
      </w:r>
      <w:r w:rsidR="00535223">
        <w:rPr>
          <w:rFonts w:ascii="Times New Roman" w:hAnsi="Times New Roman" w:cs="Times New Roman"/>
          <w:sz w:val="20"/>
          <w:szCs w:val="20"/>
          <w:lang w:val="en-US"/>
        </w:rPr>
        <w:t xml:space="preserve"> infection</w:t>
      </w:r>
      <w:r w:rsidR="00535223" w:rsidRPr="00535223">
        <w:rPr>
          <w:rFonts w:ascii="Times New Roman" w:hAnsi="Times New Roman" w:cs="Times New Roman"/>
          <w:sz w:val="20"/>
          <w:szCs w:val="20"/>
          <w:lang w:val="en-US"/>
        </w:rPr>
        <w:t xml:space="preserve"> </w:t>
      </w:r>
      <w:r w:rsidR="00000568" w:rsidRPr="00A422D0">
        <w:rPr>
          <w:rFonts w:ascii="Times New Roman" w:hAnsi="Times New Roman" w:cs="Times New Roman"/>
          <w:sz w:val="20"/>
          <w:szCs w:val="20"/>
          <w:lang w:val="en-US"/>
        </w:rPr>
        <w:t xml:space="preserve">(the dHS </w:t>
      </w:r>
      <w:r w:rsidR="00535223">
        <w:rPr>
          <w:rFonts w:ascii="Times New Roman" w:hAnsi="Times New Roman" w:cs="Times New Roman"/>
          <w:sz w:val="20"/>
          <w:szCs w:val="20"/>
          <w:lang w:val="en-US"/>
        </w:rPr>
        <w:t>Covid</w:t>
      </w:r>
      <w:r w:rsidR="00535223" w:rsidRPr="00535223">
        <w:rPr>
          <w:rFonts w:ascii="Times New Roman" w:hAnsi="Times New Roman" w:cs="Times New Roman"/>
          <w:sz w:val="20"/>
          <w:szCs w:val="20"/>
          <w:lang w:val="en-US"/>
        </w:rPr>
        <w:t xml:space="preserve"> </w:t>
      </w:r>
      <w:r w:rsidR="00580291">
        <w:rPr>
          <w:rFonts w:ascii="Times New Roman" w:hAnsi="Times New Roman" w:cs="Times New Roman"/>
          <w:sz w:val="20"/>
          <w:szCs w:val="20"/>
          <w:lang w:val="en-US"/>
        </w:rPr>
        <w:t>S</w:t>
      </w:r>
      <w:r w:rsidR="00000568" w:rsidRPr="00A422D0">
        <w:rPr>
          <w:rFonts w:ascii="Times New Roman" w:hAnsi="Times New Roman" w:cs="Times New Roman"/>
          <w:sz w:val="20"/>
          <w:szCs w:val="20"/>
          <w:lang w:val="en-US"/>
        </w:rPr>
        <w:t>tudy)</w:t>
      </w:r>
      <w:r w:rsidR="005C7D72" w:rsidRPr="00A422D0">
        <w:rPr>
          <w:rFonts w:ascii="Times New Roman" w:hAnsi="Times New Roman" w:cs="Times New Roman"/>
          <w:sz w:val="20"/>
          <w:szCs w:val="20"/>
          <w:lang w:val="en-US"/>
        </w:rPr>
        <w:t xml:space="preserve">, we made the following changes to the study: we </w:t>
      </w:r>
      <w:r w:rsidR="00000568" w:rsidRPr="00A422D0">
        <w:rPr>
          <w:rFonts w:ascii="Times New Roman" w:hAnsi="Times New Roman" w:cs="Times New Roman"/>
          <w:sz w:val="20"/>
          <w:szCs w:val="20"/>
          <w:lang w:val="en-US"/>
        </w:rPr>
        <w:t>modified</w:t>
      </w:r>
      <w:r w:rsidR="005C7D72" w:rsidRPr="00A422D0">
        <w:rPr>
          <w:rFonts w:ascii="Times New Roman" w:hAnsi="Times New Roman" w:cs="Times New Roman"/>
          <w:sz w:val="20"/>
          <w:szCs w:val="20"/>
          <w:lang w:val="en-US"/>
        </w:rPr>
        <w:t xml:space="preserve"> the online questionnaire</w:t>
      </w:r>
      <w:r>
        <w:rPr>
          <w:rFonts w:ascii="Times New Roman" w:hAnsi="Times New Roman" w:cs="Times New Roman"/>
          <w:sz w:val="20"/>
          <w:szCs w:val="20"/>
          <w:lang w:val="en-US"/>
        </w:rPr>
        <w:t xml:space="preserve"> (see below)</w:t>
      </w:r>
      <w:r w:rsidR="005C7D72" w:rsidRPr="00A422D0">
        <w:rPr>
          <w:rFonts w:ascii="Times New Roman" w:hAnsi="Times New Roman" w:cs="Times New Roman"/>
          <w:sz w:val="20"/>
          <w:szCs w:val="20"/>
          <w:lang w:val="en-US"/>
        </w:rPr>
        <w:t xml:space="preserve">, added an on-site questionnaire on </w:t>
      </w:r>
      <w:r w:rsidR="00580291">
        <w:rPr>
          <w:rFonts w:ascii="Times New Roman" w:hAnsi="Times New Roman" w:cs="Times New Roman"/>
          <w:sz w:val="20"/>
          <w:szCs w:val="20"/>
          <w:lang w:val="en-US"/>
        </w:rPr>
        <w:t>SARS-CoV-2</w:t>
      </w:r>
      <w:r w:rsidR="005C7D72" w:rsidRPr="00A422D0">
        <w:rPr>
          <w:rFonts w:ascii="Times New Roman" w:hAnsi="Times New Roman" w:cs="Times New Roman"/>
          <w:sz w:val="20"/>
          <w:szCs w:val="20"/>
          <w:lang w:val="en-US"/>
        </w:rPr>
        <w:t xml:space="preserve"> related effects</w:t>
      </w:r>
      <w:r w:rsidR="00A422D0" w:rsidRPr="00A422D0">
        <w:rPr>
          <w:rFonts w:ascii="Times New Roman" w:hAnsi="Times New Roman" w:cs="Times New Roman"/>
          <w:sz w:val="20"/>
          <w:szCs w:val="20"/>
          <w:lang w:val="en-US"/>
        </w:rPr>
        <w:t xml:space="preserve"> (</w:t>
      </w:r>
      <w:r w:rsidR="00901D6B">
        <w:rPr>
          <w:rFonts w:ascii="Times New Roman" w:hAnsi="Times New Roman" w:cs="Times New Roman"/>
          <w:sz w:val="20"/>
          <w:szCs w:val="20"/>
          <w:lang w:val="en-US"/>
        </w:rPr>
        <w:t xml:space="preserve">the </w:t>
      </w:r>
      <w:r w:rsidR="00A422D0" w:rsidRPr="00A422D0">
        <w:rPr>
          <w:rFonts w:ascii="Times New Roman" w:hAnsi="Times New Roman" w:cs="Times New Roman"/>
          <w:sz w:val="20"/>
          <w:szCs w:val="20"/>
          <w:lang w:val="en-US"/>
        </w:rPr>
        <w:t>C19</w:t>
      </w:r>
      <w:r w:rsidR="00580291">
        <w:rPr>
          <w:rFonts w:ascii="Times New Roman" w:hAnsi="Times New Roman" w:cs="Times New Roman"/>
          <w:sz w:val="20"/>
          <w:szCs w:val="20"/>
          <w:lang w:val="en-US"/>
        </w:rPr>
        <w:t>Q</w:t>
      </w:r>
      <w:r w:rsidR="00A422D0" w:rsidRPr="00A422D0">
        <w:rPr>
          <w:rFonts w:ascii="Times New Roman" w:hAnsi="Times New Roman" w:cs="Times New Roman"/>
          <w:sz w:val="20"/>
          <w:szCs w:val="20"/>
          <w:lang w:val="en-US"/>
        </w:rPr>
        <w:t xml:space="preserve"> questionnaire)</w:t>
      </w:r>
      <w:r w:rsidR="005C7D72" w:rsidRPr="00A422D0">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added </w:t>
      </w:r>
      <w:r w:rsidR="00E32581" w:rsidRPr="00A422D0">
        <w:rPr>
          <w:rFonts w:ascii="Times New Roman" w:hAnsi="Times New Roman" w:cs="Times New Roman"/>
          <w:sz w:val="20"/>
          <w:szCs w:val="20"/>
          <w:lang w:val="en-US"/>
        </w:rPr>
        <w:t xml:space="preserve">the Wechsler logical memory test, </w:t>
      </w:r>
      <w:r w:rsidR="005C7D72" w:rsidRPr="00A422D0">
        <w:rPr>
          <w:rFonts w:ascii="Times New Roman" w:hAnsi="Times New Roman" w:cs="Times New Roman"/>
          <w:sz w:val="20"/>
          <w:szCs w:val="20"/>
          <w:lang w:val="en-US"/>
        </w:rPr>
        <w:t xml:space="preserve">a 5 minute orthostatic test and reinstated the CPET. To allow time for these additional tests, we removed the following tests: </w:t>
      </w:r>
      <w:r w:rsidR="002C4E46">
        <w:rPr>
          <w:rFonts w:ascii="Times New Roman" w:hAnsi="Times New Roman" w:cs="Times New Roman"/>
          <w:sz w:val="20"/>
          <w:szCs w:val="20"/>
          <w:lang w:val="en-US"/>
        </w:rPr>
        <w:t xml:space="preserve">rapid visual processing, </w:t>
      </w:r>
      <w:r w:rsidR="005C7D72" w:rsidRPr="00A422D0">
        <w:rPr>
          <w:rFonts w:ascii="Times New Roman" w:hAnsi="Times New Roman" w:cs="Times New Roman"/>
          <w:sz w:val="20"/>
          <w:szCs w:val="20"/>
          <w:lang w:val="en-US"/>
        </w:rPr>
        <w:t>the bone density DXA, 2D hand imaging, 3D body scan, eye endothelial imaging, ocular biomechanics and intraocular pressure. All tests are administered by trained staff</w:t>
      </w:r>
      <w:r w:rsidR="00000568" w:rsidRPr="00A422D0">
        <w:rPr>
          <w:rFonts w:ascii="Times New Roman" w:hAnsi="Times New Roman" w:cs="Times New Roman"/>
          <w:sz w:val="20"/>
          <w:szCs w:val="20"/>
          <w:lang w:val="en-US"/>
        </w:rPr>
        <w:t>,</w:t>
      </w:r>
      <w:r w:rsidR="005C7D72" w:rsidRPr="00A422D0">
        <w:rPr>
          <w:rFonts w:ascii="Times New Roman" w:hAnsi="Times New Roman" w:cs="Times New Roman"/>
          <w:sz w:val="20"/>
          <w:szCs w:val="20"/>
          <w:lang w:val="en-US"/>
        </w:rPr>
        <w:t xml:space="preserve"> and physicians are present at the study site.</w:t>
      </w:r>
    </w:p>
    <w:p w14:paraId="1C033CF6" w14:textId="7266D35A" w:rsidR="00E425F0" w:rsidRPr="00A422D0" w:rsidRDefault="005E5BAE" w:rsidP="00A56B49">
      <w:pPr>
        <w:pStyle w:val="Style2"/>
      </w:pPr>
      <w:bookmarkStart w:id="3" w:name="_Toc100246220"/>
      <w:r>
        <w:t>The dHS o</w:t>
      </w:r>
      <w:r w:rsidR="00E425F0" w:rsidRPr="00A422D0">
        <w:t>nline questionnaire on health and lifestyle</w:t>
      </w:r>
      <w:bookmarkEnd w:id="3"/>
    </w:p>
    <w:p w14:paraId="26D57883" w14:textId="7805C97C" w:rsidR="00E425F0" w:rsidRDefault="00E425F0"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Participants in the dHS are asked to complete </w:t>
      </w:r>
      <w:r w:rsidR="007D135E">
        <w:rPr>
          <w:rFonts w:ascii="Times New Roman" w:hAnsi="Times New Roman" w:cs="Times New Roman"/>
          <w:sz w:val="20"/>
          <w:szCs w:val="20"/>
          <w:lang w:val="en-US"/>
        </w:rPr>
        <w:t>the dHS</w:t>
      </w:r>
      <w:r w:rsidRPr="00A422D0">
        <w:rPr>
          <w:rFonts w:ascii="Times New Roman" w:hAnsi="Times New Roman" w:cs="Times New Roman"/>
          <w:sz w:val="20"/>
          <w:szCs w:val="20"/>
          <w:lang w:val="en-US"/>
        </w:rPr>
        <w:t xml:space="preserve"> online questionnaire before the study visit. </w:t>
      </w:r>
      <w:r w:rsidR="00535223">
        <w:rPr>
          <w:rFonts w:ascii="Times New Roman" w:hAnsi="Times New Roman" w:cs="Times New Roman"/>
          <w:sz w:val="20"/>
          <w:szCs w:val="20"/>
          <w:lang w:val="en-US"/>
        </w:rPr>
        <w:t>The dHS online</w:t>
      </w:r>
      <w:r w:rsidRPr="00A422D0">
        <w:rPr>
          <w:rFonts w:ascii="Times New Roman" w:hAnsi="Times New Roman" w:cs="Times New Roman"/>
          <w:sz w:val="20"/>
          <w:szCs w:val="20"/>
          <w:lang w:val="en-US"/>
        </w:rPr>
        <w:t xml:space="preserve"> questionnaire was partly changed in preparation for the </w:t>
      </w:r>
      <w:r w:rsidR="00535223" w:rsidRPr="00A422D0">
        <w:rPr>
          <w:rFonts w:ascii="Times New Roman" w:hAnsi="Times New Roman" w:cs="Times New Roman"/>
          <w:sz w:val="20"/>
          <w:szCs w:val="20"/>
          <w:lang w:val="en-US"/>
        </w:rPr>
        <w:t xml:space="preserve">dHS </w:t>
      </w:r>
      <w:r w:rsidR="00535223">
        <w:rPr>
          <w:rFonts w:ascii="Times New Roman" w:hAnsi="Times New Roman" w:cs="Times New Roman"/>
          <w:sz w:val="20"/>
          <w:szCs w:val="20"/>
          <w:lang w:val="en-US"/>
        </w:rPr>
        <w:t>Covid</w:t>
      </w:r>
      <w:r w:rsidR="00535223" w:rsidRPr="00535223">
        <w:rPr>
          <w:rFonts w:ascii="Times New Roman" w:hAnsi="Times New Roman" w:cs="Times New Roman"/>
          <w:sz w:val="20"/>
          <w:szCs w:val="20"/>
          <w:lang w:val="en-US"/>
        </w:rPr>
        <w:t xml:space="preserve"> </w:t>
      </w:r>
      <w:r w:rsidR="00D72734">
        <w:rPr>
          <w:rFonts w:ascii="Times New Roman" w:hAnsi="Times New Roman" w:cs="Times New Roman"/>
          <w:sz w:val="20"/>
          <w:szCs w:val="20"/>
          <w:lang w:val="en-US"/>
        </w:rPr>
        <w:t>S</w:t>
      </w:r>
      <w:r w:rsidR="00535223" w:rsidRPr="00A422D0">
        <w:rPr>
          <w:rFonts w:ascii="Times New Roman" w:hAnsi="Times New Roman" w:cs="Times New Roman"/>
          <w:sz w:val="20"/>
          <w:szCs w:val="20"/>
          <w:lang w:val="en-US"/>
        </w:rPr>
        <w:t>tudy</w:t>
      </w:r>
      <w:r w:rsidR="00535223">
        <w:rPr>
          <w:rFonts w:ascii="Times New Roman" w:hAnsi="Times New Roman" w:cs="Times New Roman"/>
          <w:sz w:val="20"/>
          <w:szCs w:val="20"/>
          <w:lang w:val="en-US"/>
        </w:rPr>
        <w:t xml:space="preserve"> including the addition of the following validated </w:t>
      </w:r>
      <w:r w:rsidR="00535223" w:rsidRPr="00535223">
        <w:rPr>
          <w:rFonts w:ascii="Times New Roman" w:hAnsi="Times New Roman" w:cs="Times New Roman"/>
          <w:sz w:val="20"/>
          <w:szCs w:val="20"/>
          <w:lang w:val="en-US"/>
        </w:rPr>
        <w:t xml:space="preserve">questionnaires to assess symptoms of anxiety, </w:t>
      </w:r>
      <w:r w:rsidR="0083271F">
        <w:rPr>
          <w:rFonts w:ascii="Times New Roman" w:hAnsi="Times New Roman" w:cs="Times New Roman"/>
          <w:sz w:val="20"/>
          <w:szCs w:val="20"/>
          <w:lang w:val="en-US"/>
        </w:rPr>
        <w:t>depression, stress, and health anxiety</w:t>
      </w:r>
      <w:r w:rsidR="00535223" w:rsidRPr="00535223">
        <w:rPr>
          <w:rFonts w:ascii="Times New Roman" w:hAnsi="Times New Roman" w:cs="Times New Roman"/>
          <w:sz w:val="20"/>
          <w:szCs w:val="20"/>
          <w:lang w:val="en-US"/>
        </w:rPr>
        <w:t xml:space="preserve">: General Anxiety </w:t>
      </w:r>
      <w:r w:rsidR="00535223">
        <w:rPr>
          <w:rFonts w:ascii="Times New Roman" w:hAnsi="Times New Roman" w:cs="Times New Roman"/>
          <w:sz w:val="20"/>
          <w:szCs w:val="20"/>
          <w:lang w:val="en-US"/>
        </w:rPr>
        <w:t>Disorder-7 (GAD-7),</w:t>
      </w:r>
      <w:r w:rsidR="00535223">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{"citationID":"aeh1j8ku7q","properties":{"formattedCitation":"{\\rtf \\super 2\\nosupersub{}}","plainCitation":"2"},"citationItems":[{"id":"ITEM-1","uris":["http://www.mendeley.com/documents/?uuid=ce836620-fe57-4eef-a4b5-ce8b03aacc62"],"uri":["http://www.mendeley.com/documents/?uuid=ce836620-fe57-4eef-a4b5-ce8b03aacc62"],"itemData":{"DOI":"10.1001/archinte.166.10.1092","ISSN":"0003-9926","abstract":"BACKGROUND: 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validity.\nMETHODS: 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use.\nRESULTS: 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scale.\nCONCLUSION: The GAD-7 is a valid and efficient tool for screening for GAD and assessing its severity in clinical practice and research.","author":[{"dropping-particle":"","family":"Spitzer","given":"Robert L.","non-dropping-particle":"","parse-names":false,"suffix":""},{"dropping-particle":"","family":"Kroenke","given":"Kurt","non-dropping-particle":"","parse-names":false,"suffix":""},{"dropping-particle":"","family":"Williams","given":"Janet B. W.","non-dropping-particle":"","parse-names":false,"suffix":""},{"dropping-particle":"","family":"Löwe","given":"Bernd","non-dropping-particle":"","parse-names":false,"suffix":""}],"container-title":"Archives of Internal Medicine","id":"ITEM-1","issue":"10","issued":{"date-parts":[["2006","5"]]},"language":"eng","page":"1092-1097","title":"A brief measure for assessing generalized anxiety disorder: the GAD-7","type":"article-journal","volume":"166"}}],"schema":"https://github.com/citation-style-language/schema/raw/master/csl-citation.json"} </w:instrText>
      </w:r>
      <w:r w:rsidR="00535223">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2</w:t>
      </w:r>
      <w:r w:rsidR="00535223">
        <w:rPr>
          <w:rFonts w:ascii="Times New Roman" w:hAnsi="Times New Roman" w:cs="Times New Roman"/>
          <w:sz w:val="20"/>
          <w:szCs w:val="20"/>
          <w:lang w:val="en-US"/>
        </w:rPr>
        <w:fldChar w:fldCharType="end"/>
      </w:r>
      <w:r w:rsidR="00535223" w:rsidRPr="00535223">
        <w:rPr>
          <w:rFonts w:ascii="Times New Roman" w:hAnsi="Times New Roman" w:cs="Times New Roman"/>
          <w:sz w:val="20"/>
          <w:szCs w:val="20"/>
          <w:lang w:val="en-US"/>
        </w:rPr>
        <w:t xml:space="preserve"> </w:t>
      </w:r>
      <w:r w:rsidR="0083271F" w:rsidRPr="00535223">
        <w:rPr>
          <w:rFonts w:ascii="Times New Roman" w:hAnsi="Times New Roman" w:cs="Times New Roman"/>
          <w:sz w:val="20"/>
          <w:szCs w:val="20"/>
          <w:lang w:val="en-US"/>
        </w:rPr>
        <w:t xml:space="preserve">Patient </w:t>
      </w:r>
      <w:r w:rsidR="0083271F">
        <w:rPr>
          <w:rFonts w:ascii="Times New Roman" w:hAnsi="Times New Roman" w:cs="Times New Roman"/>
          <w:sz w:val="20"/>
          <w:szCs w:val="20"/>
          <w:lang w:val="en-US"/>
        </w:rPr>
        <w:t>Health Questionnaire-9 (PHQ-9)</w:t>
      </w:r>
      <w:r w:rsidR="0083271F">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{"citationID":"al8kuhfqdd","properties":{"formattedCitation":"{\\rtf \\super 3\\nosupersub{}}","plainCitation":"3"},"citationItems":[{"id":"ITEM-1","uris":["http://www.mendeley.com/documents/?uuid=c1f2e81b-f440-42c0-964a-a3d2289c5a1b"],"uri":["http://www.mendeley.com/documents/?uuid=c1f2e81b-f440-42c0-964a-a3d2289c5a1b"],"itemData":{"DOI":"10.1046/j.1525-1497.2001.016009606.x","ISSN":"0884-8734","abstract":"OBJECTIVE: While considerable attention has focused on improving the detection of depression, assessment of severity is also important in guiding treatment decisions. Therefore, we examined the validity of a brief, new measure of depression severity.\nMEASUREMENTS: The Patient Health Questionnaire (PHQ) is a self-administered version of the PRIME-MD diagnostic instrument for common mental disorders. The PHQ-9 is the depression module, which scores each of the 9 DSM-IV criteria as \"0\" (not at all) to \"3\" (nearly every day). The PHQ-9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patients.\nRESULTS: As PHQ-9 depression severity increased, there was a substantial decrease in functional status on all 6 SF-20 subscales. Also, symptom-related difficulty, sick days, and health care utilization increased. Using the MHP reinterview as the criterion standard, a PHQ-9 score &gt; or =10 had a sensitivity of 88% and a specificity of 88% for major depression. PHQ-9 scores of 5, 10, 15, and 20 represented mild, moderate, moderately severe, and severe depression, respectively. Results were similar in the primary care and obstetrics-gynecology samples.\nCONCLUSION: In addition to making criteria-based diagnoses of depressive disorders, the PHQ-9 is also a reliable and valid measure of depression severity. These characteristics plus its brevity make the PHQ-9 a useful clinical and research tool.","author":[{"dropping-particle":"","family":"Kroenke","given":"K.","non-dropping-particle":"","parse-names":false,"suffix":""},{"dropping-particle":"","family":"Spitzer","given":"R. L.","non-dropping-particle":"","parse-names":false,"suffix":""},{"dropping-particle":"","family":"Williams","given":"J. B.","non-dropping-particle":"","parse-names":false,"suffix":""}],"container-title":"Journal of General Internal Medicine","id":"ITEM-1","issue":"9","issued":{"date-parts":[["2001","9"]]},"language":"eng","page":"606-613","title":"The PHQ-9: validity of a brief depression severity measure","type":"article-journal","volume":"16"}}],"schema":"https://github.com/citation-style-language/schema/raw/master/csl-citation.json"} </w:instrText>
      </w:r>
      <w:r w:rsidR="0083271F">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3</w:t>
      </w:r>
      <w:r w:rsidR="0083271F">
        <w:rPr>
          <w:rFonts w:ascii="Times New Roman" w:hAnsi="Times New Roman" w:cs="Times New Roman"/>
          <w:sz w:val="20"/>
          <w:szCs w:val="20"/>
          <w:lang w:val="en-US"/>
        </w:rPr>
        <w:fldChar w:fldCharType="end"/>
      </w:r>
      <w:r w:rsidR="0083271F" w:rsidRPr="00535223">
        <w:rPr>
          <w:rFonts w:ascii="Times New Roman" w:hAnsi="Times New Roman" w:cs="Times New Roman"/>
          <w:sz w:val="20"/>
          <w:szCs w:val="20"/>
          <w:lang w:val="en-US"/>
        </w:rPr>
        <w:t xml:space="preserve">, </w:t>
      </w:r>
      <w:r w:rsidR="00E15FC6">
        <w:rPr>
          <w:rFonts w:ascii="Times New Roman" w:hAnsi="Times New Roman" w:cs="Times New Roman"/>
          <w:sz w:val="20"/>
          <w:szCs w:val="20"/>
          <w:lang w:val="en-US"/>
        </w:rPr>
        <w:t>Perceived Stress Scale (PSS),</w:t>
      </w:r>
      <w:r w:rsidR="005E5BAE">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{"citationID":"a1n8iq7a8bt","properties":{"formattedCitation":"{\\rtf \\super 4\\nosupersub{}}","plainCitation":"4"},"citationItems":[{"id":"ITEM-1","uris":["http://www.mendeley.com/documents/?uuid=36d1db77-eeb5-4fd4-8e7e-32e753f865e0"],"uri":["http://www.mendeley.com/documents/?uuid=36d1db77-eeb5-4fd4-8e7e-32e753f865e0"],"itemData":{"ISSN":"0022-1465","author":[{"dropping-particle":"","family":"Cohen","given":"S.","non-dropping-particle":"","parse-names":false,"suffix":""},{"dropping-particle":"","family":"Kamarck","given":"T.","non-dropping-particle":"","parse-names":false,"suffix":""},{"dropping-particle":"","family":"Mermelstein","given":"R.","non-dropping-particle":"","parse-names":false,"suffix":""}],"container-title":"Journal of Health and Social Behavior","id":"ITEM-1","issue":"4","issued":{"date-parts":[["1983","12"]]},"language":"eng","page":"385-396","title":"A global measure of perceived stress","type":"article-journal","volume":"24"}}],"schema":"https://github.com/citation-style-language/schema/raw/master/csl-citation.json"} </w:instrText>
      </w:r>
      <w:r w:rsidR="005E5BAE">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4</w:t>
      </w:r>
      <w:r w:rsidR="005E5BAE">
        <w:rPr>
          <w:rFonts w:ascii="Times New Roman" w:hAnsi="Times New Roman" w:cs="Times New Roman"/>
          <w:sz w:val="20"/>
          <w:szCs w:val="20"/>
          <w:lang w:val="en-US"/>
        </w:rPr>
        <w:fldChar w:fldCharType="end"/>
      </w:r>
      <w:r w:rsidR="005E5BAE">
        <w:rPr>
          <w:rFonts w:ascii="Times New Roman" w:hAnsi="Times New Roman" w:cs="Times New Roman"/>
          <w:sz w:val="20"/>
          <w:szCs w:val="20"/>
          <w:lang w:val="en-US"/>
        </w:rPr>
        <w:t xml:space="preserve"> </w:t>
      </w:r>
      <w:r w:rsidR="00535223" w:rsidRPr="00535223">
        <w:rPr>
          <w:rFonts w:ascii="Times New Roman" w:hAnsi="Times New Roman" w:cs="Times New Roman"/>
          <w:sz w:val="20"/>
          <w:szCs w:val="20"/>
          <w:lang w:val="en-US"/>
        </w:rPr>
        <w:t xml:space="preserve">and </w:t>
      </w:r>
      <w:r w:rsidR="0083271F" w:rsidRPr="00535223">
        <w:rPr>
          <w:rFonts w:ascii="Times New Roman" w:hAnsi="Times New Roman" w:cs="Times New Roman"/>
          <w:sz w:val="20"/>
          <w:szCs w:val="20"/>
          <w:lang w:val="en-US"/>
        </w:rPr>
        <w:t>Short He</w:t>
      </w:r>
      <w:r w:rsidR="0083271F">
        <w:rPr>
          <w:rFonts w:ascii="Times New Roman" w:hAnsi="Times New Roman" w:cs="Times New Roman"/>
          <w:sz w:val="20"/>
          <w:szCs w:val="20"/>
          <w:lang w:val="en-US"/>
        </w:rPr>
        <w:t>alth Anxiety Inventory (SHAI)</w:t>
      </w:r>
      <w:r w:rsidR="0083271F">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{"citationID":"ai98g08g4u","properties":{"formattedCitation":"{\\rtf \\super 5\\nosupersub{}}","plainCitation":"5"},"citationItems":[{"id":"ITEM-1","uris":["http://www.mendeley.com/documents/?uuid=7503fe7f-e233-471d-8a8f-33d617a887fe"],"uri":["http://www.mendeley.com/documents/?uuid=7503fe7f-e233-471d-8a8f-33d617a887fe"],"itemData":{"DOI":"10.1017/s0033291702005822","ISSN":"0033-2917","abstract":"BACKGROUND: A self-rated measure of health anxiety should be sensitive across the full range of intensity (from mild concern to frank hypochondriasis) and should differentiate people suffering from health anxiety from those who have actual physical illness but who are not excessively concerned about their health. It should also encompass the full range of clinical symptoms characteristic of clinical hypochondriasis. The development and validation of such a scale is described.\nMETHOD: Three studies were conducted. First, the questionnaire was validated by comparing the responses of patients suffering from hypochondriasis with those suffering from hypochondriasis and panic disorder, panic disorder, social phobia and non-patient controls. Secondly, a state version of the questionnaire was administered to patients undergoing cognitive-behavioural treatment or wait-list in order to examine the measure's sensitivity to change. In the third study, a shortened version was developed and validated in similar types of sample, and in a range of samples of people seeking medical help for physical illness.\nRESULTS: The scale was found to be reliable and to have a high internal consistency. Hypochondriacal patients scored significantly higher than anxiety disorder patients, including both social phobic patients and panic disorder patients as well as normal controls. In the second study, a 'state' version of the scale was found to be sensitive to treatment effects, and to correlate very highly with a clinician rating based on an interview of present clinical state. A development and refinement of the scale (intended to reflect more fully the range of symptoms of and reactions to hypochondriasis) was found to be reliable and valid. A very short (14 item) version of the scale was found to have comparable properties to the full length scale.\nCONCLUSIONS: The HAI is a reliable and valid measure of health anxiety. It is likely to be useful as a brief screening instrument, as there is a short form which correlates highly with the longer version.","author":[{"dropping-particle":"","family":"Salkovskis","given":"P. M.","non-dropping-particle":"","parse-names":false,"suffix":""},{"dropping-particle":"","family":"Rimes","given":"K. A.","non-dropping-particle":"","parse-names":false,"suffix":""},{"dropping-particle":"","family":"Warwick","given":"H. M. C.","non-dropping-particle":"","parse-names":false,"suffix":""},{"dropping-particle":"","family":"Clark","given":"D. M.","non-dropping-particle":"","parse-names":false,"suffix":""}],"container-title":"Psychological Medicine","id":"ITEM-1","issue":"5","issued":{"date-parts":[["2002","7"]]},"language":"eng","page":"843-853","title":"The Health Anxiety Inventory: development and validation of scales for the measurement of health anxiety and hypochondriasis","type":"article-journal","volume":"32"}}],"schema":"https://github.com/citation-style-language/schema/raw/master/csl-citation.json"} </w:instrText>
      </w:r>
      <w:r w:rsidR="0083271F">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5</w:t>
      </w:r>
      <w:r w:rsidR="0083271F">
        <w:rPr>
          <w:rFonts w:ascii="Times New Roman" w:hAnsi="Times New Roman" w:cs="Times New Roman"/>
          <w:sz w:val="20"/>
          <w:szCs w:val="20"/>
          <w:lang w:val="en-US"/>
        </w:rPr>
        <w:fldChar w:fldCharType="end"/>
      </w:r>
      <w:r w:rsidR="0083271F">
        <w:rPr>
          <w:rFonts w:ascii="Times New Roman" w:hAnsi="Times New Roman" w:cs="Times New Roman"/>
          <w:sz w:val="20"/>
          <w:szCs w:val="20"/>
          <w:lang w:val="en-US"/>
        </w:rPr>
        <w:t xml:space="preserve"> respectively, </w:t>
      </w:r>
      <w:r w:rsidR="0083271F" w:rsidRPr="00A422D0">
        <w:rPr>
          <w:rFonts w:ascii="Times New Roman" w:hAnsi="Times New Roman" w:cs="Times New Roman"/>
          <w:sz w:val="20"/>
          <w:szCs w:val="20"/>
          <w:lang w:val="en-US"/>
        </w:rPr>
        <w:t>the Satis</w:t>
      </w:r>
      <w:r w:rsidR="0083271F">
        <w:rPr>
          <w:rFonts w:ascii="Times New Roman" w:hAnsi="Times New Roman" w:cs="Times New Roman"/>
          <w:sz w:val="20"/>
          <w:szCs w:val="20"/>
          <w:lang w:val="en-US"/>
        </w:rPr>
        <w:t xml:space="preserve">faction With Life Scale (SWLS) and the </w:t>
      </w:r>
      <w:r w:rsidR="00535223" w:rsidRPr="00535223">
        <w:rPr>
          <w:rFonts w:ascii="Times New Roman" w:hAnsi="Times New Roman" w:cs="Times New Roman"/>
          <w:sz w:val="20"/>
          <w:szCs w:val="20"/>
          <w:lang w:val="en-US"/>
        </w:rPr>
        <w:t>36-It</w:t>
      </w:r>
      <w:r w:rsidR="00E15FC6">
        <w:rPr>
          <w:rFonts w:ascii="Times New Roman" w:hAnsi="Times New Roman" w:cs="Times New Roman"/>
          <w:sz w:val="20"/>
          <w:szCs w:val="20"/>
          <w:lang w:val="en-US"/>
        </w:rPr>
        <w:t>em Short Form Survey (36-SF)</w:t>
      </w:r>
      <w:r w:rsidR="00E15FC6">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{"citationID":"a2js1uhip1a","properties":{"formattedCitation":"{\\rtf \\super 6\\nosupersub{}}","plainCitation":"6"},"citationItems":[{"id":"ITEM-1","uris":["http://www.mendeley.com/documents/?uuid=57ab8eac-b8af-42d1-9f29-563cab323ea0"],"uri":["http://www.mendeley.com/documents/?uuid=57ab8eac-b8af-42d1-9f29-563cab323ea0"],"itemData":{"ISSN":"0025-7079","abstract":"A 36-item short-form (SF-36) was constructed to survey health status in the Medical Outcomes Study. The SF-36 was designed for use in clinical practice and research, health policy evaluations, and general population surveys. The SF-36 includes one multi-item scale that assesses eight health concepts: 1) limitations in physical activities because of health problems; 2) limitations in social activities because of physical or emotional problems; 3) limitations in usual role activities because of physical health problems; 4) bodily pain; 5) general mental health (psychological distress and well-being); 6) limitations in usual role activities because of emotional problems; 7) vitality (energy and fatigue); and 8) general health perceptions. The survey was constructed for self-administration by persons 14 years of age and older, and for administration by a trained interviewer in person or by telephone. The history of the development of the SF-36, the origin of specific items, and the logic underlying their selection are summarized. The content and features of the SF-36 are compared with the 20-item Medical Outcomes Study short-form.","author":[{"dropping-particle":"","family":"Ware","given":"J. E.","non-dropping-particle":"","parse-names":false,"suffix":""},{"dropping-particle":"","family":"Sherbourne","given":"C. D.","non-dropping-particle":"","parse-names":false,"suffix":""}],"container-title":"Medical Care","id":"ITEM-1","issue":"6","issued":{"date-parts":[["1992","6"]]},"language":"eng","page":"473-483","title":"The MOS 36-item short-form health survey (SF-36). I. Conceptual framework and item selection","type":"article-journal","volume":"30"}}],"schema":"https://github.com/citation-style-language/schema/raw/master/csl-citation.json"} </w:instrText>
      </w:r>
      <w:r w:rsidR="00E15FC6">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6</w:t>
      </w:r>
      <w:r w:rsidR="00E15FC6">
        <w:rPr>
          <w:rFonts w:ascii="Times New Roman" w:hAnsi="Times New Roman" w:cs="Times New Roman"/>
          <w:sz w:val="20"/>
          <w:szCs w:val="20"/>
          <w:lang w:val="en-US"/>
        </w:rPr>
        <w:fldChar w:fldCharType="end"/>
      </w:r>
      <w:r w:rsidR="005E5BAE">
        <w:rPr>
          <w:rFonts w:ascii="Times New Roman" w:hAnsi="Times New Roman" w:cs="Times New Roman"/>
          <w:sz w:val="20"/>
          <w:szCs w:val="20"/>
          <w:lang w:val="en-US"/>
        </w:rPr>
        <w:t xml:space="preserve"> to assess health-related quality of life.</w:t>
      </w:r>
    </w:p>
    <w:p w14:paraId="3179AC24" w14:textId="77777777" w:rsidR="00901D6B" w:rsidRDefault="00901D6B" w:rsidP="005F18E5">
      <w:pPr>
        <w:spacing w:after="240" w:line="360" w:lineRule="auto"/>
        <w:rPr>
          <w:rFonts w:ascii="Times New Roman" w:hAnsi="Times New Roman" w:cs="Times New Roman"/>
          <w:sz w:val="20"/>
          <w:szCs w:val="20"/>
          <w:lang w:val="en-US"/>
        </w:rPr>
      </w:pPr>
    </w:p>
    <w:p w14:paraId="46E06016" w14:textId="77777777" w:rsidR="0083271F" w:rsidRPr="00BD5633" w:rsidRDefault="0083271F" w:rsidP="0083271F">
      <w:pPr>
        <w:pStyle w:val="Style3"/>
        <w:rPr>
          <w:lang w:val="en-US"/>
        </w:rPr>
      </w:pPr>
      <w:bookmarkStart w:id="4" w:name="_Toc100246221"/>
      <w:r w:rsidRPr="00BD5633">
        <w:rPr>
          <w:lang w:val="en-US"/>
        </w:rPr>
        <w:lastRenderedPageBreak/>
        <w:t>General Anxiety Disorder-7</w:t>
      </w:r>
      <w:bookmarkEnd w:id="4"/>
      <w:r w:rsidRPr="00BD5633">
        <w:rPr>
          <w:lang w:val="en-US"/>
        </w:rPr>
        <w:t xml:space="preserve"> </w:t>
      </w:r>
    </w:p>
    <w:p w14:paraId="28D30DB3" w14:textId="02A48D83" w:rsidR="0083271F" w:rsidRPr="00A422D0" w:rsidRDefault="0083271F" w:rsidP="0083271F">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The</w:t>
      </w:r>
      <w:r w:rsidRPr="00A422D0">
        <w:rPr>
          <w:rFonts w:ascii="Times New Roman" w:hAnsi="Times New Roman" w:cs="Times New Roman"/>
          <w:sz w:val="20"/>
          <w:szCs w:val="20"/>
          <w:lang w:val="en-US"/>
        </w:rPr>
        <w:t xml:space="preserve"> 7-item anxiety scale, </w:t>
      </w:r>
      <w:r>
        <w:rPr>
          <w:rFonts w:ascii="Times New Roman" w:hAnsi="Times New Roman" w:cs="Times New Roman"/>
          <w:sz w:val="20"/>
          <w:szCs w:val="20"/>
          <w:lang w:val="en-US"/>
        </w:rPr>
        <w:t>GAD-7</w:t>
      </w:r>
      <w:r w:rsidRPr="00A422D0">
        <w:rPr>
          <w:rFonts w:ascii="Times New Roman" w:hAnsi="Times New Roman" w:cs="Times New Roman"/>
          <w:sz w:val="20"/>
          <w:szCs w:val="20"/>
          <w:lang w:val="en-US"/>
        </w:rPr>
        <w:t xml:space="preserve"> was used to evaluate symptoms of anxiety. The GAD-7 is considered a valid and efficient tool for screening for GAD and assessing its severity in clinical practice and research.</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{"citationID":"ancegbb64f","properties":{"formattedCitation":"{\\rtf \\super 2\\nosupersub{}}","plainCitation":"2"},"citationItems":[{"id":"ITEM-1","uris":["http://www.mendeley.com/documents/?uuid=ce836620-fe57-4eef-a4b5-ce8b03aacc62"],"uri":["http://www.mendeley.com/documents/?uuid=ce836620-fe57-4eef-a4b5-ce8b03aacc62"],"itemData":{"DOI":"10.1001/archinte.166.10.1092","ISSN":"0003-9926","abstract":"BACKGROUND: Generalized anxiety disorder (GAD) is one of the most common mental disorders; however, there is no brief clinical measure for assessing GAD. The objective of this study was to develop a brief self-report scale to identify probable cases of GAD and evaluate its reliability and validity.\nMETHODS: A criterion-standard study was performed in 15 primary care clinics in the United States from November 2004 through June 2005. Of a total of 2740 adult patients completing a study questionnaire, 965 patients had a telephone interview with a mental health professional within 1 week. For criterion and construct validity, GAD self-report scale diagnoses were compared with independent diagnoses made by mental health professionals; functional status measures; disability days; and health care use.\nRESULTS: A 7-item anxiety scale (GAD-7) had good reliability, as well as criterion, construct, factorial, and procedural validity. A cut point was identified that optimized sensitivity (89%) and specificity (82%). Increasing scores on the scale were strongly associated with multiple domains of functional impairment (all 6 Medical Outcomes Study Short-Form General Health Survey scales and disability days). Although GAD and depression symptoms frequently co-occurred, factor analysis confirmed them as distinct dimensions. Moreover, GAD and depression symptoms had differing but independent effects on functional impairment and disability. There was good agreement between self-report and interviewer-administered versions of the scale.\nCONCLUSION: The GAD-7 is a valid and efficient tool for screening for GAD and assessing its severity in clinical practice and research.","author":[{"dropping-particle":"","family":"Spitzer","given":"Robert L.","non-dropping-particle":"","parse-names":false,"suffix":""},{"dropping-particle":"","family":"Kroenke","given":"Kurt","non-dropping-particle":"","parse-names":false,"suffix":""},{"dropping-particle":"","family":"Williams","given":"Janet B. W.","non-dropping-particle":"","parse-names":false,"suffix":""},{"dropping-particle":"","family":"Löwe","given":"Bernd","non-dropping-particle":"","parse-names":false,"suffix":""}],"container-title":"Archives of Internal Medicine","id":"ITEM-1","issue":"10","issued":{"date-parts":[["2006","5"]]},"language":"eng","page":"1092-1097","title":"A brief measure for assessing generalized anxiety disorder: the GAD-7","type":"article-journal","volume":"166"}}],"schema":"https://github.com/citation-style-language/schema/raw/master/csl-citation.json"}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2</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In particular, evidence supports reliability and validity of the GAD-7 as a measure of anxiety in the general population.</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{"citationID":"aa6h5n679q","properties":{"formattedCitation":"{\\rtf \\super 7\\nosupersub{}}","plainCitation":"7"},"citationItems":[{"id":371,"uris":["http://zotero.org/users/local/0NZqn2Xy/items/MSRGAI8V"],"uri":["http://zotero.org/users/local/0NZqn2Xy/items/MSRGAI8V"],"itemData":{"id":371,"type":"article-journal","title":"Validation and standardization of the Generalized Anxiety Disorder Screener (GAD-7) in the general population","container-title":"Medical Care","page":"266-274","volume":"46","issue":"3","source":"PubMed","abstract":"BACKGROUND: The 7-item Generalized Anxiety Disorder Scale (GAD-7) is a practical self-report anxiety questionnaire that proved valid in primary care. However, the GAD-7 was not yet validated in the general population and thus far, normative data are not available.\nOBJECTIVES: To investigate reliability, construct validity, and factorial validity of the GAD-7 in the general population and to generate normative data.\nRESEARCH DESIGN: Nationally representative face-to-face household survey conducted in Germany between May 5 and June 8, 2006.\nSUBJECTS: Five thousand thirty subjects (53.6% female) with a mean age (SD) of 48.4 (18.0) years.\nMEASURES: The survey questionnaire included the GAD-7, the 2-item depression module from the Patient Health Questionnaire (PHQ-2), the Rosenberg Self-Esteem Scale, and demographic characteristics.\nRESULTS: Confirmatory factor analyses substantiated the 1-dimensional structure of the GAD-7 and its factorial invariance for gender and age. Internal consistency was identical across all subgroups (alpha = 0.89). Intercorrelations with the PHQ-2 and the Rosenberg Self-Esteem Scale were r = 0.64 (P &lt; 0.001) and r = -0.43 (P &lt; 0.001), respectively. As expected, women had significantly higher mean (SD) GAD-7 anxiety scores compared with men [3.2 (3.5) vs. 2.7 (3.2); P &lt; 0.001]. Normative data for the GAD-7 were generated for both genders and different age levels. Approximately 5% of subjects had GAD-7 scores of 10 or greater, and 1% had GAD-7 scores of 15 or greater.\nCONCLUSIONS: Evidence supports reliability and validity of the GAD-7 as a measure of anxiety in the general population. The normative data provided in this study can be used to compare a subject's GAD-7 score with those determined from a general population reference group.","DOI":"10.1097/MLR.0b013e318160d093","ISSN":"0025-7079","note":"PMID: 18388841","journalAbbreviation":"Med Care","language":"eng","author":[{"family":"Löwe","given":"Bernd"},{"family":"Decker","given":"Oliver"},{"family":"Müller","given":"Stefanie"},{"family":"Brähler","given":"Elmar"},{"family":"Schellberg","given":"Dieter"},{"family":"Herzog","given":"Wolfgang"},{"family":"Herzberg","given":"Philipp Yorck"}],"issued":{"date-parts":[["2008",3]]}}}],"schema":"https://github.com/citation-style-language/schema/raw/master/csl-citation.json"}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7</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The psychometric properties of the Icelandic translation of the GAD-7 have been tested and deemed satisfactory.</w:t>
      </w:r>
    </w:p>
    <w:p w14:paraId="471BFF7F" w14:textId="77777777" w:rsidR="0083271F" w:rsidRPr="006D571C" w:rsidRDefault="0083271F" w:rsidP="0083271F">
      <w:pPr>
        <w:pStyle w:val="Style3"/>
        <w:rPr>
          <w:lang w:val="en-US"/>
        </w:rPr>
      </w:pPr>
      <w:bookmarkStart w:id="5" w:name="_Toc100246222"/>
      <w:r w:rsidRPr="006D571C">
        <w:rPr>
          <w:lang w:val="en-US"/>
        </w:rPr>
        <w:t>Patient Health Questionnaire-9</w:t>
      </w:r>
      <w:bookmarkEnd w:id="5"/>
      <w:r w:rsidRPr="006D571C">
        <w:rPr>
          <w:lang w:val="en-US"/>
        </w:rPr>
        <w:t xml:space="preserve"> </w:t>
      </w:r>
    </w:p>
    <w:p w14:paraId="162B3E52" w14:textId="32901EBE" w:rsidR="0083271F" w:rsidRPr="0083271F" w:rsidRDefault="0083271F" w:rsidP="0083271F">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The depression module of the </w:t>
      </w:r>
      <w:r>
        <w:rPr>
          <w:rFonts w:ascii="Times New Roman" w:hAnsi="Times New Roman" w:cs="Times New Roman"/>
          <w:sz w:val="20"/>
          <w:szCs w:val="20"/>
          <w:lang w:val="en-US"/>
        </w:rPr>
        <w:t>PHQ-9</w:t>
      </w:r>
      <w:r w:rsidRPr="00A422D0">
        <w:rPr>
          <w:rFonts w:ascii="Times New Roman" w:hAnsi="Times New Roman" w:cs="Times New Roman"/>
          <w:sz w:val="20"/>
          <w:szCs w:val="20"/>
          <w:lang w:val="en-US"/>
        </w:rPr>
        <w:t xml:space="preserve"> was used to assess depressive symptoms. The PHQ-9 scores each of the 9 DSM-IV criteria for diagnosis of depression as “0” (not at all) to “3” (nearly every day). PHQ-9 has been </w:t>
      </w:r>
      <w:r w:rsidRPr="00BD5633">
        <w:rPr>
          <w:rFonts w:ascii="Times New Roman" w:hAnsi="Times New Roman" w:cs="Times New Roman"/>
          <w:sz w:val="20"/>
          <w:szCs w:val="20"/>
          <w:lang w:val="en-US"/>
        </w:rPr>
        <w:t>deemed a reliable and valid measure of depression severity for use in both clinical and research settings.</w:t>
      </w:r>
      <w:r w:rsidRPr="00BD5633">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{"citationID":"a1stmjrjp5l","properties":{"formattedCitation":"{\\rtf \\super 3\\nosupersub{}}","plainCitation":"3"},"citationItems":[{"id":"ITEM-1","uris":["http://www.mendeley.com/documents/?uuid=c1f2e81b-f440-42c0-964a-a3d2289c5a1b"],"uri":["http://www.mendeley.com/documents/?uuid=c1f2e81b-f440-42c0-964a-a3d2289c5a1b"],"itemData":{"DOI":"10.1046/j.1525-1497.2001.016009606.x","ISSN":"0884-8734","abstract":"OBJECTIVE: While considerable attention has focused on improving the detection of depression, assessment of severity is also important in guiding treatment decisions. Therefore, we examined the validity of a brief, new measure of depression severity.\nMEASUREMENTS: The Patient Health Questionnaire (PHQ) is a self-administered version of the PRIME-MD diagnostic instrument for common mental disorders. The PHQ-9 is the depression module, which scores each of the 9 DSM-IV criteria as \"0\" (not at all) to \"3\" (nearly every day). The PHQ-9 was completed by 6,000 patients in 8 primary care clinics and 7 obstetrics-gynecology clinics. Construct validity was assessed using the 20-item Short-Form General Health Survey, self-reported sick days and clinic visits, and symptom-related difficulty. Criterion validity was assessed against an independent structured mental health professional (MHP) interview in a sample of 580 patients.\nRESULTS: As PHQ-9 depression severity increased, there was a substantial decrease in functional status on all 6 SF-20 subscales. Also, symptom-related difficulty, sick days, and health care utilization increased. Using the MHP reinterview as the criterion standard, a PHQ-9 score &gt; or =10 had a sensitivity of 88% and a specificity of 88% for major depression. PHQ-9 scores of 5, 10, 15, and 20 represented mild, moderate, moderately severe, and severe depression, respectively. Results were similar in the primary care and obstetrics-gynecology samples.\nCONCLUSION: In addition to making criteria-based diagnoses of depressive disorders, the PHQ-9 is also a reliable and valid measure of depression severity. These characteristics plus its brevity make the PHQ-9 a useful clinical and research tool.","author":[{"dropping-particle":"","family":"Kroenke","given":"K.","non-dropping-particle":"","parse-names":false,"suffix":""},{"dropping-particle":"","family":"Spitzer","given":"R. L.","non-dropping-particle":"","parse-names":false,"suffix":""},{"dropping-particle":"","family":"Williams","given":"J. B.","non-dropping-particle":"","parse-names":false,"suffix":""}],"container-title":"Journal of General Internal Medicine","id":"ITEM-1","issue":"9","issued":{"date-parts":[["2001","9"]]},"language":"eng","page":"606-613","title":"The PHQ-9: validity of a brief depression severity measure","type":"article-journal","volume":"16"}}],"schema":"https://github.com/citation-style-language/schema/raw/master/csl-citation.json"} </w:instrText>
      </w:r>
      <w:r w:rsidRPr="00BD5633">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3</w:t>
      </w:r>
      <w:r w:rsidRPr="00BD5633">
        <w:rPr>
          <w:rFonts w:ascii="Times New Roman" w:hAnsi="Times New Roman" w:cs="Times New Roman"/>
          <w:sz w:val="20"/>
          <w:szCs w:val="20"/>
          <w:lang w:val="en-US"/>
        </w:rPr>
        <w:fldChar w:fldCharType="end"/>
      </w:r>
      <w:r w:rsidRPr="00BD5633">
        <w:rPr>
          <w:rFonts w:ascii="Times New Roman" w:hAnsi="Times New Roman" w:cs="Times New Roman"/>
          <w:sz w:val="20"/>
          <w:szCs w:val="20"/>
          <w:lang w:val="en-US"/>
        </w:rPr>
        <w:t xml:space="preserve"> Psychometric properties of the Icelandic PHQ-9 were adequate in primary care (</w:t>
      </w:r>
      <w:r>
        <w:rPr>
          <w:rFonts w:ascii="Times New Roman" w:hAnsi="Times New Roman" w:cs="Times New Roman"/>
          <w:sz w:val="20"/>
          <w:szCs w:val="20"/>
        </w:rPr>
        <w:t xml:space="preserve">Pálsdóttir, V. E. (2007). </w:t>
      </w:r>
      <w:r w:rsidRPr="00BD5633">
        <w:rPr>
          <w:rFonts w:ascii="Times New Roman" w:hAnsi="Times New Roman" w:cs="Times New Roman"/>
          <w:sz w:val="20"/>
          <w:szCs w:val="20"/>
        </w:rPr>
        <w:t>Unpublished manuscript, Department of Psychology, University of Iceland.</w:t>
      </w:r>
      <w:r w:rsidRPr="00BD5633">
        <w:rPr>
          <w:rFonts w:ascii="Times New Roman" w:hAnsi="Times New Roman" w:cs="Times New Roman"/>
          <w:sz w:val="20"/>
          <w:szCs w:val="20"/>
          <w:lang w:val="en-US"/>
        </w:rPr>
        <w:t>). The Icelandic translation of PHQ-9 was used here with the permission of its authors, Agnes Agnarsdottir, Hafr</w:t>
      </w:r>
      <w:r>
        <w:rPr>
          <w:rFonts w:ascii="Times New Roman" w:hAnsi="Times New Roman" w:cs="Times New Roman"/>
          <w:sz w:val="20"/>
          <w:szCs w:val="20"/>
          <w:lang w:val="en-US"/>
        </w:rPr>
        <w:t>ú</w:t>
      </w:r>
      <w:r w:rsidRPr="00BD5633">
        <w:rPr>
          <w:rFonts w:ascii="Times New Roman" w:hAnsi="Times New Roman" w:cs="Times New Roman"/>
          <w:sz w:val="20"/>
          <w:szCs w:val="20"/>
          <w:lang w:val="en-US"/>
        </w:rPr>
        <w:t>n Kristjánsdóttir, Jakob Sm</w:t>
      </w:r>
      <w:r>
        <w:rPr>
          <w:rFonts w:ascii="Times New Roman" w:hAnsi="Times New Roman" w:cs="Times New Roman"/>
          <w:sz w:val="20"/>
          <w:szCs w:val="20"/>
          <w:lang w:val="en-US"/>
        </w:rPr>
        <w:t>á</w:t>
      </w:r>
      <w:r w:rsidRPr="00BD5633">
        <w:rPr>
          <w:rFonts w:ascii="Times New Roman" w:hAnsi="Times New Roman" w:cs="Times New Roman"/>
          <w:sz w:val="20"/>
          <w:szCs w:val="20"/>
          <w:lang w:val="en-US"/>
        </w:rPr>
        <w:t xml:space="preserve">ri, </w:t>
      </w:r>
      <w:r>
        <w:rPr>
          <w:rFonts w:ascii="Times New Roman" w:hAnsi="Times New Roman" w:cs="Times New Roman"/>
          <w:sz w:val="20"/>
          <w:szCs w:val="20"/>
          <w:lang w:val="en-US"/>
        </w:rPr>
        <w:t xml:space="preserve">Jón Friðrik Sigurðsson </w:t>
      </w:r>
      <w:r w:rsidRPr="00BD5633">
        <w:rPr>
          <w:rFonts w:ascii="Times New Roman" w:hAnsi="Times New Roman" w:cs="Times New Roman"/>
          <w:sz w:val="20"/>
          <w:szCs w:val="20"/>
          <w:lang w:val="en-US"/>
        </w:rPr>
        <w:t xml:space="preserve">and </w:t>
      </w:r>
      <w:r>
        <w:rPr>
          <w:rFonts w:ascii="Times New Roman" w:hAnsi="Times New Roman" w:cs="Times New Roman"/>
          <w:sz w:val="20"/>
          <w:szCs w:val="20"/>
          <w:lang w:val="en-US"/>
        </w:rPr>
        <w:t>Pétur</w:t>
      </w:r>
      <w:r w:rsidRPr="00BD5633">
        <w:rPr>
          <w:rFonts w:ascii="Times New Roman" w:hAnsi="Times New Roman" w:cs="Times New Roman"/>
          <w:sz w:val="20"/>
          <w:szCs w:val="20"/>
          <w:lang w:val="en-US"/>
        </w:rPr>
        <w:t xml:space="preserve"> Tyrfingsson.</w:t>
      </w:r>
    </w:p>
    <w:p w14:paraId="560B092F" w14:textId="3DDE59E3" w:rsidR="00E425F0" w:rsidRPr="00A422D0" w:rsidRDefault="00E425F0" w:rsidP="00A56B49">
      <w:pPr>
        <w:pStyle w:val="Style3"/>
        <w:rPr>
          <w:lang w:val="en-US"/>
        </w:rPr>
      </w:pPr>
      <w:bookmarkStart w:id="6" w:name="_Toc100246223"/>
      <w:r w:rsidRPr="00A422D0">
        <w:rPr>
          <w:lang w:val="en-US"/>
        </w:rPr>
        <w:t xml:space="preserve">Perceived </w:t>
      </w:r>
      <w:r w:rsidR="00375C0B">
        <w:rPr>
          <w:lang w:val="en-US"/>
        </w:rPr>
        <w:t>S</w:t>
      </w:r>
      <w:r w:rsidRPr="00A422D0">
        <w:rPr>
          <w:lang w:val="en-US"/>
        </w:rPr>
        <w:t xml:space="preserve">tress </w:t>
      </w:r>
      <w:r w:rsidR="00375C0B">
        <w:rPr>
          <w:lang w:val="en-US"/>
        </w:rPr>
        <w:t>S</w:t>
      </w:r>
      <w:r w:rsidRPr="00A422D0">
        <w:rPr>
          <w:lang w:val="en-US"/>
        </w:rPr>
        <w:t>cale</w:t>
      </w:r>
      <w:bookmarkEnd w:id="6"/>
    </w:p>
    <w:p w14:paraId="006C2DAA" w14:textId="3E574FE1" w:rsidR="00E425F0" w:rsidRPr="00A422D0" w:rsidRDefault="00E425F0" w:rsidP="00E425F0">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Psychological stress during the last month was assessed using the 10-item Perceived Stress Scale (PSS-10). Acceptable psychometric properties of the PSS-10 have been establ</w:t>
      </w:r>
      <w:r w:rsidR="00405F88" w:rsidRPr="00A422D0">
        <w:rPr>
          <w:rFonts w:ascii="Times New Roman" w:hAnsi="Times New Roman" w:cs="Times New Roman"/>
          <w:sz w:val="20"/>
          <w:szCs w:val="20"/>
          <w:lang w:val="en-US"/>
        </w:rPr>
        <w:t>ished in various settings.</w:t>
      </w:r>
      <w:r w:rsidR="00405F88"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{"citationID":"apj56q27j0","properties":{"formattedCitation":"{\\rtf \\super 8\\nosupersub{}}","plainCitation":"8"},"citationItems":[{"id":359,"uris":["http://zotero.org/users/local/0NZqn2Xy/items/4Q6Q5NCT"],"uri":["http://zotero.org/users/local/0NZqn2Xy/items/4Q6Q5NCT"],"itemData":{"id":359,"type":"article-journal","title":"Review of the psychometric evidence of the perceived stress scale","container-title":"Asian Nursing Research","page":"121-127","volume":"6","issue":"4","source":"PubMed","abstract":"PURPOSE: The purpose of this study was to review articles related to the psychometric properties of the Perceived Stress Scale (PSS).\nMETHODS: Systematic literature searches of computerized databases were performed to identify articles on psychometric evaluation of the PSS.\nRESULTS: The search finally identified 19 articles. Internal consistency reliability, factorial validity, and hypothesis validity of the PSS were well reported. However, the test-retest reliability and criterion validity were relatively rarely evaluated. In general, the psychometric properties of the 10-item PSS were found to be superior to those of the 14-item PSS, while those of the 4-item scale fared the worst. The psychometric properties of the PSS have been evaluated empirically mostly using populations of college students or workers.\nCONCLUSION: Overall, the PSS is an easy-to-use questionnaire with established acceptable psychometric properties. However, future studies should evaluate these psychometric properties in greater depth, and validate the scale using diverse populations.","DOI":"10.1016/j.anr.2012.08.004","ISSN":"2093-7482","note":"PMID: 25031113","journalAbbreviation":"Asian Nurs Res (Korean Soc Nurs Sci)","language":"eng","author":[{"family":"Lee","given":"Eun-Hyun"}],"issued":{"date-parts":[["2012",12]]}}}],"schema":"https://github.com/citation-style-language/schema/raw/master/csl-citation.json"} </w:instrText>
      </w:r>
      <w:r w:rsidR="00405F88"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8</w:t>
      </w:r>
      <w:r w:rsidR="00405F88" w:rsidRPr="00A422D0">
        <w:rPr>
          <w:rFonts w:ascii="Times New Roman" w:hAnsi="Times New Roman" w:cs="Times New Roman"/>
          <w:sz w:val="20"/>
          <w:szCs w:val="20"/>
          <w:lang w:val="en-US"/>
        </w:rPr>
        <w:fldChar w:fldCharType="end"/>
      </w:r>
      <w:r w:rsidR="00405F88" w:rsidRPr="00A422D0">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Each of the 10 items are scored on a five-point Likert scale (0-4) with a total s</w:t>
      </w:r>
      <w:r w:rsidR="00405F88" w:rsidRPr="00A422D0">
        <w:rPr>
          <w:rFonts w:ascii="Times New Roman" w:hAnsi="Times New Roman" w:cs="Times New Roman"/>
          <w:sz w:val="20"/>
          <w:szCs w:val="20"/>
          <w:lang w:val="en-US"/>
        </w:rPr>
        <w:t>core ranging from 0 to 40</w:t>
      </w:r>
      <w:r w:rsidRPr="00A422D0">
        <w:rPr>
          <w:rFonts w:ascii="Times New Roman" w:hAnsi="Times New Roman" w:cs="Times New Roman"/>
          <w:sz w:val="20"/>
          <w:szCs w:val="20"/>
          <w:lang w:val="en-US"/>
        </w:rPr>
        <w:t>.</w:t>
      </w:r>
      <w:r w:rsidR="00405F88"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{"citationID":"ah7amf0qo6","properties":{"formattedCitation":"{\\rtf \\super 4\\nosupersub{}}","plainCitation":"4"},"citationItems":[{"id":"ITEM-1","uris":["http://www.mendeley.com/documents/?uuid=36d1db77-eeb5-4fd4-8e7e-32e753f865e0"],"uri":["http://www.mendeley.com/documents/?uuid=36d1db77-eeb5-4fd4-8e7e-32e753f865e0"],"itemData":{"ISSN":"0022-1465","author":[{"dropping-particle":"","family":"Cohen","given":"S.","non-dropping-particle":"","parse-names":false,"suffix":""},{"dropping-particle":"","family":"Kamarck","given":"T.","non-dropping-particle":"","parse-names":false,"suffix":""},{"dropping-particle":"","family":"Mermelstein","given":"R.","non-dropping-particle":"","parse-names":false,"suffix":""}],"container-title":"Journal of Health and Social Behavior","id":"ITEM-1","issue":"4","issued":{"date-parts":[["1983","12"]]},"language":"eng","page":"385-396","title":"A global measure of perceived stress","type":"article-journal","volume":"24"}}],"schema":"https://github.com/citation-style-language/schema/raw/master/csl-citation.json"} </w:instrText>
      </w:r>
      <w:r w:rsidR="00405F88"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4</w:t>
      </w:r>
      <w:r w:rsidR="00405F88"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The Icelandic version of PSS-10 was used here with the permission of its author, Arna Hauks</w:t>
      </w:r>
      <w:r w:rsidR="005F24DA">
        <w:rPr>
          <w:rFonts w:ascii="Times New Roman" w:hAnsi="Times New Roman" w:cs="Times New Roman"/>
          <w:sz w:val="20"/>
          <w:szCs w:val="20"/>
          <w:lang w:val="en-US"/>
        </w:rPr>
        <w:t>d</w:t>
      </w:r>
      <w:r w:rsidRPr="00A422D0">
        <w:rPr>
          <w:rFonts w:ascii="Times New Roman" w:hAnsi="Times New Roman" w:cs="Times New Roman"/>
          <w:sz w:val="20"/>
          <w:szCs w:val="20"/>
          <w:lang w:val="en-US"/>
        </w:rPr>
        <w:t>ottir. A shorter 4-item version of the Icelandic PSS has been used in studies of the effects of financial and natural disasters i</w:t>
      </w:r>
      <w:r w:rsidR="00405F88" w:rsidRPr="00A422D0">
        <w:rPr>
          <w:rFonts w:ascii="Times New Roman" w:hAnsi="Times New Roman" w:cs="Times New Roman"/>
          <w:sz w:val="20"/>
          <w:szCs w:val="20"/>
          <w:lang w:val="en-US"/>
        </w:rPr>
        <w:t>n Iceland</w:t>
      </w:r>
      <w:r w:rsidRPr="00A422D0">
        <w:rPr>
          <w:rFonts w:ascii="Times New Roman" w:hAnsi="Times New Roman" w:cs="Times New Roman"/>
          <w:sz w:val="20"/>
          <w:szCs w:val="20"/>
          <w:lang w:val="en-US"/>
        </w:rPr>
        <w:t>.</w:t>
      </w:r>
      <w:r w:rsidR="00405F88"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{"citationID":"agp8q4m65c","properties":{"formattedCitation":"{\\rtf \\super 9,10\\nosupersub{}}","plainCitation":"9,10"},"citationItems":[{"id":363,"uris":["http://zotero.org/users/local/0NZqn2Xy/items/QLCPHATJ"],"uri":["http://zotero.org/users/local/0NZqn2Xy/items/QLCPHATJ"],"itemData":{"id":363,"type":"article-journal","title":"Increased stress among women following an economic collapse--a prospective cohort study","container-title":"American Journal of Epidemiology","page":"979-988","volume":"177","issue":"9","source":"PubMed","abstract":"There is a scarcity of data on mental health effects of the global economic recession. In this study, we investigated potential change in self-reported levels of psychological stress in the Icelandic population as a result of the major national economic collapse that occurred in 2008. We used a national cohort of 3,755 persons who responded to a survey administered in 2007 and 2009, including demographic questions and a stress measure (the 4-item Perceived Stress Scale). We used repeated-measures analysis of variance and logistic regression models to assess change in mean stress levels and risk of high stress levels (&gt;90th percentile) in 2009 as compared with 2007. Age-adjusted mean stress levels increased between 2007 and 2009 (P = 0.004), though the increase was observed only for women (P = 0.003), not for men (P = 0.34). Similarly, the odds ratios for experiencing high stress levels were increased only among women (odds ratio (OR) = 1.37), especially among women who were unemployed (OR = 3.38), students (OR = 2.01), had middle levels of education (OR = 1.65), or were in the middle income bracket (OR = 1.59). The findings indicate that psychological stress may have increased following the economic collapse in Iceland, particularly among females in economically vulnerable groups.","DOI":"10.1093/aje/kws347","ISSN":"1476-6256","note":"PMID: 23408547","journalAbbreviation":"Am J Epidemiol","language":"eng","author":[{"family":"Hauksdóttir","given":"Arna"},{"family":"McClure","given":"Christopher"},{"family":"Jonsson","given":"Stefan Hrafn"},{"family":"Olafsson","given":"Orn"},{"family":"Valdimarsdóttir","given":"Unnur A."}],"issued":{"date-parts":[["2013",5,1]]}}},{"id":365,"uris":["http://zotero.org/users/local/0NZqn2Xy/items/YUGKHGWI"],"uri":["http://zotero.org/users/local/0NZqn2Xy/items/YUGKHGWI"],"itemData":{"id":365,"type":"article-journal","title":"Long-term health effects of the Eyjafjallajökull volcanic eruption: a prospective cohort study in 2010 and 2013","container-title":"BMJ open","page":"e011444","volume":"6","issue":"9","source":"PubMed","abstract":"OBJECTIVES: To examine the long-term development of physical and mental health following exposure to a volcanic eruption.\nDESIGN: Population-based prospective cohort study.\nSETTING: In spring 2010, the Icelandic volcano Eyjafjallajökull erupted. Data were collected at 2 time points: in 2010 and 2013.\nPARTICIPANTS: Adult residents in areas close to the Eyjafjallajökull volcano (N=1096), divided according to exposure levels, and a non-exposed sample (n=475), with 80% participation rate in 2013.\nMAIN OUTCOME MEASURES: Physical symptoms in the previous year (chronic) and previous month (recent), and psychological distress (General Health Questionnaire-12-item version, GHQ-12), perceived stress (Perceived Stress Scale, PSS-4) and post traumatic stress disorder (PTSD) symptoms (Primary Care PTSD, PC-PTSD).\nRESULTS: In the exposed group, certain symptoms were higher in 2013 than in 2010, for example, morning phlegm during winter (OR 2.14; 95% CI 1.49 to 3.06), skin rash/eczema (OR 2.86; 95% CI 1.76 to 4.65), back pain (OR 1.45; 95% CI 1.03 to 2.05) and insomnia (OR 1.53; 95% CI 1.01 to 2.30), in addition to a higher prevalence of regular use of certain medications (eg, for asthma (OR 2.80; 95% CI 1.01 to 7.77)). PTSD symptoms decreased between 2010 and 2013 (OR 0.33; 95% CI 0.17 to 0.61), while the prevalence of psychological distress and perceived stress remained similar. In 2013, the exposed group showed a higher prevalence of various respiratory symptoms than did the non-exposed group, such as wheezing without a cold (high exposure OR 2.35; 95% CI 1.27 to 4.47) and phlegm (high exposure OR 2.81; 95% CI 1.48 to 5.55), some symptoms reflecting the degree of exposure (eg, nocturnal chest tightness (medium exposed OR 3.09; 95% CI 1.21 to 10.46; high exposed OR 3.42; 95% CI 1.30 to 11.79)).\nCONCLUSIONS: The findings indicate that people exposed to a volcanic eruption, especially those most exposed, exhibit increased risk of certain symptoms 3-4 years after the eruption.","DOI":"10.1136/bmjopen-2016-011444","ISSN":"2044-6055","note":"PMID: 27609845\nPMCID: PMC5020842","shortTitle":"Long-term health effects of the Eyjafjallajökull volcanic eruption","journalAbbreviation":"BMJ Open","language":"eng","author":[{"family":"Hlodversdottir","given":"Heidrun"},{"family":"Petursdottir","given":"Gudrun"},{"family":"Carlsen","given":"Hanne Krage"},{"family":"Gislason","given":"Thorarinn"},{"family":"Hauksdottir","given":"Arna"}],"issued":{"date-parts":[["2016"]],"season":"08"}}}],"schema":"https://github.com/citation-style-language/schema/raw/master/csl-citation.json"} </w:instrText>
      </w:r>
      <w:r w:rsidR="00405F88"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9,10</w:t>
      </w:r>
      <w:r w:rsidR="00405F88" w:rsidRPr="00A422D0">
        <w:rPr>
          <w:rFonts w:ascii="Times New Roman" w:hAnsi="Times New Roman" w:cs="Times New Roman"/>
          <w:sz w:val="20"/>
          <w:szCs w:val="20"/>
          <w:lang w:val="en-US"/>
        </w:rPr>
        <w:fldChar w:fldCharType="end"/>
      </w:r>
    </w:p>
    <w:p w14:paraId="3546A831" w14:textId="2B918774" w:rsidR="00BD5633" w:rsidRPr="00BD5633" w:rsidRDefault="00BD5633" w:rsidP="00A56B49">
      <w:pPr>
        <w:pStyle w:val="Style3"/>
        <w:rPr>
          <w:lang w:val="en-US"/>
        </w:rPr>
      </w:pPr>
      <w:bookmarkStart w:id="7" w:name="_Toc100246224"/>
      <w:r w:rsidRPr="00BD5633">
        <w:rPr>
          <w:lang w:val="en-US"/>
        </w:rPr>
        <w:t>Short Health Anxiety Inventory</w:t>
      </w:r>
      <w:bookmarkEnd w:id="7"/>
      <w:r w:rsidRPr="00BD5633">
        <w:rPr>
          <w:lang w:val="en-US"/>
        </w:rPr>
        <w:t xml:space="preserve"> </w:t>
      </w:r>
    </w:p>
    <w:p w14:paraId="281DECEC" w14:textId="2CDFBFB8" w:rsidR="00E425F0" w:rsidRDefault="00E425F0"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Symptoms of health anxiety were assessed using the </w:t>
      </w:r>
      <w:r w:rsidR="00BD5633">
        <w:rPr>
          <w:rFonts w:ascii="Times New Roman" w:hAnsi="Times New Roman" w:cs="Times New Roman"/>
          <w:sz w:val="20"/>
          <w:szCs w:val="20"/>
          <w:lang w:val="en-US"/>
        </w:rPr>
        <w:t>SHAI</w:t>
      </w:r>
      <w:r w:rsidRPr="00A422D0">
        <w:rPr>
          <w:rFonts w:ascii="Times New Roman" w:hAnsi="Times New Roman" w:cs="Times New Roman"/>
          <w:sz w:val="20"/>
          <w:szCs w:val="20"/>
          <w:lang w:val="en-US"/>
        </w:rPr>
        <w:t>, a 14-item version of a full length scale w</w:t>
      </w:r>
      <w:r w:rsidR="004C003A" w:rsidRPr="00A422D0">
        <w:rPr>
          <w:rFonts w:ascii="Times New Roman" w:hAnsi="Times New Roman" w:cs="Times New Roman"/>
          <w:sz w:val="20"/>
          <w:szCs w:val="20"/>
          <w:lang w:val="en-US"/>
        </w:rPr>
        <w:t>ith comparable properties</w:t>
      </w:r>
      <w:r w:rsidRPr="00A422D0">
        <w:rPr>
          <w:rFonts w:ascii="Times New Roman" w:hAnsi="Times New Roman" w:cs="Times New Roman"/>
          <w:sz w:val="20"/>
          <w:szCs w:val="20"/>
          <w:lang w:val="en-US"/>
        </w:rPr>
        <w:t>.</w:t>
      </w:r>
      <w:r w:rsidR="004C003A"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{"citationID":"avn7uus4bi","properties":{"formattedCitation":"{\\rtf \\super 5\\nosupersub{}}","plainCitation":"5"},"citationItems":[{"id":"ITEM-1","uris":["http://www.mendeley.com/documents/?uuid=7503fe7f-e233-471d-8a8f-33d617a887fe"],"uri":["http://www.mendeley.com/documents/?uuid=7503fe7f-e233-471d-8a8f-33d617a887fe"],"itemData":{"DOI":"10.1017/s0033291702005822","ISSN":"0033-2917","abstract":"BACKGROUND: A self-rated measure of health anxiety should be sensitive across the full range of intensity (from mild concern to frank hypochondriasis) and should differentiate people suffering from health anxiety from those who have actual physical illness but who are not excessively concerned about their health. It should also encompass the full range of clinical symptoms characteristic of clinical hypochondriasis. The development and validation of such a scale is described.\nMETHOD: Three studies were conducted. First, the questionnaire was validated by comparing the responses of patients suffering from hypochondriasis with those suffering from hypochondriasis and panic disorder, panic disorder, social phobia and non-patient controls. Secondly, a state version of the questionnaire was administered to patients undergoing cognitive-behavioural treatment or wait-list in order to examine the measure's sensitivity to change. In the third study, a shortened version was developed and validated in similar types of sample, and in a range of samples of people seeking medical help for physical illness.\nRESULTS: The scale was found to be reliable and to have a high internal consistency. Hypochondriacal patients scored significantly higher than anxiety disorder patients, including both social phobic patients and panic disorder patients as well as normal controls. In the second study, a 'state' version of the scale was found to be sensitive to treatment effects, and to correlate very highly with a clinician rating based on an interview of present clinical state. A development and refinement of the scale (intended to reflect more fully the range of symptoms of and reactions to hypochondriasis) was found to be reliable and valid. A very short (14 item) version of the scale was found to have comparable properties to the full length scale.\nCONCLUSIONS: The HAI is a reliable and valid measure of health anxiety. It is likely to be useful as a brief screening instrument, as there is a short form which correlates highly with the longer version.","author":[{"dropping-particle":"","family":"Salkovskis","given":"P. M.","non-dropping-particle":"","parse-names":false,"suffix":""},{"dropping-particle":"","family":"Rimes","given":"K. A.","non-dropping-particle":"","parse-names":false,"suffix":""},{"dropping-particle":"","family":"Warwick","given":"H. M. C.","non-dropping-particle":"","parse-names":false,"suffix":""},{"dropping-particle":"","family":"Clark","given":"D. M.","non-dropping-particle":"","parse-names":false,"suffix":""}],"container-title":"Psychological Medicine","id":"ITEM-1","issue":"5","issued":{"date-parts":[["2002","7"]]},"language":"eng","page":"843-853","title":"The Health Anxiety Inventory: development and validation of scales for the measurement of health anxiety and hypochondriasis","type":"article-journal","volume":"32"}}],"schema":"https://github.com/citation-style-language/schema/raw/master/csl-citation.json"} </w:instrText>
      </w:r>
      <w:r w:rsidR="004C003A"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5</w:t>
      </w:r>
      <w:r w:rsidR="004C003A"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The Icelandic version of SHAI was used here with the permission of its authors, </w:t>
      </w:r>
      <w:r w:rsidR="007D135E">
        <w:rPr>
          <w:rFonts w:ascii="Times New Roman" w:hAnsi="Times New Roman" w:cs="Times New Roman"/>
          <w:sz w:val="20"/>
          <w:szCs w:val="20"/>
          <w:lang w:val="en-US"/>
        </w:rPr>
        <w:t>Pétur</w:t>
      </w:r>
      <w:r w:rsidRPr="00A422D0">
        <w:rPr>
          <w:rFonts w:ascii="Times New Roman" w:hAnsi="Times New Roman" w:cs="Times New Roman"/>
          <w:sz w:val="20"/>
          <w:szCs w:val="20"/>
          <w:lang w:val="en-US"/>
        </w:rPr>
        <w:t xml:space="preserve"> Tyrfingsson, Helgi H</w:t>
      </w:r>
      <w:r w:rsidR="007D135E">
        <w:rPr>
          <w:rFonts w:ascii="Times New Roman" w:hAnsi="Times New Roman" w:cs="Times New Roman"/>
          <w:sz w:val="20"/>
          <w:szCs w:val="20"/>
          <w:lang w:val="en-US"/>
        </w:rPr>
        <w:t>é</w:t>
      </w:r>
      <w:r w:rsidRPr="00A422D0">
        <w:rPr>
          <w:rFonts w:ascii="Times New Roman" w:hAnsi="Times New Roman" w:cs="Times New Roman"/>
          <w:sz w:val="20"/>
          <w:szCs w:val="20"/>
          <w:lang w:val="en-US"/>
        </w:rPr>
        <w:t>ðinsson and Inga Hrefna J</w:t>
      </w:r>
      <w:r w:rsidR="007D135E">
        <w:rPr>
          <w:rFonts w:ascii="Times New Roman" w:hAnsi="Times New Roman" w:cs="Times New Roman"/>
          <w:sz w:val="20"/>
          <w:szCs w:val="20"/>
          <w:lang w:val="en-US"/>
        </w:rPr>
        <w:t>ó</w:t>
      </w:r>
      <w:r w:rsidRPr="00A422D0">
        <w:rPr>
          <w:rFonts w:ascii="Times New Roman" w:hAnsi="Times New Roman" w:cs="Times New Roman"/>
          <w:sz w:val="20"/>
          <w:szCs w:val="20"/>
          <w:lang w:val="en-US"/>
        </w:rPr>
        <w:t>nsdottir. The translation was done in 2014 with the permission of Paul Salkovskis, the author of the original English version.</w:t>
      </w:r>
    </w:p>
    <w:p w14:paraId="46C6C57A" w14:textId="77777777" w:rsidR="0083271F" w:rsidRPr="00A422D0" w:rsidRDefault="0083271F" w:rsidP="0083271F">
      <w:pPr>
        <w:pStyle w:val="Style3"/>
        <w:rPr>
          <w:lang w:val="en-US"/>
        </w:rPr>
      </w:pPr>
      <w:bookmarkStart w:id="8" w:name="_Toc100246225"/>
      <w:r w:rsidRPr="00A422D0">
        <w:rPr>
          <w:lang w:val="en-US"/>
        </w:rPr>
        <w:t>Satisfaction With Life Scale</w:t>
      </w:r>
      <w:bookmarkEnd w:id="8"/>
    </w:p>
    <w:p w14:paraId="5292A3CC" w14:textId="0EEEBDC8" w:rsidR="0083271F" w:rsidRPr="00A422D0" w:rsidRDefault="0083271F" w:rsidP="0083271F">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Subjective overall wellbeing was evaluated with the Satisfaction With Life Scale (SWLS), a short 5-item instrument designed to measure global cognitive judgments of satisfactio</w:t>
      </w:r>
      <w:r>
        <w:rPr>
          <w:rFonts w:ascii="Times New Roman" w:hAnsi="Times New Roman" w:cs="Times New Roman"/>
          <w:sz w:val="20"/>
          <w:szCs w:val="20"/>
          <w:lang w:val="en-US"/>
        </w:rPr>
        <w:t>n with one's life</w:t>
      </w:r>
      <w:r w:rsidRPr="00A422D0">
        <w:rPr>
          <w:rFonts w:ascii="Times New Roman" w:hAnsi="Times New Roman" w:cs="Times New Roman"/>
          <w:sz w:val="20"/>
          <w:szCs w:val="20"/>
          <w:lang w:val="en-US"/>
        </w:rPr>
        <w:t>.</w:t>
      </w:r>
      <w:r>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{"citationID":"a1msku3q8i4","properties":{"formattedCitation":"{\\rtf \\super 11\\nosupersub{}}","plainCitation":"11"},"citationItems":[{"id":444,"uris":["http://zotero.org/users/local/0NZqn2Xy/items/W8SEE25R"],"uri":["http://zotero.org/users/local/0NZqn2Xy/items/W8SEE25R"],"itemData":{"id":444,"type":"article-journal","title":"The Satisfaction With Life Scale","container-title":"Journal of Personality Assessment","page":"71-75","volume":"49","issue":"1","source":"PubMed","abstract":"This article reports the development and validation of a scale to measure global life satisfaction, the Satisfaction With Life Scale (SWLS). Among the various components of subjective well-being, the SWLS is narrowly focused to assess global life satisfaction and does not tap related constructs such as positive affect or loneliness. The SWLS is shown to have favorable psychometric properties, including high internal consistency and high temporal reliability. Scores on the SWLS correlate moderately to highly with other measures of subjective well-being, and correlate predictably with specific personality characteristics. It is noted that the SWLS is Suited for use with different age groups, and other potential uses of the scale are discussed.","DOI":"10.1207/s15327752jpa4901_13","ISSN":"0022-3891","note":"PMID: 16367493","journalAbbreviation":"J Pers Assess","language":"eng","author":[{"family":"Diener","given":"E."},{"family":"Emmons","given":"R. A."},{"family":"Larsen","given":"R. J."},{"family":"Griffin","given":"S."}],"issued":{"date-parts":[["1985",2]]}}}],"schema":"https://github.com/citation-style-language/schema/raw/master/csl-citation.json"} </w:instrText>
      </w:r>
      <w:r>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11</w:t>
      </w:r>
      <w:r>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Satisfactory validity and reliability of the scale have been widely tested and e</w:t>
      </w:r>
      <w:r>
        <w:rPr>
          <w:rFonts w:ascii="Times New Roman" w:hAnsi="Times New Roman" w:cs="Times New Roman"/>
          <w:sz w:val="20"/>
          <w:szCs w:val="20"/>
          <w:lang w:val="en-US"/>
        </w:rPr>
        <w:t>stablished</w:t>
      </w:r>
      <w:r w:rsidRPr="00A422D0">
        <w:rPr>
          <w:rFonts w:ascii="Times New Roman" w:hAnsi="Times New Roman" w:cs="Times New Roman"/>
          <w:sz w:val="20"/>
          <w:szCs w:val="20"/>
          <w:lang w:val="en-US"/>
        </w:rPr>
        <w:t>.</w:t>
      </w:r>
      <w:r>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{"citationID":"asst1hauj9","properties":{"formattedCitation":"{\\rtf \\super 12\\nosupersub{}}","plainCitation":"12"},"citationItems":[{"id":446,"uris":["http://zotero.org/users/local/0NZqn2Xy/items/CHKZ3M9M"],"uri":["http://zotero.org/users/local/0NZqn2Xy/items/CHKZ3M9M"],"itemData":{"id":446,"type":"article-journal","title":"Review of the Satisfaction With Life Scale.","page":"164-172","volume":"5","issue":"2","ISSN":"1040-3590","author":[{"family":"Pavot","given":"W"},{"family":"Diener","given":"E"}],"issued":{"date-parts":[["1993"]]}}}],"schema":"https://github.com/citation-style-language/schema/raw/master/csl-citation.json"} </w:instrText>
      </w:r>
      <w:r>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12</w:t>
      </w:r>
      <w:r>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The SWLS was translated to Icelandic by Daniel Olafsson and is used here with his permission. A study of a </w:t>
      </w:r>
      <w:r w:rsidR="00900756" w:rsidRPr="00A422D0">
        <w:rPr>
          <w:rFonts w:ascii="Times New Roman" w:hAnsi="Times New Roman" w:cs="Times New Roman"/>
          <w:sz w:val="20"/>
          <w:szCs w:val="20"/>
          <w:lang w:val="en-US"/>
        </w:rPr>
        <w:t>population-based</w:t>
      </w:r>
      <w:r w:rsidRPr="00A422D0">
        <w:rPr>
          <w:rFonts w:ascii="Times New Roman" w:hAnsi="Times New Roman" w:cs="Times New Roman"/>
          <w:sz w:val="20"/>
          <w:szCs w:val="20"/>
          <w:lang w:val="en-US"/>
        </w:rPr>
        <w:t xml:space="preserve"> sample of individuals over 40 concluded that the Icelandic version of SWLS is a reliable and valid measure of life satisfaction (Unnarsdottir, Gisladottir, Olafsdottir, 2018).</w:t>
      </w:r>
    </w:p>
    <w:p w14:paraId="3AFB203C" w14:textId="77777777" w:rsidR="0083271F" w:rsidRPr="000C19E3" w:rsidRDefault="0083271F" w:rsidP="0083271F">
      <w:pPr>
        <w:pStyle w:val="Style3"/>
        <w:rPr>
          <w:lang w:val="en-US"/>
        </w:rPr>
      </w:pPr>
      <w:bookmarkStart w:id="9" w:name="_Toc100246226"/>
      <w:r w:rsidRPr="000C19E3">
        <w:rPr>
          <w:lang w:val="en-US"/>
        </w:rPr>
        <w:t>36-Item Short Form Survey</w:t>
      </w:r>
      <w:bookmarkEnd w:id="9"/>
    </w:p>
    <w:p w14:paraId="4F1082A6" w14:textId="53DB580B" w:rsidR="0083271F" w:rsidRDefault="0083271F" w:rsidP="0083271F">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The short form 36 health survey questionnaire (SF-36, RAND 36-Item Health Survey 1.0) was used to evaluate health related quality of life. The SF-36 is a multifactorial tool which yields an eight-scale profile of scores as well as physical and mental health summary measures.</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{"citationID":"a1ibkt2ai6k","properties":{"formattedCitation":"{\\rtf \\super 6\\nosupersub{}}","plainCitation":"6"},"citationItems":[{"id":"ITEM-1","uris":["http://www.mendeley.com/documents/?uuid=57ab8eac-b8af-42d1-9f29-563cab323ea0"],"uri":["http://www.mendeley.com/documents/?uuid=57ab8eac-b8af-42d1-9f29-563cab323ea0"],"itemData":{"ISSN":"0025-7079","abstract":"A 36-item short-form (SF-36) was constructed to survey health status in the Medical Outcomes Study. The SF-36 was designed for use in clinical practice and research, health policy evaluations, and general population surveys. The SF-36 includes one multi-item scale that assesses eight health concepts: 1) limitations in physical activities because of health problems; 2) limitations in social activities because of physical or emotional problems; 3) limitations in usual role activities because of physical health problems; 4) bodily pain; 5) general mental health (psychological distress and well-being); 6) limitations in usual role activities because of emotional problems; 7) vitality (energy and fatigue); and 8) general health perceptions. The survey was constructed for self-administration by persons 14 years of age and older, and for administration by a trained interviewer in person or by telephone. The history of the development of the SF-36, the origin of specific items, and the logic underlying their selection are summarized. The content and features of the SF-36 are compared with the 20-item Medical Outcomes Study short-form.","author":[{"dropping-particle":"","family":"Ware","given":"J. E.","non-dropping-particle":"","parse-names":false,"suffix":""},{"dropping-particle":"","family":"Sherbourne","given":"C. D.","non-dropping-particle":"","parse-names":false,"suffix":""}],"container-title":"Medical Care","id":"ITEM-1","issue":"6","issued":{"date-parts":[["1992","6"]]},"language":"eng","page":"473-483","title":"The MOS 36-item short-form health survey (SF-36). I. Conceptual framework and item selection","type":"article-journal","volume":"30"}}],"schema":"https://github.com/citation-style-language/schema/raw/master/csl-citation.json"}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6</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It is a generic measure that does not target a specific age, disease or treatment group, and has been validated for use among various patient groups and for the general population.</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{"citationID":"a1tttpmgg7","properties":{"formattedCitation":"{\\rtf \\super 13,14\\nosupersub{}}","plainCitation":"13,14"},"citationItems":[{"id":353,"uris":["http://zotero.org/users/local/0NZqn2Xy/items/9MHVMYD6"],"uri":["http://zotero.org/users/local/0NZqn2Xy/items/9MHVMYD6"],"itemData":{"id":353,"type":"article-journal","title":"SF-36 health survey update","container-title":"Spine","page":"3130-3139","volume":"25","issue":"24","source":"PubMed","DOI":"10.1097/00007632-200012150-00008","ISSN":"0362-2436","note":"PMID: 11124729","journalAbbreviation":"Spine (Phila Pa 1976)","language":"eng","author":[{"family":"Ware","given":"J. E."}],"issued":{"date-parts":[["2000",12,15]]}}},{"id":355,"uris":["http://zotero.org/users/local/0NZqn2Xy/items/IFK72FBP"],"uri":["http://zotero.org/users/local/0NZqn2Xy/items/IFK72FBP"],"itemData":{"id":355,"type":"article-journal","title":"The SF36 health survey questionnaire: an outcome measure suitable for routine use within the NHS?","container-title":"BMJ (Clinical research ed.)","page":"1440-1444","volume":"306","issue":"6890","source":"PubMed","abstract":"OBJECTIVE: To assess the validity, reliability, and acceptability of the short form 36 (SF 36) health survey questionnaire (a shortened version of a battery of 149 health status questions) as a measure of patient outcome in a broad sample of patients suffering from four common clinical conditions.\nDESIGN: Postal questionnaire, followed up by two reminders at two week intervals.\nSETTING: Clinics and four training practices in north east Scotland.\nSUBJECTS: Over 1700 patients aged 16-86 with one of four conditions--low back pain, menorrhagia, suspected peptic ulcer, or varicose veins--and a comparison sample of 900 members of the general population.\nMAIN OUTCOME MEASURES: The eight scales within the SF36 health profile.\nRESULTS: The response rate exceeded 75% in the patient population (1310 respondents). The SF36 satisfied rigorous psychometric criteria for validity and internal consistency. Clinical validity was shown by the distinctive profiles generated for each condition, each of which differed from that in the general population in a predictable manner. Furthermore, SF36 scores were lower in referred patients than in patients not referred and were closely related to general practitioners' perceptions of severity.\nCONCLUSIONS: These results provide support for the SF36 as a potential measure of patient outcome within the NHS. The SF36 seems acceptable to patients, internally consistent, and a valid measure of the health status of a wide range of patients. Before it can be used in the new health service, however, its sensitivity to changes in health status over time must also be tested.","DOI":"10.1136/bmj.306.6890.1440","ISSN":"0959-8138","note":"PMID: 8518640\nPMCID: PMC1677883","shortTitle":"The SF36 health survey questionnaire","journalAbbreviation":"BMJ","language":"eng","author":[{"family":"Garratt","given":"A. M."},{"family":"Ruta","given":"D. A."},{"family":"Abdalla","given":"M. I."},{"family":"Buckingham","given":"J. K."},{"family":"Russell","given":"I. T."}],"issued":{"date-parts":[["1993",5,29]]}}}],"schema":"https://github.com/citation-style-language/schema/raw/master/csl-citation.json"}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13,14</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The Icelandic SF-36 questionnaire used for this study is based on a translation from </w:t>
      </w:r>
      <w:r w:rsidRPr="00A422D0">
        <w:rPr>
          <w:rFonts w:ascii="Times New Roman" w:hAnsi="Times New Roman" w:cs="Times New Roman"/>
          <w:sz w:val="20"/>
          <w:szCs w:val="20"/>
          <w:lang w:val="en-US"/>
        </w:rPr>
        <w:lastRenderedPageBreak/>
        <w:t>GlaxoSmithKline, with minor changes. The original translation was done according to the standards of the International Quality of Life Assessment (IQOLA) project.</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{"citationID":"a2b3mpuf5vc","properties":{"formattedCitation":"{\\rtf \\super 15\\nosupersub{}}","plainCitation":"15"},"citationItems":[{"id":357,"uris":["http://zotero.org/users/local/0NZqn2Xy/items/583G4MK9"],"uri":["http://zotero.org/users/local/0NZqn2Xy/items/583G4MK9"],"itemData":{"id":357,"type":"article-journal","title":"Translating health status questionnaires and evaluating their quality: the IQOLA Project approach. International Quality of Life Assessment","container-title":"Journal of Clinical Epidemiology","page":"913-923","volume":"51","issue":"11","source":"PubMed","abstract":"This article describes the methods adopted by the International Quality of Life Assessment (IQOLA) project to translate the SF-36 Health Survey. Translation methods included the production of forward and backward translations, use of difficulty and quality ratings, pilot testing, and cross-cultural comparison of the translation work. Experience to date suggests that the SF-36 can be adapted for use in other countries with relatively minor changes to the content of the form, providing support for the use of these translations in multinational clinical trials and other studies. The most difficult items to translate were physical functioning items, which used examples of activities and distances that are not common outside of the United States; items that used colloquial expressions such as pep or blue; and the social functioning items. Quality ratings were uniformly high across countries. While the IQOLA approach to translation and validation was developed for use with the SF-36, it is applicable to other translation efforts.","DOI":"10.1016/s0895-4356(98)00082-1","ISSN":"0895-4356","note":"PMID: 9817108","shortTitle":"Translating health status questionnaires and evaluating their quality","journalAbbreviation":"J Clin Epidemiol","language":"eng","author":[{"family":"Bullinger","given":"M."},{"family":"Alonso","given":"J."},{"family":"Apolone","given":"G."},{"family":"Leplège","given":"A."},{"family":"Sullivan","given":"M."},{"family":"Wood-Dauphinee","given":"S."},{"family":"Gandek","given":"B."},{"family":"Wagner","given":"A."},{"family":"Aaronson","given":"N."},{"family":"Bech","given":"P."},{"family":"Fukuhara","given":"S."},{"family":"Kaasa","given":"S."},{"family":"Ware","given":"J. E."}],"issued":{"date-parts":[["1998",11]]}}}],"schema":"https://github.com/citation-style-language/schema/raw/master/csl-citation.json"}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15</w:t>
      </w:r>
      <w:r w:rsidRPr="00A422D0">
        <w:rPr>
          <w:rFonts w:ascii="Times New Roman" w:hAnsi="Times New Roman" w:cs="Times New Roman"/>
          <w:sz w:val="20"/>
          <w:szCs w:val="20"/>
          <w:lang w:val="en-US"/>
        </w:rPr>
        <w:fldChar w:fldCharType="end"/>
      </w:r>
      <w:r>
        <w:rPr>
          <w:rFonts w:ascii="Times New Roman" w:hAnsi="Times New Roman" w:cs="Times New Roman"/>
          <w:sz w:val="20"/>
          <w:szCs w:val="20"/>
          <w:lang w:val="en-US"/>
        </w:rPr>
        <w:t xml:space="preserve"> We estimated the correlated physical health (PCSc) and mental health (MCSc) scores and uncorrelated scores; PCSuc and MCSuc.</w:t>
      </w:r>
      <w:r>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{"citationID":"a2pciloqbd9","properties":{"formattedCitation":"{\\rtf \\super 16\\nosupersub{}}","plainCitation":"16"},"citationItems":[{"id":442,"uris":["http://zotero.org/users/local/0NZqn2Xy/items/3V3DKBCN"],"uri":["http://zotero.org/users/local/0NZqn2Xy/items/3V3DKBCN"],"itemData":{"id":442,"type":"article-journal","title":"Correlated physical and mental health summary scores for the SF-36 and SF-12 Health Survey, V.I","container-title":"Health and Quality of Life Outcomes","page":"54","volume":"5","source":"PubMed","abstract":"BACKGROUND: The SF-36 and SF-12 summary scores were derived using an uncorrelated (orthogonal) factor solution. We estimate SF-36 and SF-12 summary scores using a correlated (oblique) physical and mental health factor model.\nMETHODS: We administered the SF-36 to 7,093 patients who received medical care from an independent association of 48 physician groups in the western United States. Correlated physical health (PCSc) and mental health (MCSc) scores were constructed by multiplying each SF-36 scale z-score by its respective scoring coefficient from the obliquely rotated two factor solution. PCSc-12 and MCSc-12 scores were estimated using an approach similar to the one used to derive the original SF-12 summary scores.\nRESULTS: The estimated correlation between SF-36 PCSc and MCSc scores was 0.62. There were far fewer negative factor scoring coefficients for the oblique factor solution compared to the factor scoring coefficients produced by the standard orthogonal factor solution. Similar results were found for PCSc-12, and MCSc-12 summary scores.\nCONCLUSION: Correlated physical and mental health summary scores for the SF-36 and SF-12 derived from an obliquely rotated factor solution should be used along with the uncorrelated summary scores. The new scoring algorithm can reduce inconsistent results between the SF-36 scale scores and physical and mental health summary scores reported in some prior studies.(Subscripts C = correlated and UC = uncorrelated).","DOI":"10.1186/1477-7525-5-54","ISSN":"1477-7525","note":"PMID: 17825096\nPMCID: PMC2065865","journalAbbreviation":"Health Qual Life Outcomes","language":"eng","author":[{"family":"Farivar","given":"Sepideh S."},{"family":"Cunningham","given":"William E."},{"family":"Hays","given":"Ron D."}],"issued":{"date-parts":[["2007",9,7]]}}}],"schema":"https://github.com/citation-style-language/schema/raw/master/csl-citation.json"} </w:instrText>
      </w:r>
      <w:r>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16</w:t>
      </w:r>
      <w:r>
        <w:rPr>
          <w:rFonts w:ascii="Times New Roman" w:hAnsi="Times New Roman" w:cs="Times New Roman"/>
          <w:sz w:val="20"/>
          <w:szCs w:val="20"/>
          <w:lang w:val="en-US"/>
        </w:rPr>
        <w:fldChar w:fldCharType="end"/>
      </w:r>
    </w:p>
    <w:p w14:paraId="20CD9270" w14:textId="24905BB0" w:rsidR="00A72DAB" w:rsidRDefault="00A72DAB" w:rsidP="00A72DAB">
      <w:pPr>
        <w:pStyle w:val="Style2"/>
      </w:pPr>
      <w:bookmarkStart w:id="10" w:name="_Toc100246227"/>
      <w:r>
        <w:t xml:space="preserve">Additional data for </w:t>
      </w:r>
      <w:r w:rsidRPr="00A72DAB">
        <w:t>GAD-7,</w:t>
      </w:r>
      <w:r>
        <w:t xml:space="preserve"> </w:t>
      </w:r>
      <w:r w:rsidRPr="00A72DAB">
        <w:t>PHQ-9</w:t>
      </w:r>
      <w:r>
        <w:t xml:space="preserve">, </w:t>
      </w:r>
      <w:r w:rsidRPr="00A72DAB">
        <w:t>PSS</w:t>
      </w:r>
      <w:r>
        <w:t xml:space="preserve">, </w:t>
      </w:r>
      <w:r w:rsidRPr="00A72DAB">
        <w:t>SWLS</w:t>
      </w:r>
      <w:r>
        <w:t xml:space="preserve"> and </w:t>
      </w:r>
      <w:r w:rsidRPr="00A72DAB">
        <w:t>36-SF</w:t>
      </w:r>
      <w:r>
        <w:t xml:space="preserve"> from the iStopMM study.</w:t>
      </w:r>
      <w:bookmarkEnd w:id="10"/>
    </w:p>
    <w:p w14:paraId="71BF6DBE" w14:textId="1B0F9157" w:rsidR="005872C3" w:rsidRPr="00A72DAB" w:rsidRDefault="00A72DAB" w:rsidP="005872C3">
      <w:pPr>
        <w:spacing w:after="240" w:line="360" w:lineRule="auto"/>
        <w:rPr>
          <w:rFonts w:ascii="Times New Roman" w:hAnsi="Times New Roman" w:cs="Times New Roman"/>
          <w:sz w:val="20"/>
          <w:szCs w:val="20"/>
        </w:rPr>
      </w:pPr>
      <w:r w:rsidRPr="00A72DAB">
        <w:rPr>
          <w:rFonts w:ascii="Times New Roman" w:hAnsi="Times New Roman" w:cs="Times New Roman"/>
          <w:sz w:val="20"/>
          <w:szCs w:val="20"/>
          <w:lang w:val="en-US"/>
        </w:rPr>
        <w:t>For additional analysis of GAD-7, PHQ-9, PSS, SWLS and 36-SF scores, we obtained data from the “Iceland Screens, Treats, or Prevents Multiple Myeloma” (iStopMM) study (ClinicalTrials.gov Identifier: NCT03327597)</w:t>
      </w:r>
      <w:r>
        <w:rPr>
          <w:rFonts w:ascii="Times New Roman" w:hAnsi="Times New Roman" w:cs="Times New Roman"/>
          <w:sz w:val="20"/>
          <w:szCs w:val="20"/>
          <w:lang w:val="en-US"/>
        </w:rPr>
        <w:t xml:space="preserve">. The iStopMM study </w:t>
      </w:r>
      <w:r w:rsidRPr="00A72DAB">
        <w:rPr>
          <w:rFonts w:ascii="Times New Roman" w:hAnsi="Times New Roman" w:cs="Times New Roman"/>
          <w:sz w:val="20"/>
          <w:szCs w:val="20"/>
          <w:lang w:val="en-US"/>
        </w:rPr>
        <w:t>is a population-based screening study for monoclonal gammopathy of undetermined significance (MGUS) and a randomized controlled trial of follow-up strategies that began in 2016. All 148,704 individuals in Iceland born in 1975 or earlier received a letter inviting them to participate. Participation is based on informed consent and data are stored using encrypted identifiers. A total of 80,759 (54%) provided informed consent to participate in the study. While the main outcome measure of iStopMM is the effect of early detection and treatment of multiple myeloma precursor on survival, a secondary goal is to understand the mental health effects associated with screening an entire population for a cancer precursor. Beginning in 2018 nearly sixty thousand participants who provided their email address have received questionnaires annually, excluding those patients who have been randomized for follow-up in iStopMM.</w:t>
      </w:r>
      <w:r>
        <w:rPr>
          <w:rFonts w:ascii="Times New Roman" w:hAnsi="Times New Roman" w:cs="Times New Roman"/>
          <w:sz w:val="20"/>
          <w:szCs w:val="20"/>
          <w:lang w:val="en-US"/>
        </w:rPr>
        <w:t xml:space="preserve"> </w:t>
      </w:r>
      <w:bookmarkStart w:id="11" w:name="_Hlk100053897"/>
      <w:r w:rsidR="005872C3">
        <w:rPr>
          <w:rFonts w:ascii="Times New Roman" w:hAnsi="Times New Roman" w:cs="Times New Roman"/>
          <w:sz w:val="20"/>
          <w:szCs w:val="20"/>
          <w:lang w:val="en-US"/>
        </w:rPr>
        <w:t>Through iStopMM we thus obtained additional contemporary control data aquired during the pandemic, as well as historical data (before February 2020) for a subset of cases and contemporary controls, allowing for comparison of measures before and after the SARS-CoV-2 infection for cases, and similar analysis of longitudinal measure for controls.</w:t>
      </w:r>
      <w:bookmarkEnd w:id="11"/>
    </w:p>
    <w:p w14:paraId="679DEFF6" w14:textId="3F477B8A" w:rsidR="00F4692F" w:rsidRPr="00F4692F" w:rsidRDefault="00F4692F" w:rsidP="00A56B49">
      <w:pPr>
        <w:pStyle w:val="Style2"/>
      </w:pPr>
      <w:bookmarkStart w:id="12" w:name="_Toc100246228"/>
      <w:r w:rsidRPr="00F4692F">
        <w:t>The C19</w:t>
      </w:r>
      <w:r w:rsidR="005872C3">
        <w:t>Q</w:t>
      </w:r>
      <w:r w:rsidRPr="00F4692F">
        <w:t xml:space="preserve"> questionnaire</w:t>
      </w:r>
      <w:bookmarkEnd w:id="12"/>
      <w:r w:rsidRPr="00F4692F">
        <w:t xml:space="preserve"> </w:t>
      </w:r>
    </w:p>
    <w:p w14:paraId="0AFB369D" w14:textId="31C8AE5A" w:rsidR="004E6E4A" w:rsidRPr="00A422D0" w:rsidRDefault="00761D5B" w:rsidP="00F4692F">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Participants answered a self-administered questionnaire on </w:t>
      </w:r>
      <w:r w:rsidR="00D72734">
        <w:rPr>
          <w:rFonts w:ascii="Times New Roman" w:hAnsi="Times New Roman" w:cs="Times New Roman"/>
          <w:sz w:val="20"/>
          <w:szCs w:val="20"/>
          <w:lang w:val="en-US"/>
        </w:rPr>
        <w:t>SARS-CoV-2</w:t>
      </w:r>
      <w:r w:rsidRPr="00A422D0">
        <w:rPr>
          <w:rFonts w:ascii="Times New Roman" w:hAnsi="Times New Roman" w:cs="Times New Roman"/>
          <w:sz w:val="20"/>
          <w:szCs w:val="20"/>
          <w:lang w:val="en-US"/>
        </w:rPr>
        <w:t xml:space="preserve"> related effects </w:t>
      </w:r>
      <w:r w:rsidR="005872C3">
        <w:rPr>
          <w:rFonts w:ascii="Times New Roman" w:hAnsi="Times New Roman" w:cs="Times New Roman"/>
          <w:sz w:val="20"/>
          <w:szCs w:val="20"/>
          <w:lang w:val="en-US"/>
        </w:rPr>
        <w:t xml:space="preserve">(the C19Q) </w:t>
      </w:r>
      <w:r w:rsidRPr="00A422D0">
        <w:rPr>
          <w:rFonts w:ascii="Times New Roman" w:hAnsi="Times New Roman" w:cs="Times New Roman"/>
          <w:sz w:val="20"/>
          <w:szCs w:val="20"/>
          <w:lang w:val="en-US"/>
        </w:rPr>
        <w:t xml:space="preserve">on a tablet computer at the study </w:t>
      </w:r>
      <w:r w:rsidR="00A55783" w:rsidRPr="00A422D0">
        <w:rPr>
          <w:rFonts w:ascii="Times New Roman" w:hAnsi="Times New Roman" w:cs="Times New Roman"/>
          <w:sz w:val="20"/>
          <w:szCs w:val="20"/>
          <w:lang w:val="en-US"/>
        </w:rPr>
        <w:t>site</w:t>
      </w:r>
      <w:r w:rsidRPr="00A422D0">
        <w:rPr>
          <w:rFonts w:ascii="Times New Roman" w:hAnsi="Times New Roman" w:cs="Times New Roman"/>
          <w:sz w:val="20"/>
          <w:szCs w:val="20"/>
          <w:lang w:val="en-US"/>
        </w:rPr>
        <w:t xml:space="preserve">. The questionnaire </w:t>
      </w:r>
      <w:r w:rsidR="00F4692F">
        <w:rPr>
          <w:rFonts w:ascii="Times New Roman" w:hAnsi="Times New Roman" w:cs="Times New Roman"/>
          <w:sz w:val="20"/>
          <w:szCs w:val="20"/>
          <w:lang w:val="en-US"/>
        </w:rPr>
        <w:t>was designed by the study authors</w:t>
      </w:r>
      <w:r w:rsidRPr="00A422D0">
        <w:rPr>
          <w:rFonts w:ascii="Times New Roman" w:hAnsi="Times New Roman" w:cs="Times New Roman"/>
          <w:sz w:val="20"/>
          <w:szCs w:val="20"/>
          <w:lang w:val="en-US"/>
        </w:rPr>
        <w:t xml:space="preserve"> in Icelandic and has not been</w:t>
      </w:r>
      <w:r w:rsidR="00F4692F">
        <w:rPr>
          <w:rFonts w:ascii="Times New Roman" w:hAnsi="Times New Roman" w:cs="Times New Roman"/>
          <w:sz w:val="20"/>
          <w:szCs w:val="20"/>
          <w:lang w:val="en-US"/>
        </w:rPr>
        <w:t xml:space="preserve"> formally</w:t>
      </w:r>
      <w:r w:rsidRPr="00A422D0">
        <w:rPr>
          <w:rFonts w:ascii="Times New Roman" w:hAnsi="Times New Roman" w:cs="Times New Roman"/>
          <w:sz w:val="20"/>
          <w:szCs w:val="20"/>
          <w:lang w:val="en-US"/>
        </w:rPr>
        <w:t xml:space="preserve"> translated to other languages. </w:t>
      </w:r>
    </w:p>
    <w:p w14:paraId="5A3C4F90" w14:textId="42C2EE93" w:rsidR="00E44C58" w:rsidRDefault="00E44C58"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In addition to administering </w:t>
      </w:r>
      <w:r w:rsidR="00F4692F">
        <w:rPr>
          <w:rFonts w:ascii="Times New Roman" w:hAnsi="Times New Roman" w:cs="Times New Roman"/>
          <w:sz w:val="20"/>
          <w:szCs w:val="20"/>
          <w:lang w:val="en-US"/>
        </w:rPr>
        <w:t>t</w:t>
      </w:r>
      <w:r w:rsidR="00F4692F" w:rsidRPr="00F4692F">
        <w:rPr>
          <w:rFonts w:ascii="Times New Roman" w:hAnsi="Times New Roman" w:cs="Times New Roman"/>
          <w:sz w:val="20"/>
          <w:szCs w:val="20"/>
          <w:lang w:val="en-US"/>
        </w:rPr>
        <w:t>he C19</w:t>
      </w:r>
      <w:r w:rsidR="005872C3">
        <w:rPr>
          <w:rFonts w:ascii="Times New Roman" w:hAnsi="Times New Roman" w:cs="Times New Roman"/>
          <w:sz w:val="20"/>
          <w:szCs w:val="20"/>
          <w:lang w:val="en-US"/>
        </w:rPr>
        <w:t xml:space="preserve">Q </w:t>
      </w:r>
      <w:r w:rsidRPr="00A422D0">
        <w:rPr>
          <w:rFonts w:ascii="Times New Roman" w:hAnsi="Times New Roman" w:cs="Times New Roman"/>
          <w:sz w:val="20"/>
          <w:szCs w:val="20"/>
          <w:lang w:val="en-US"/>
        </w:rPr>
        <w:t xml:space="preserve">in the dHS </w:t>
      </w:r>
      <w:r w:rsidR="00F4692F">
        <w:rPr>
          <w:rFonts w:ascii="Times New Roman" w:hAnsi="Times New Roman" w:cs="Times New Roman"/>
          <w:sz w:val="20"/>
          <w:szCs w:val="20"/>
          <w:lang w:val="en-US"/>
        </w:rPr>
        <w:t xml:space="preserve">Covid Study </w:t>
      </w:r>
      <w:r w:rsidRPr="00A422D0">
        <w:rPr>
          <w:rFonts w:ascii="Times New Roman" w:hAnsi="Times New Roman" w:cs="Times New Roman"/>
          <w:sz w:val="20"/>
          <w:szCs w:val="20"/>
          <w:lang w:val="en-US"/>
        </w:rPr>
        <w:t>starting in September 2020, we invited</w:t>
      </w:r>
      <w:r w:rsidR="00F10694">
        <w:rPr>
          <w:rFonts w:ascii="Times New Roman" w:hAnsi="Times New Roman" w:cs="Times New Roman"/>
          <w:sz w:val="20"/>
          <w:szCs w:val="20"/>
          <w:lang w:val="en-US"/>
        </w:rPr>
        <w:t xml:space="preserve"> a random sample, matched with </w:t>
      </w:r>
      <w:r w:rsidR="00335D0D">
        <w:rPr>
          <w:rFonts w:ascii="Times New Roman" w:hAnsi="Times New Roman" w:cs="Times New Roman"/>
          <w:sz w:val="20"/>
          <w:szCs w:val="20"/>
          <w:lang w:val="en-US"/>
        </w:rPr>
        <w:t xml:space="preserve">SARS-CoV-2 </w:t>
      </w:r>
      <w:r w:rsidR="00F10694">
        <w:rPr>
          <w:rFonts w:ascii="Times New Roman" w:hAnsi="Times New Roman" w:cs="Times New Roman"/>
          <w:sz w:val="20"/>
          <w:szCs w:val="20"/>
          <w:lang w:val="en-US"/>
        </w:rPr>
        <w:t>cases for age and sex, of</w:t>
      </w:r>
      <w:r w:rsidRPr="00A422D0">
        <w:rPr>
          <w:rFonts w:ascii="Times New Roman" w:hAnsi="Times New Roman" w:cs="Times New Roman"/>
          <w:sz w:val="20"/>
          <w:szCs w:val="20"/>
          <w:lang w:val="en-US"/>
        </w:rPr>
        <w:t xml:space="preserve"> </w:t>
      </w:r>
      <w:r w:rsidR="007D135E">
        <w:rPr>
          <w:rFonts w:ascii="Times New Roman" w:hAnsi="Times New Roman" w:cs="Times New Roman"/>
          <w:sz w:val="20"/>
          <w:szCs w:val="20"/>
          <w:lang w:val="en-US"/>
        </w:rPr>
        <w:t>pre-pandemic</w:t>
      </w:r>
      <w:r w:rsidRPr="00A422D0">
        <w:rPr>
          <w:rFonts w:ascii="Times New Roman" w:hAnsi="Times New Roman" w:cs="Times New Roman"/>
          <w:sz w:val="20"/>
          <w:szCs w:val="20"/>
          <w:lang w:val="en-US"/>
        </w:rPr>
        <w:t xml:space="preserve"> participants</w:t>
      </w:r>
      <w:r w:rsidR="005E36C2">
        <w:rPr>
          <w:rFonts w:ascii="Times New Roman" w:hAnsi="Times New Roman" w:cs="Times New Roman"/>
          <w:sz w:val="20"/>
          <w:szCs w:val="20"/>
          <w:lang w:val="en-US"/>
        </w:rPr>
        <w:t xml:space="preserve"> (historical controls)</w:t>
      </w:r>
      <w:r w:rsidRPr="00A422D0">
        <w:rPr>
          <w:rFonts w:ascii="Times New Roman" w:hAnsi="Times New Roman" w:cs="Times New Roman"/>
          <w:sz w:val="20"/>
          <w:szCs w:val="20"/>
          <w:lang w:val="en-US"/>
        </w:rPr>
        <w:t xml:space="preserve"> in the dHS to answer it online </w:t>
      </w:r>
      <w:r w:rsidR="005E36C2">
        <w:rPr>
          <w:rFonts w:ascii="Times New Roman" w:hAnsi="Times New Roman" w:cs="Times New Roman"/>
          <w:sz w:val="20"/>
          <w:szCs w:val="20"/>
          <w:lang w:val="en-US"/>
        </w:rPr>
        <w:t xml:space="preserve">after September 2020 </w:t>
      </w:r>
      <w:r w:rsidR="00F10694">
        <w:rPr>
          <w:rFonts w:ascii="Times New Roman" w:hAnsi="Times New Roman" w:cs="Times New Roman"/>
          <w:sz w:val="20"/>
          <w:szCs w:val="20"/>
          <w:lang w:val="en-US"/>
        </w:rPr>
        <w:t>(</w:t>
      </w:r>
      <w:r w:rsidR="005E36C2">
        <w:rPr>
          <w:rFonts w:ascii="Times New Roman" w:hAnsi="Times New Roman" w:cs="Times New Roman"/>
          <w:sz w:val="20"/>
          <w:szCs w:val="20"/>
          <w:lang w:val="en-US"/>
        </w:rPr>
        <w:t xml:space="preserve">additional </w:t>
      </w:r>
      <w:r w:rsidR="00F10694">
        <w:rPr>
          <w:rFonts w:ascii="Times New Roman" w:hAnsi="Times New Roman" w:cs="Times New Roman"/>
          <w:sz w:val="20"/>
          <w:szCs w:val="20"/>
          <w:lang w:val="en-US"/>
        </w:rPr>
        <w:t>C19</w:t>
      </w:r>
      <w:r w:rsidR="005872C3">
        <w:rPr>
          <w:rFonts w:ascii="Times New Roman" w:hAnsi="Times New Roman" w:cs="Times New Roman"/>
          <w:sz w:val="20"/>
          <w:szCs w:val="20"/>
          <w:lang w:val="en-US"/>
        </w:rPr>
        <w:t>Q</w:t>
      </w:r>
      <w:r w:rsidR="00F10694">
        <w:rPr>
          <w:rFonts w:ascii="Times New Roman" w:hAnsi="Times New Roman" w:cs="Times New Roman"/>
          <w:sz w:val="20"/>
          <w:szCs w:val="20"/>
          <w:lang w:val="en-US"/>
        </w:rPr>
        <w:t xml:space="preserve"> controls)</w:t>
      </w:r>
      <w:r w:rsidRPr="00A422D0">
        <w:rPr>
          <w:rFonts w:ascii="Times New Roman" w:hAnsi="Times New Roman" w:cs="Times New Roman"/>
          <w:sz w:val="20"/>
          <w:szCs w:val="20"/>
          <w:lang w:val="en-US"/>
        </w:rPr>
        <w:t xml:space="preserve">. As of this analysis, </w:t>
      </w:r>
      <w:r w:rsidR="005E36C2">
        <w:rPr>
          <w:rFonts w:ascii="Times New Roman" w:hAnsi="Times New Roman" w:cs="Times New Roman"/>
          <w:sz w:val="20"/>
          <w:szCs w:val="20"/>
          <w:lang w:val="en-US"/>
        </w:rPr>
        <w:t>737</w:t>
      </w:r>
      <w:r w:rsidRPr="00A422D0">
        <w:rPr>
          <w:rFonts w:ascii="Times New Roman" w:hAnsi="Times New Roman" w:cs="Times New Roman"/>
          <w:sz w:val="20"/>
          <w:szCs w:val="20"/>
          <w:lang w:val="en-US"/>
        </w:rPr>
        <w:t xml:space="preserve"> </w:t>
      </w:r>
      <w:r w:rsidR="007D135E">
        <w:rPr>
          <w:rFonts w:ascii="Times New Roman" w:hAnsi="Times New Roman" w:cs="Times New Roman"/>
          <w:sz w:val="20"/>
          <w:szCs w:val="20"/>
          <w:lang w:val="en-US"/>
        </w:rPr>
        <w:t>pre-pandemic</w:t>
      </w:r>
      <w:r w:rsidRPr="00A422D0">
        <w:rPr>
          <w:rFonts w:ascii="Times New Roman" w:hAnsi="Times New Roman" w:cs="Times New Roman"/>
          <w:sz w:val="20"/>
          <w:szCs w:val="20"/>
          <w:lang w:val="en-US"/>
        </w:rPr>
        <w:t xml:space="preserve"> participants</w:t>
      </w:r>
      <w:r w:rsidR="00335D0D">
        <w:rPr>
          <w:rFonts w:ascii="Times New Roman" w:hAnsi="Times New Roman" w:cs="Times New Roman"/>
          <w:sz w:val="20"/>
          <w:szCs w:val="20"/>
          <w:lang w:val="en-US"/>
        </w:rPr>
        <w:t xml:space="preserve"> (historical controls)</w:t>
      </w:r>
      <w:r w:rsidRPr="00A422D0">
        <w:rPr>
          <w:rFonts w:ascii="Times New Roman" w:hAnsi="Times New Roman" w:cs="Times New Roman"/>
          <w:sz w:val="20"/>
          <w:szCs w:val="20"/>
          <w:lang w:val="en-US"/>
        </w:rPr>
        <w:t xml:space="preserve"> in the dHS have answered the questionnaire</w:t>
      </w:r>
      <w:r w:rsidR="00CC41A8">
        <w:rPr>
          <w:rFonts w:ascii="Times New Roman" w:hAnsi="Times New Roman" w:cs="Times New Roman"/>
          <w:sz w:val="20"/>
          <w:szCs w:val="20"/>
          <w:lang w:val="en-US"/>
        </w:rPr>
        <w:t xml:space="preserve"> between September 2020 and September 2021</w:t>
      </w:r>
      <w:r w:rsidRPr="00A422D0">
        <w:rPr>
          <w:rFonts w:ascii="Times New Roman" w:hAnsi="Times New Roman" w:cs="Times New Roman"/>
          <w:sz w:val="20"/>
          <w:szCs w:val="20"/>
          <w:lang w:val="en-US"/>
        </w:rPr>
        <w:t>.</w:t>
      </w:r>
    </w:p>
    <w:p w14:paraId="5DA49C3E" w14:textId="2E718ACC" w:rsidR="005E36C2" w:rsidRDefault="005E36C2" w:rsidP="00FF3893">
      <w:pPr>
        <w:pStyle w:val="Style3"/>
      </w:pPr>
      <w:bookmarkStart w:id="13" w:name="_Toc100246229"/>
      <w:r w:rsidRPr="005E36C2">
        <w:t>The Symptom Impact Questionnaire</w:t>
      </w:r>
      <w:bookmarkEnd w:id="13"/>
      <w:r w:rsidRPr="005E36C2">
        <w:t xml:space="preserve"> </w:t>
      </w:r>
    </w:p>
    <w:p w14:paraId="6C01064A" w14:textId="7C2C20FA" w:rsidR="002D0D05" w:rsidRPr="00A422D0" w:rsidRDefault="002D0D05" w:rsidP="005F18E5">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The </w:t>
      </w:r>
      <w:r w:rsidRPr="0048155C">
        <w:rPr>
          <w:rFonts w:ascii="Times New Roman" w:hAnsi="Times New Roman" w:cs="Times New Roman"/>
          <w:sz w:val="20"/>
          <w:szCs w:val="20"/>
          <w:lang w:val="en-US"/>
        </w:rPr>
        <w:t>Symptom Impact Questionnaire</w:t>
      </w:r>
      <w:r>
        <w:rPr>
          <w:rFonts w:ascii="Times New Roman" w:hAnsi="Times New Roman" w:cs="Times New Roman"/>
          <w:sz w:val="20"/>
          <w:szCs w:val="20"/>
          <w:lang w:val="en-US"/>
        </w:rPr>
        <w:t xml:space="preserve"> (SIQR) was added to the C19</w:t>
      </w:r>
      <w:r w:rsidR="005872C3">
        <w:rPr>
          <w:rFonts w:ascii="Times New Roman" w:hAnsi="Times New Roman" w:cs="Times New Roman"/>
          <w:sz w:val="20"/>
          <w:szCs w:val="20"/>
          <w:lang w:val="en-US"/>
        </w:rPr>
        <w:t xml:space="preserve">Q </w:t>
      </w:r>
      <w:r>
        <w:rPr>
          <w:rFonts w:ascii="Times New Roman" w:hAnsi="Times New Roman" w:cs="Times New Roman"/>
          <w:sz w:val="20"/>
          <w:szCs w:val="20"/>
          <w:lang w:val="en-US"/>
        </w:rPr>
        <w:t xml:space="preserve">after the study began, in November 2021, to </w:t>
      </w:r>
      <w:r w:rsidRPr="00535223">
        <w:rPr>
          <w:rFonts w:ascii="Times New Roman" w:hAnsi="Times New Roman" w:cs="Times New Roman"/>
          <w:sz w:val="20"/>
          <w:szCs w:val="20"/>
          <w:lang w:val="en-US"/>
        </w:rPr>
        <w:t>assess symptoms of</w:t>
      </w:r>
      <w:r>
        <w:rPr>
          <w:rFonts w:ascii="Times New Roman" w:hAnsi="Times New Roman" w:cs="Times New Roman"/>
          <w:sz w:val="20"/>
          <w:szCs w:val="20"/>
          <w:lang w:val="en-US"/>
        </w:rPr>
        <w:t xml:space="preserve"> fatigue.</w:t>
      </w:r>
      <w:r w:rsidRPr="0048155C">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The </w:t>
      </w:r>
      <w:r w:rsidRPr="00535223">
        <w:rPr>
          <w:rFonts w:ascii="Times New Roman" w:hAnsi="Times New Roman" w:cs="Times New Roman"/>
          <w:sz w:val="20"/>
          <w:szCs w:val="20"/>
          <w:lang w:val="en-US"/>
        </w:rPr>
        <w:t>SIQR</w:t>
      </w:r>
      <w:r w:rsidRPr="00A422D0">
        <w:rPr>
          <w:rFonts w:ascii="Times New Roman" w:hAnsi="Times New Roman" w:cs="Times New Roman"/>
          <w:sz w:val="20"/>
          <w:szCs w:val="20"/>
          <w:lang w:val="en-US"/>
        </w:rPr>
        <w:t xml:space="preserve"> was translated to Icelandic by Gunnar Tomasson and Arnor Vikingsson with the permission of Robert Bennett and is used here with their permission and the permission of the Mapi Research Trust, provided by Ronald Friend. The translation was done using the FACIT-methodology that involves i) two independent forward translations by native Icelanders with excellent skills in English and insight into health measurement scales, ii) consolidation to a single Icelandic translation, iii) backward translation of the consolidated Icelandic version by a native English speaker iv) comparison of the original instrument in English and the back-translated version by two experienced clinical investigators with expertise in development and </w:t>
      </w:r>
      <w:r w:rsidRPr="00A422D0">
        <w:rPr>
          <w:rFonts w:ascii="Times New Roman" w:hAnsi="Times New Roman" w:cs="Times New Roman"/>
          <w:sz w:val="20"/>
          <w:szCs w:val="20"/>
          <w:lang w:val="en-US"/>
        </w:rPr>
        <w:lastRenderedPageBreak/>
        <w:t>validation of health measurement scales and v) fine-tuning of the Icelandic translated instrument based on comments obtained in step iv).</w:t>
      </w:r>
    </w:p>
    <w:p w14:paraId="7EF7858F" w14:textId="48A5D934" w:rsidR="00D17A25" w:rsidRPr="00A422D0" w:rsidRDefault="00D17A25" w:rsidP="00A56B49">
      <w:pPr>
        <w:pStyle w:val="Style2"/>
      </w:pPr>
      <w:bookmarkStart w:id="14" w:name="_Toc100246230"/>
      <w:r w:rsidRPr="00A422D0">
        <w:t>Height and weight</w:t>
      </w:r>
      <w:bookmarkEnd w:id="14"/>
    </w:p>
    <w:p w14:paraId="4025A353" w14:textId="34309CD9" w:rsidR="00D17A25" w:rsidRPr="00D17A25" w:rsidRDefault="00D17A25"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Height and weight were measured with the seca 285 electronic measuring station (seca, Germany).</w:t>
      </w:r>
      <w:r>
        <w:rPr>
          <w:rFonts w:ascii="Times New Roman" w:hAnsi="Times New Roman" w:cs="Times New Roman"/>
          <w:sz w:val="20"/>
          <w:szCs w:val="20"/>
          <w:lang w:val="en-US"/>
        </w:rPr>
        <w:t xml:space="preserve"> Body mass index (BMI) was calculated in the standard manner, </w:t>
      </w:r>
      <w:r w:rsidRPr="00581EB3">
        <w:rPr>
          <w:rFonts w:ascii="Times New Roman" w:hAnsi="Times New Roman" w:cs="Times New Roman"/>
          <w:sz w:val="20"/>
          <w:szCs w:val="20"/>
          <w:lang w:val="en-US"/>
        </w:rPr>
        <w:t>BMI = kg/m</w:t>
      </w:r>
      <w:r w:rsidRPr="00581EB3">
        <w:rPr>
          <w:rFonts w:ascii="Times New Roman" w:hAnsi="Times New Roman" w:cs="Times New Roman"/>
          <w:sz w:val="20"/>
          <w:szCs w:val="20"/>
          <w:vertAlign w:val="superscript"/>
          <w:lang w:val="en-US"/>
        </w:rPr>
        <w:t>2</w:t>
      </w:r>
      <w:r>
        <w:rPr>
          <w:rFonts w:ascii="Times New Roman" w:hAnsi="Times New Roman" w:cs="Times New Roman"/>
          <w:sz w:val="20"/>
          <w:szCs w:val="20"/>
          <w:lang w:val="en-US"/>
        </w:rPr>
        <w:t>. Obesity was defined as BMI ≥ 30.</w:t>
      </w:r>
    </w:p>
    <w:p w14:paraId="1B909EE7" w14:textId="3231B507" w:rsidR="004B679C" w:rsidRPr="00A422D0" w:rsidRDefault="00A95F2E" w:rsidP="00A56B49">
      <w:pPr>
        <w:pStyle w:val="Style2"/>
      </w:pPr>
      <w:bookmarkStart w:id="15" w:name="_Toc100246231"/>
      <w:r w:rsidRPr="00A422D0">
        <w:t>Vital signs</w:t>
      </w:r>
      <w:bookmarkEnd w:id="15"/>
    </w:p>
    <w:p w14:paraId="5D40022D" w14:textId="0237E899" w:rsidR="004B679C" w:rsidRPr="00A422D0" w:rsidRDefault="004B679C"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Resting blood pressure was measured according to guidelines</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{"citationID":"a1dldlnnenb","properties":{"formattedCitation":"{\\rtf \\super 17\\nosupersub{}}","plainCitation":"17"},"citationItems":[{"id":342,"uris":["http://zotero.org/users/local/0NZqn2Xy/items/2SEITIPQ"],"uri":["http://zotero.org/users/local/0NZqn2Xy/items/2SEITIPQ"],"itemData":{"id":342,"type":"article-journal","title":"Measurement of Blood Pressure in Humans: A Scientific Statement From the American Heart Association","container-title":"Hypertension (Dallas, Tex.: 1979)","page":"e35-e66","volume":"73","issue":"5","source":"PubMed","abstract":"The accurate measurement of blood pressure (BP) is essential for the diagnosis and management of hypertension. This article provides an updated American Heart Association scientific statement on BP measurement in humans. In the office setting, many oscillometric devices have been validated that allow accurate BP measurement while reducing human errors associated with the auscultatory approach. Fully automated oscillometric devices capable of taking multiple readings even without an observer being present may provide a more accurate measurement of BP than auscultation. Studies have shown substantial differences in BP when measured outside versus in the office setting. Ambulatory BP monitoring is considered the reference standard for out-of-office BP assessment, with home BP monitoring being an alternative when ambulatory BP monitoring is not available or tolerated. Compared with their counterparts with sustained normotension (ie, nonhypertensive BP levels in and outside the office setting), it is unclear whether adults with white-coat hypertension (ie, hypertensive BP levels in the office but not outside the office) have increased cardiovascular disease risk, whereas those with masked hypertension (ie, hypertensive BP levels outside the office but not in the office) are at substantially increased risk. In addition, high nighttime BP on ambulatory BP monitoring is associated with increased cardiovascular disease risk. Both oscillometric and auscultatory methods are considered acceptable for measuring BP in children and adolescents. Regardless of the method used to measure BP, initial and ongoing training of technicians and healthcare providers and the use of validated and calibrated devices are critical for obtaining accurate BP measurements.","DOI":"10.1161/HYP.0000000000000087","ISSN":"1524-4563","note":"PMID: 30827125","shortTitle":"Measurement of Blood Pressure in Humans","journalAbbreviation":"Hypertension","language":"eng","author":[{"family":"Muntner","given":"Paul"},{"family":"Shimbo","given":"Daichi"},{"family":"Carey","given":"Robert M."},{"family":"Charleston","given":"Jeanne B."},{"family":"Gaillard","given":"Trudy"},{"family":"Misra","given":"Sanjay"},{"family":"Myers","given":"Martin G."},{"family":"Ogedegbe","given":"Gbenga"},{"family":"Schwartz","given":"Joseph E."},{"family":"Townsend","given":"Raymond R."},{"family":"Urbina","given":"Elaine M."},{"family":"Viera","given":"Anthony J."},{"family":"White","given":"William B."},{"family":"Wright","given":"Jackson T."}],"issued":{"date-parts":[["2019"]]}}}],"schema":"https://github.com/citation-style-language/schema/raw/master/csl-citation.json"}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17</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using the SureSign Vs4 equipment</w:t>
      </w:r>
      <w:r w:rsidR="00384D62" w:rsidRPr="00A422D0">
        <w:rPr>
          <w:rFonts w:ascii="Times New Roman" w:hAnsi="Times New Roman" w:cs="Times New Roman"/>
          <w:sz w:val="20"/>
          <w:szCs w:val="20"/>
          <w:lang w:val="en-US"/>
        </w:rPr>
        <w:t xml:space="preserve"> (CIGA Healthcare Ltd, UK)</w:t>
      </w:r>
      <w:r w:rsidRPr="00A422D0">
        <w:rPr>
          <w:rFonts w:ascii="Times New Roman" w:hAnsi="Times New Roman" w:cs="Times New Roman"/>
          <w:sz w:val="20"/>
          <w:szCs w:val="20"/>
          <w:lang w:val="en-US"/>
        </w:rPr>
        <w:t xml:space="preserve">. The blood pressure was measured in the left arm unless contraindications </w:t>
      </w:r>
      <w:r w:rsidR="0094538E" w:rsidRPr="00A422D0">
        <w:rPr>
          <w:rFonts w:ascii="Times New Roman" w:hAnsi="Times New Roman" w:cs="Times New Roman"/>
          <w:sz w:val="20"/>
          <w:szCs w:val="20"/>
          <w:lang w:val="en-US"/>
        </w:rPr>
        <w:t xml:space="preserve">were </w:t>
      </w:r>
      <w:r w:rsidRPr="00A422D0">
        <w:rPr>
          <w:rFonts w:ascii="Times New Roman" w:hAnsi="Times New Roman" w:cs="Times New Roman"/>
          <w:sz w:val="20"/>
          <w:szCs w:val="20"/>
          <w:lang w:val="en-US"/>
        </w:rPr>
        <w:t>present</w:t>
      </w:r>
      <w:r w:rsidR="0094538E" w:rsidRPr="00A422D0">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 xml:space="preserve">with the participant seated, using the appropriate size cuff and positioning the cuff at the level of the patient’s right atrium. </w:t>
      </w:r>
      <w:r w:rsidR="00A95F2E" w:rsidRPr="00A422D0">
        <w:rPr>
          <w:rFonts w:ascii="Times New Roman" w:hAnsi="Times New Roman" w:cs="Times New Roman"/>
          <w:sz w:val="20"/>
          <w:szCs w:val="20"/>
          <w:lang w:val="en-US"/>
        </w:rPr>
        <w:t>The SureSign Vs4 equipment was also used to measure resting heart rate and oxygen saturation of peripheral arterial blood with a pulse oximeter.</w:t>
      </w:r>
    </w:p>
    <w:p w14:paraId="23561BE6" w14:textId="202076EA" w:rsidR="00D17F4F" w:rsidRPr="00A422D0" w:rsidRDefault="00D17F4F" w:rsidP="00A56B49">
      <w:pPr>
        <w:pStyle w:val="Style2"/>
      </w:pPr>
      <w:bookmarkStart w:id="16" w:name="_Toc100246232"/>
      <w:r w:rsidRPr="00A422D0">
        <w:t>5-minute o</w:t>
      </w:r>
      <w:r w:rsidR="00775264" w:rsidRPr="00A422D0">
        <w:t>rthostatic test</w:t>
      </w:r>
      <w:bookmarkEnd w:id="16"/>
    </w:p>
    <w:p w14:paraId="7A1F27DA" w14:textId="3D807502" w:rsidR="0033534F" w:rsidRDefault="0033534F"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The 5-minute orthostatic test was administered directly following the electrocardiogram test. Supine blood pressure and heart rate </w:t>
      </w:r>
      <w:r w:rsidR="004152A5">
        <w:rPr>
          <w:rFonts w:ascii="Times New Roman" w:hAnsi="Times New Roman" w:cs="Times New Roman"/>
          <w:sz w:val="20"/>
          <w:szCs w:val="20"/>
          <w:lang w:val="en-US"/>
        </w:rPr>
        <w:t xml:space="preserve">were </w:t>
      </w:r>
      <w:r w:rsidRPr="00A422D0">
        <w:rPr>
          <w:rFonts w:ascii="Times New Roman" w:hAnsi="Times New Roman" w:cs="Times New Roman"/>
          <w:sz w:val="20"/>
          <w:szCs w:val="20"/>
          <w:lang w:val="en-US"/>
        </w:rPr>
        <w:t xml:space="preserve">recorded after relaxation. Participant was then directed to stand up with their shoulders leaning against a wall and heels approximately 15 cm from the wall. Blood pressure and heart rate </w:t>
      </w:r>
      <w:r w:rsidR="004152A5">
        <w:rPr>
          <w:rFonts w:ascii="Times New Roman" w:hAnsi="Times New Roman" w:cs="Times New Roman"/>
          <w:sz w:val="20"/>
          <w:szCs w:val="20"/>
          <w:lang w:val="en-US"/>
        </w:rPr>
        <w:t xml:space="preserve">were </w:t>
      </w:r>
      <w:r w:rsidRPr="00A422D0">
        <w:rPr>
          <w:rFonts w:ascii="Times New Roman" w:hAnsi="Times New Roman" w:cs="Times New Roman"/>
          <w:sz w:val="20"/>
          <w:szCs w:val="20"/>
          <w:lang w:val="en-US"/>
        </w:rPr>
        <w:t>immediately recorded and then again every minute for five minutes for a total of six recordings while standing. We used the SureSign Vs4 equipment (CIGA Healthcare Ltd, UK). Symptoms during test were recorded.</w:t>
      </w:r>
      <w:r w:rsidR="00E32190">
        <w:rPr>
          <w:rFonts w:ascii="Times New Roman" w:hAnsi="Times New Roman" w:cs="Times New Roman"/>
          <w:sz w:val="20"/>
          <w:szCs w:val="20"/>
          <w:lang w:val="en-US"/>
        </w:rPr>
        <w:t xml:space="preserve"> </w:t>
      </w:r>
      <w:r w:rsidR="002D0D05">
        <w:rPr>
          <w:rFonts w:ascii="Times New Roman" w:hAnsi="Times New Roman" w:cs="Times New Roman"/>
          <w:sz w:val="20"/>
          <w:szCs w:val="20"/>
          <w:lang w:val="en-US"/>
        </w:rPr>
        <w:t xml:space="preserve">The blood pressure and heart rate differences were calculated as the measures after </w:t>
      </w:r>
      <w:r w:rsidR="004152A5">
        <w:rPr>
          <w:rFonts w:ascii="Times New Roman" w:hAnsi="Times New Roman" w:cs="Times New Roman"/>
          <w:sz w:val="20"/>
          <w:szCs w:val="20"/>
          <w:lang w:val="en-US"/>
        </w:rPr>
        <w:t xml:space="preserve">3 and </w:t>
      </w:r>
      <w:r w:rsidR="002D0D05">
        <w:rPr>
          <w:rFonts w:ascii="Times New Roman" w:hAnsi="Times New Roman" w:cs="Times New Roman"/>
          <w:sz w:val="20"/>
          <w:szCs w:val="20"/>
          <w:lang w:val="en-US"/>
        </w:rPr>
        <w:t xml:space="preserve">5 minutes subtracting the measures taken </w:t>
      </w:r>
      <w:r w:rsidR="009607BD">
        <w:rPr>
          <w:rFonts w:ascii="Times New Roman" w:hAnsi="Times New Roman" w:cs="Times New Roman"/>
          <w:sz w:val="20"/>
          <w:szCs w:val="20"/>
          <w:lang w:val="en-US"/>
        </w:rPr>
        <w:t>when lying down</w:t>
      </w:r>
      <w:r w:rsidR="002D0D05">
        <w:rPr>
          <w:rFonts w:ascii="Times New Roman" w:hAnsi="Times New Roman" w:cs="Times New Roman"/>
          <w:sz w:val="20"/>
          <w:szCs w:val="20"/>
          <w:lang w:val="en-US"/>
        </w:rPr>
        <w:t xml:space="preserve">. Orthostatic hypotension (OH) cases were defined as those with </w:t>
      </w:r>
      <w:r w:rsidR="009607BD">
        <w:rPr>
          <w:rFonts w:ascii="Times New Roman" w:hAnsi="Times New Roman" w:cs="Times New Roman"/>
          <w:sz w:val="20"/>
          <w:szCs w:val="20"/>
          <w:lang w:val="en-US"/>
        </w:rPr>
        <w:t>a fall of &gt;20 mmHg systolic or</w:t>
      </w:r>
      <w:r w:rsidR="009607BD" w:rsidRPr="009607BD">
        <w:rPr>
          <w:rFonts w:ascii="Times New Roman" w:hAnsi="Times New Roman" w:cs="Times New Roman"/>
          <w:sz w:val="20"/>
          <w:szCs w:val="20"/>
          <w:lang w:val="en-US"/>
        </w:rPr>
        <w:t xml:space="preserve"> &gt;10 mmHg diastolic after standing for 3 minutes</w:t>
      </w:r>
      <w:r w:rsidR="002D0D05">
        <w:rPr>
          <w:rFonts w:ascii="Times New Roman" w:hAnsi="Times New Roman" w:cs="Times New Roman"/>
          <w:sz w:val="20"/>
          <w:szCs w:val="20"/>
          <w:lang w:val="en-US"/>
        </w:rPr>
        <w:t xml:space="preserve">. </w:t>
      </w:r>
      <w:r w:rsidR="00B77796">
        <w:rPr>
          <w:rFonts w:ascii="Times New Roman" w:hAnsi="Times New Roman" w:cs="Times New Roman"/>
          <w:sz w:val="20"/>
          <w:szCs w:val="20"/>
          <w:lang w:val="en-US"/>
        </w:rPr>
        <w:t>P</w:t>
      </w:r>
      <w:r w:rsidR="002D0D05" w:rsidRPr="00EE4733">
        <w:rPr>
          <w:rFonts w:ascii="Times New Roman" w:hAnsi="Times New Roman" w:cs="Times New Roman"/>
          <w:sz w:val="20"/>
          <w:szCs w:val="20"/>
          <w:lang w:val="en-US"/>
        </w:rPr>
        <w:t xml:space="preserve">ostural orthostatic tachycardia </w:t>
      </w:r>
      <w:r w:rsidR="002D0D05">
        <w:rPr>
          <w:rFonts w:ascii="Times New Roman" w:hAnsi="Times New Roman" w:cs="Times New Roman"/>
          <w:sz w:val="20"/>
          <w:szCs w:val="20"/>
          <w:lang w:val="en-US"/>
        </w:rPr>
        <w:t xml:space="preserve">(POTS) cases were defined as those with heart rate </w:t>
      </w:r>
      <w:r w:rsidR="009607BD">
        <w:rPr>
          <w:rFonts w:ascii="Times New Roman" w:hAnsi="Times New Roman" w:cs="Times New Roman"/>
          <w:sz w:val="20"/>
          <w:szCs w:val="20"/>
          <w:lang w:val="en-US"/>
        </w:rPr>
        <w:t>increase &gt; 30 bpm after standing for 5 minutes.</w:t>
      </w:r>
    </w:p>
    <w:p w14:paraId="25E2C746" w14:textId="1BC36883" w:rsidR="00D17A25" w:rsidRPr="00A422D0" w:rsidRDefault="00D17A25" w:rsidP="00A56B49">
      <w:pPr>
        <w:pStyle w:val="Style2"/>
      </w:pPr>
      <w:bookmarkStart w:id="17" w:name="_Toc100246233"/>
      <w:r w:rsidRPr="00A422D0">
        <w:t>Body composition</w:t>
      </w:r>
      <w:bookmarkEnd w:id="17"/>
    </w:p>
    <w:p w14:paraId="47D08749" w14:textId="6D5C79A1" w:rsidR="00D17A25" w:rsidRPr="00A422D0" w:rsidRDefault="00D17A25"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Body composition (distribution of lean and fat mass) was assessed using whole-body fan beam dual-energy X-ray absorptiometry (DXA) scan (Horizon QDR series System, S/N200547, Hologic Discovery A, Hologic Inc., Bedford, USA). The DXA equipment was calibrated daily and scans were performed by trained technicians according to manufacturer‘s instructions. </w:t>
      </w:r>
      <w:r>
        <w:rPr>
          <w:rFonts w:ascii="Times New Roman" w:hAnsi="Times New Roman" w:cs="Times New Roman"/>
          <w:sz w:val="20"/>
          <w:szCs w:val="20"/>
          <w:lang w:val="en-US"/>
        </w:rPr>
        <w:t xml:space="preserve">The measures that we used from DXA in our analyses </w:t>
      </w:r>
      <w:r w:rsidR="00084795">
        <w:rPr>
          <w:rFonts w:ascii="Times New Roman" w:hAnsi="Times New Roman" w:cs="Times New Roman"/>
          <w:sz w:val="20"/>
          <w:szCs w:val="20"/>
          <w:lang w:val="en-US"/>
        </w:rPr>
        <w:t>are</w:t>
      </w:r>
      <w:r>
        <w:rPr>
          <w:rFonts w:ascii="Times New Roman" w:hAnsi="Times New Roman" w:cs="Times New Roman"/>
          <w:sz w:val="20"/>
          <w:szCs w:val="20"/>
          <w:lang w:val="en-US"/>
        </w:rPr>
        <w:t xml:space="preserve"> lean mass index (LMI) and fat mass index (FMI).</w:t>
      </w:r>
    </w:p>
    <w:p w14:paraId="221C2E07" w14:textId="07E5DA5C" w:rsidR="0065108B" w:rsidRPr="00A422D0" w:rsidRDefault="0065108B" w:rsidP="00A56B49">
      <w:pPr>
        <w:pStyle w:val="Style2"/>
      </w:pPr>
      <w:bookmarkStart w:id="18" w:name="_Toc100246234"/>
      <w:r w:rsidRPr="00A422D0">
        <w:t>Grip strength</w:t>
      </w:r>
      <w:bookmarkEnd w:id="18"/>
    </w:p>
    <w:p w14:paraId="485E981F" w14:textId="25ACCEED" w:rsidR="0065108B" w:rsidRPr="00A422D0" w:rsidRDefault="0065108B"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Grip strength was measured in a standardized manner based on published recommendations using the JAMAR Hydraulic Hand Dynamometer</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{"citationID":"a5csg6ojca","properties":{"formattedCitation":"{\\rtf \\super 18\\nosupersub{}}","plainCitation":"18"},"citationItems":[{"id":340,"uris":["http://zotero.org/users/local/0NZqn2Xy/items/DXB4VPT5"],"uri":["http://zotero.org/users/local/0NZqn2Xy/items/DXB4VPT5"],"itemData":{"id":340,"type":"article-journal","title":"A review of the measurement of grip strength in clinical and epidemiological studies: towards a standardised approach","container-title":"Age and Ageing","page":"423-429","volume":"40","issue":"4","source":"PubMed","abstract":"BACKGROUND: the European Working Group on Sarcopenia in Older People has developed a clinical definition of sarcopenia based on low muscle mass and reduced muscle function (strength or performance). Grip strength is recommended as a good simple measure of muscle strength when 'measured in standard conditions'. However, standard conditions remain to be defined.\nMETHODS: a literature search was conducted to review articles describing the measurement of grip strength listed in Medline, Web of Science and Cochrane Library databases up to 31 December 2009.\nRESULTS: there is wide variability in the choice of equipment and protocol for measuring grip strength. The Jamar hand dynamometer is the most widely used instrument with established test-retest, inter-rater and intra-rater reliability. However, there is considerable variation in how it is used and studies often provide insufficient information on the protocol followed making comparisons difficult. There is evidence that variation in approach can affect the values recorded. Furthermore, reported summary measures of grip strength vary widely including maximum or mean value, from one, two or three attempts, with either hand or the dominant hand alone.\nCONCLUSIONS: there is considerable variation in current methods of assessing grip strength which makes comparison between studies difficult. A standardised method would enable more consistent measurement of grip strength and better assessment of sarcopenia. Our approach is described.","DOI":"10.1093/ageing/afr051","ISSN":"1468-2834","note":"PMID: 21624928","shortTitle":"A review of the measurement of grip strength in clinical and epidemiological studies","journalAbbreviation":"Age Ageing","language":"eng","author":[{"family":"Roberts","given":"Helen C."},{"family":"Denison","given":"Hayley J."},{"family":"Martin","given":"Helen J."},{"family":"Patel","given":"Harnish P."},{"family":"Syddall","given":"Holly"},{"family":"Cooper","given":"Cyrus"},{"family":"Sayer","given":"Avan Aihie"}],"issued":{"date-parts":[["2011",7]]}}}],"schema":"https://github.com/citation-style-language/schema/raw/master/csl-citation.json"} </w:instrText>
      </w:r>
      <w:r w:rsidRPr="00A422D0">
        <w:rPr>
          <w:rFonts w:ascii="Times New Roman" w:hAnsi="Times New Roman" w:cs="Times New Roman"/>
          <w:sz w:val="20"/>
          <w:szCs w:val="20"/>
          <w:lang w:val="en-US"/>
        </w:rPr>
        <w:fldChar w:fldCharType="separate"/>
      </w:r>
      <w:r w:rsidR="0069471C" w:rsidRPr="0069471C">
        <w:rPr>
          <w:rFonts w:ascii="Times New Roman" w:hAnsi="Times New Roman" w:cs="Times New Roman"/>
          <w:noProof/>
          <w:sz w:val="20"/>
          <w:szCs w:val="24"/>
          <w:vertAlign w:val="superscript"/>
        </w:rPr>
        <w:t>18</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Three measurements were performed for each hand and hand dominance was recorded.</w:t>
      </w:r>
      <w:r w:rsidR="00F10694">
        <w:rPr>
          <w:rFonts w:ascii="Times New Roman" w:hAnsi="Times New Roman" w:cs="Times New Roman"/>
          <w:sz w:val="20"/>
          <w:szCs w:val="20"/>
          <w:lang w:val="en-US"/>
        </w:rPr>
        <w:t xml:space="preserve"> The maximum grip strength of the six measures was used for the analyses.</w:t>
      </w:r>
      <w:r w:rsidR="002D0D05" w:rsidRPr="002D0D05">
        <w:rPr>
          <w:rFonts w:ascii="Times New Roman" w:hAnsi="Times New Roman" w:cs="Times New Roman"/>
          <w:sz w:val="20"/>
          <w:szCs w:val="20"/>
          <w:lang w:val="en-US"/>
        </w:rPr>
        <w:t xml:space="preserve"> </w:t>
      </w:r>
    </w:p>
    <w:p w14:paraId="63E71951" w14:textId="6EA30165" w:rsidR="00280747" w:rsidRPr="00A422D0" w:rsidRDefault="00280747" w:rsidP="00A56B49">
      <w:pPr>
        <w:pStyle w:val="Style2"/>
      </w:pPr>
      <w:bookmarkStart w:id="19" w:name="_Toc100246235"/>
      <w:r w:rsidRPr="00A422D0">
        <w:t>Smell test</w:t>
      </w:r>
      <w:bookmarkEnd w:id="19"/>
    </w:p>
    <w:p w14:paraId="33C32DFD" w14:textId="4A06D872" w:rsidR="00D80103" w:rsidRPr="00A422D0" w:rsidRDefault="00D80103"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The smell test in the dHS has been described in detail before</w:t>
      </w:r>
      <w:r w:rsidR="00C7135B"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{"citationID":"ahggtuiso2","properties":{"formattedCitation":"{\\rtf \\super 19\\nosupersub{}}","plainCitation":"19"},"citationItems":[{"id":330,"uris":["http://www.mendeley.com/documents/?uuid=8da0e28a-8c12-4908-b14e-a640593f5dd0","http://zotero.org/users/local/0NZqn2Xy/items/F58VHF6L"],"uri":["http://www.mendeley.com/documents/?uuid=8da0e28a-8c12-4908-b14e-a640593f5dd0","http://zotero.org/users/local/0NZqn2Xy/items/F58VHF6L"],"itemData":{"id":330,"type":"article-journal","title":"Sequence Variants in TAAR5 and Other Loci Affect Human Odor Perception and Naming","container-title":"Current biology: CB","page":"4643-4653.e3","volume":"30","issue":"23","source":"PubMed","abstract":"Olfactory receptor (OR) genes in humans form a special class characterized by unusually high DNA sequence diversity, which should give rise to differences in perception and behavior. In the largest genome-wide association study to date based on olfactory testing, we investigated odor perception and naming with smell tasks performed by 9,122 Icelanders, with replication in a separate sample of 2,204 individuals. We discovered an association between a low-frequency missense variant in TAAR5 and reduced intensity rating of fish odor containing trimethylamine (p.Ser95Pro, pcombined = 5.6 × 10-15). We demonstrate that TAAR5 genotype affects aversion to fish odor, reflected by linguistic descriptions of the odor and pleasantness ratings. We also discovered common sequence variants in two canonical olfactory receptor loci that associate with increased intensity and naming of licorice odor (trans-anethole: lead variant p.Lys233Asn in OR6C70, pcombined = 8.8 × 10-16 and pcombined = 1.4 × 10-9) and enhanced naming of cinnamon (trans-cinnamaldehyde; intergenic variant rs317787-T, pcombined = 5.0 × 10-17). Together, our results show that TAAR5 genotype variation influences human odor responses and highlight that sequence diversity in canonical OR genes can lead to enhanced olfactory ability, in contrast to the view that greater tolerance for mutations in the human OR repertoire leads to diminished function.","DOI":"10.1016/j.cub.2020.09.012","ISSN":"1879-0445","note":"PMID: 33035477","journalAbbreviation":"Curr Biol","language":"eng","author":[{"family":"Gisladottir","given":"Rosa S."},{"family":"Ivarsdottir","given":"Erna V."},{"family":"Helgason","given":"Agnar"},{"family":"Jonsson","given":"Lina"},{"family":"Hannesdottir","given":"Nanna K."},{"family":"Rutsdottir","given":"Gudrun"},{"family":"Arnadottir","given":"Gudny A."},{"family":"Skuladottir","given":"Astros"},{"family":"Jonsson","given":"Benedikt A."},{"family":"Norddahl","given":"Gudmundur L."},{"family":"Ulfarsson","given":"Magnus O."},{"family":"Helgason","given":"Hannes"},{"family":"Halldorsson","given":"Bjarni V."},{"family":"Nawaz","given":"Muhammad S."},{"family":"Tragante","given":"Vinicius"},{"family":"Sveinbjornsson","given":"Gardar"},{"family":"Thorgeirsson","given":"Thorgeir"},{"family":"Oddsson","given":"Asmundur"},{"family":"Kristjansson","given":"Ragnar P."},{"family":"Bjornsdottir","given":"Gyda"},{"family":"Thorgeirsson","given":"Gudmundur"},{"family":"Jonsdottir","given":"Ingileif"},{"family":"Holm","given":"Hilma"},{"family":"Gudbjartsson","given":"Daniel F."},{"family":"Thorsteinsdottir","given":"Unnur"},{"family":"Stefansson","given":"Hreinn"},{"family":"Sulem","given":"Patrick"},{"family":"Stefansson","given":"Kari"}],"issued":{"date-parts":[["2020",12,7]]}}}],"schema":"https://github.com/citation-style-language/schema/raw/master/csl-citation.json"} </w:instrText>
      </w:r>
      <w:r w:rsidR="00C7135B"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19</w:t>
      </w:r>
      <w:r w:rsidR="00C7135B"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w:t>
      </w:r>
    </w:p>
    <w:p w14:paraId="092068DE" w14:textId="59B9DF30" w:rsidR="00A869FF" w:rsidRPr="00A422D0" w:rsidRDefault="00A869FF" w:rsidP="00A869FF">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Odor perception was tested using 6 odor pens from Sniffin’ Sticks (Burghart Messtechnik GmbH, Wedel, Germany); licorice, cinnamon, fish, lemon, peppermint, and banana.</w:t>
      </w:r>
      <w:r w:rsidR="0054521F"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{"citationID":"93y7XFUy","properties":{"formattedCitation":"{\\rtf \\super 20,21\\nosupersub{}}","plainCitation":"20,21"},"citationItems":[{"id":322,"uris":["http://zotero.org/users/local/0NZqn2Xy/items/SAQPVRF6"],"uri":["http://zotero.org/users/local/0NZqn2Xy/items/SAQPVRF6"],"itemData":{"id":322,"type":"article-journal","title":"'Sniffin' sticks': olfactory performance assessed by the combined testing of odor identification, odor discrimination and olfactory threshold","container-title":"Chemical Senses","page":"39-52","volume":"22","issue":"1","source":"PubMed","abstract":"'Sniffin' Sticks' is a new test of nasal chemosensory performance based on pen-like odor dispensing devices. It comprises three tests of olfactory function, namely tests for odor threshold (n-butanol, testing by means of a single staircase), odor discrimination (16 pairs of odorants, triple forced choice) and odor identification (16 common odorants, multiple forced choice from four verbal items per test odorant). After extensive preliminary investigations the tests were applied to a group of 104 healthy volunteers (52 female, 52 male, mean age 49.5 years, range 18-84 years) in order to establish test-retest reliability and to compare them with an established measure of olfactory performance (the Connecticut Chemosensory Clinical Research Center Test, CCCRC). Performance decreased with increasing age of the subjects (P &lt; 0.001). Coefficients of correlation between sessions 1 and 2 were 0.61 for thresholds, 0.54 for discrimination and 0.73 for identification. Butanol thresholds as obtained with the CCCRC increased as a function of age; this relation to the subjects' age was not found for the CCCRC odor identification task. The test-retest reliability for CCCRC thresholds was 0.36, for odor identification it was 0.60. It is concluded that 'Sniffin' Sticks' may be suited for the routine clinical assessment of olfactory performance.","DOI":"10.1093/chemse/22.1.39","ISSN":"0379-864X","note":"PMID: 9056084","shortTitle":"'Sniffin' sticks'","journalAbbreviation":"Chem Senses","language":"eng","author":[{"family":"Hummel","given":"T."},{"family":"Sekinger","given":"B."},{"family":"Wolf","given":"S. R."},{"family":"Pauli","given":"E."},{"family":"Kobal","given":"G."}],"issued":{"date-parts":[["1997",2]]}}},{"id":375,"uris":["http://www.mendeley.com/documents/?uuid=3abf25c2-24d8-44b3-863b-c7bb727245b5","http://zotero.org/users/local/0NZqn2Xy/items/6SKTPSG2"],"uri":["http://www.mendeley.com/documents/?uuid=3abf25c2-24d8-44b3-863b-c7bb727245b5","http://zotero.org/users/local/0NZqn2Xy/items/6SKTPSG2"],"itemData":{"id":375,"type":"article-journal","title":"Normative data for the \"Sniffin' Sticks\" including tests of odor identification, odor discrimination, and olfactory thresholds: an upgrade based on a group of more than 3,000 subjects","container-title":"European archives of oto-rhino-laryngology: official journal of the European Federation of Oto-Rhino-Laryngological Societies (EUFOS): affiliated with the German Society for Oto-Rhino-Laryngology - Head and Neck Surgery","page":"237-243","volume":"264","issue":"3","source":"PubMed","abstract":"\"Sniffin' Sticks\" is a test of nasal chemosensory function that is based on pen-like odor dispensing devices, introduced some 10 years ago by Kobal and co-workers. It consists of tests for odor threshold, discrimination, and identification. Previous work established its test-retest reliability and validity. Results of the test are presented as \"TDI score\", the sum of results obtained for threshold, discrimination, and identification measures. While normative data have been established they are based on a relatively small number of subjects, especially with regard to subjects older than 55 years where data from only 30 healthy subjects have been used. The present study aimed to remedy this situation. Now data are available from 3,282 subjects as compared to data from 738 subjects published previously. Disregarding sex-related differences, the TDI score at the tenth percentile was 24.9 in subjects younger than 15 years, 30.3 for ages from 16 to 35 years, 27.3 for ages from 36 to 55 years, and 19.6 for subjects older than 55 years. Because the tenth percentile has been defined to separate hyposmia from normosmia, these data can be used as a guide to estimate individual olfactory ability in relation to subject's age. Absolute hyposmia was defined as the tenth percentile score of 16-35 year old subjects. Other than previous reports the present norms are also sex-differentiated with women outperforming men in the three olfactory tests. Further, the present data suggest specific changes of individual olfactory functions in relation to age, with odor thresholds declining most dramatically compared to odor discrimination and odor identification.","DOI":"10.1007/s00405-006-0173-0","ISSN":"0937-4477","note":"PMID: 17021776","shortTitle":"Normative data for the \"Sniffin' Sticks\" including tests of odor identification, odor discrimination, and olfactory thresholds","journalAbbreviation":"Eur Arch Otorhinolaryngol","language":"eng","author":[{"family":"Hummel","given":"T."},{"family":"Kobal","given":"G."},{"family":"Gudziol","given":"H."},{"family":"Mackay-Sim","given":"A."}],"issued":{"date-parts":[["2007",3]]}}}],"schema":"https://github.com/citation-style-language/schema/raw/master/csl-citation.json"} </w:instrText>
      </w:r>
      <w:r w:rsidR="0054521F"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20,21</w:t>
      </w:r>
      <w:r w:rsidR="0054521F" w:rsidRPr="00A422D0">
        <w:rPr>
          <w:rFonts w:ascii="Times New Roman" w:hAnsi="Times New Roman" w:cs="Times New Roman"/>
          <w:sz w:val="20"/>
          <w:szCs w:val="20"/>
          <w:lang w:val="en-US"/>
        </w:rPr>
        <w:fldChar w:fldCharType="end"/>
      </w:r>
      <w:r w:rsidR="00F92357" w:rsidRPr="00A422D0">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 xml:space="preserve">The experimenter placed the odor pen </w:t>
      </w:r>
      <w:r w:rsidRPr="00A422D0">
        <w:rPr>
          <w:rFonts w:ascii="Times New Roman" w:hAnsi="Times New Roman" w:cs="Times New Roman"/>
          <w:sz w:val="20"/>
          <w:szCs w:val="20"/>
          <w:lang w:val="en-US"/>
        </w:rPr>
        <w:lastRenderedPageBreak/>
        <w:t xml:space="preserve">approximately 2 cm in front of participants’ nose for 3 s. Participants were first asked to </w:t>
      </w:r>
      <w:r w:rsidR="009D5041">
        <w:rPr>
          <w:rFonts w:ascii="Times New Roman" w:hAnsi="Times New Roman" w:cs="Times New Roman"/>
          <w:sz w:val="20"/>
          <w:szCs w:val="20"/>
          <w:lang w:val="en-US"/>
        </w:rPr>
        <w:t>name</w:t>
      </w:r>
      <w:r w:rsidRPr="00A422D0">
        <w:rPr>
          <w:rFonts w:ascii="Times New Roman" w:hAnsi="Times New Roman" w:cs="Times New Roman"/>
          <w:sz w:val="20"/>
          <w:szCs w:val="20"/>
          <w:lang w:val="en-US"/>
        </w:rPr>
        <w:t xml:space="preserve"> the smell (</w:t>
      </w:r>
      <w:r w:rsidR="009D5041">
        <w:rPr>
          <w:rFonts w:ascii="Times New Roman" w:hAnsi="Times New Roman" w:cs="Times New Roman"/>
          <w:sz w:val="20"/>
          <w:szCs w:val="20"/>
          <w:lang w:val="en-US"/>
        </w:rPr>
        <w:t>odor</w:t>
      </w:r>
      <w:r w:rsidRPr="00A422D0">
        <w:rPr>
          <w:rFonts w:ascii="Times New Roman" w:hAnsi="Times New Roman" w:cs="Times New Roman"/>
          <w:sz w:val="20"/>
          <w:szCs w:val="20"/>
          <w:lang w:val="en-US"/>
        </w:rPr>
        <w:t xml:space="preserve"> naming task). Participants then provided an intensity rating on a Likert scale from 1 to 7 (very mild to very strong), followed by a pleasantness rating from 1 to 7 (very unpleasant to very pleasant). A minimum of 30 s passed between presentations of each odor. Following the smell test, the participants answered questions regarding symptoms of abnormal olfactory function (introduced </w:t>
      </w:r>
      <w:r w:rsidR="00682CBD" w:rsidRPr="00A422D0">
        <w:rPr>
          <w:rFonts w:ascii="Times New Roman" w:hAnsi="Times New Roman" w:cs="Times New Roman"/>
          <w:sz w:val="20"/>
          <w:szCs w:val="20"/>
          <w:lang w:val="en-US"/>
        </w:rPr>
        <w:t>in the dHS for</w:t>
      </w:r>
      <w:r w:rsidRPr="00A422D0">
        <w:rPr>
          <w:rFonts w:ascii="Times New Roman" w:hAnsi="Times New Roman" w:cs="Times New Roman"/>
          <w:sz w:val="20"/>
          <w:szCs w:val="20"/>
          <w:lang w:val="en-US"/>
        </w:rPr>
        <w:t xml:space="preserve"> the </w:t>
      </w:r>
      <w:r w:rsidR="00084795">
        <w:rPr>
          <w:rFonts w:ascii="Times New Roman" w:hAnsi="Times New Roman" w:cs="Times New Roman"/>
          <w:sz w:val="20"/>
          <w:szCs w:val="20"/>
          <w:lang w:val="en-US"/>
        </w:rPr>
        <w:t xml:space="preserve">dHS </w:t>
      </w:r>
      <w:r w:rsidRPr="00A422D0">
        <w:rPr>
          <w:rFonts w:ascii="Times New Roman" w:hAnsi="Times New Roman" w:cs="Times New Roman"/>
          <w:sz w:val="20"/>
          <w:szCs w:val="20"/>
          <w:lang w:val="en-US"/>
        </w:rPr>
        <w:t>COVID study).</w:t>
      </w:r>
    </w:p>
    <w:p w14:paraId="66E11E22" w14:textId="0079E8AD" w:rsidR="00D77DD3" w:rsidRPr="00A422D0" w:rsidRDefault="00A869FF" w:rsidP="0010296D">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Odor intensity and pleasantness ratings for all six odors were summed to form an aggregate odor intensity </w:t>
      </w:r>
      <w:r w:rsidR="009D5041">
        <w:rPr>
          <w:rFonts w:ascii="Times New Roman" w:hAnsi="Times New Roman" w:cs="Times New Roman"/>
          <w:sz w:val="20"/>
          <w:szCs w:val="20"/>
          <w:lang w:val="en-US"/>
        </w:rPr>
        <w:t>scale</w:t>
      </w:r>
      <w:r w:rsidRPr="00A422D0">
        <w:rPr>
          <w:rFonts w:ascii="Times New Roman" w:hAnsi="Times New Roman" w:cs="Times New Roman"/>
          <w:sz w:val="20"/>
          <w:szCs w:val="20"/>
          <w:lang w:val="en-US"/>
        </w:rPr>
        <w:t xml:space="preserve"> and odor pleasantness sc</w:t>
      </w:r>
      <w:r w:rsidR="009D5041">
        <w:rPr>
          <w:rFonts w:ascii="Times New Roman" w:hAnsi="Times New Roman" w:cs="Times New Roman"/>
          <w:sz w:val="20"/>
          <w:szCs w:val="20"/>
          <w:lang w:val="en-US"/>
        </w:rPr>
        <w:t>ale</w:t>
      </w:r>
      <w:r w:rsidRPr="00A422D0">
        <w:rPr>
          <w:rFonts w:ascii="Times New Roman" w:hAnsi="Times New Roman" w:cs="Times New Roman"/>
          <w:sz w:val="20"/>
          <w:szCs w:val="20"/>
          <w:lang w:val="en-US"/>
        </w:rPr>
        <w:t xml:space="preserve"> (individuals who reported that they could not smell the odor at all were assigned 0 points in the intensity rating for that odor). We identified hyposmia cases based on a cutoff at the 10th percentile </w:t>
      </w:r>
      <w:r w:rsidR="009D5041">
        <w:rPr>
          <w:rFonts w:ascii="Times New Roman" w:hAnsi="Times New Roman" w:cs="Times New Roman"/>
          <w:sz w:val="20"/>
          <w:szCs w:val="20"/>
          <w:lang w:val="en-US"/>
        </w:rPr>
        <w:t xml:space="preserve">(per sex and 10 year age groups) </w:t>
      </w:r>
      <w:r w:rsidRPr="00A422D0">
        <w:rPr>
          <w:rFonts w:ascii="Times New Roman" w:hAnsi="Times New Roman" w:cs="Times New Roman"/>
          <w:sz w:val="20"/>
          <w:szCs w:val="20"/>
          <w:lang w:val="en-US"/>
        </w:rPr>
        <w:t>of the odor intensity sc</w:t>
      </w:r>
      <w:r w:rsidR="009D5041">
        <w:rPr>
          <w:rFonts w:ascii="Times New Roman" w:hAnsi="Times New Roman" w:cs="Times New Roman"/>
          <w:sz w:val="20"/>
          <w:szCs w:val="20"/>
          <w:lang w:val="en-US"/>
        </w:rPr>
        <w:t>ale</w:t>
      </w:r>
      <w:r w:rsidRPr="00A422D0">
        <w:rPr>
          <w:rFonts w:ascii="Times New Roman" w:hAnsi="Times New Roman" w:cs="Times New Roman"/>
          <w:sz w:val="20"/>
          <w:szCs w:val="20"/>
          <w:lang w:val="en-US"/>
        </w:rPr>
        <w:t xml:space="preserve"> in a sample of 13</w:t>
      </w:r>
      <w:r w:rsidR="0009099D" w:rsidRPr="00A422D0">
        <w:rPr>
          <w:rFonts w:ascii="Times New Roman" w:hAnsi="Times New Roman" w:cs="Times New Roman"/>
          <w:sz w:val="20"/>
          <w:szCs w:val="20"/>
          <w:lang w:val="en-US"/>
        </w:rPr>
        <w:t>,863 Icelanders before the pandemic</w:t>
      </w:r>
      <w:r w:rsidRPr="00A422D0">
        <w:rPr>
          <w:rFonts w:ascii="Times New Roman" w:hAnsi="Times New Roman" w:cs="Times New Roman"/>
          <w:sz w:val="20"/>
          <w:szCs w:val="20"/>
          <w:lang w:val="en-US"/>
        </w:rPr>
        <w:t>, in line with previous approaches that have used the 10th percentile as</w:t>
      </w:r>
      <w:r w:rsidR="0010296D" w:rsidRPr="00A422D0">
        <w:rPr>
          <w:rFonts w:ascii="Times New Roman" w:hAnsi="Times New Roman" w:cs="Times New Roman"/>
          <w:sz w:val="20"/>
          <w:szCs w:val="20"/>
          <w:lang w:val="en-US"/>
        </w:rPr>
        <w:t xml:space="preserve"> a cutoff for hyposmia</w:t>
      </w:r>
      <w:r w:rsidRPr="00A422D0">
        <w:rPr>
          <w:rFonts w:ascii="Times New Roman" w:hAnsi="Times New Roman" w:cs="Times New Roman"/>
          <w:sz w:val="20"/>
          <w:szCs w:val="20"/>
          <w:lang w:val="en-US"/>
        </w:rPr>
        <w:t>.</w:t>
      </w:r>
      <w:r w:rsidR="0010296D"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{"citationID":"au2hr3eomq","properties":{"formattedCitation":"{\\rtf \\super 21,22\\nosupersub{}}","plainCitation":"21,22"},"citationItems":[{"id":377,"uris":["http://zotero.org/users/local/0NZqn2Xy/items/EAB5DYUQ"],"uri":["http://zotero.org/users/local/0NZqn2Xy/items/EAB5DYUQ"],"itemData":{"id":377,"type":"article-journal","title":"Relationship between odor intensity estimates and COVID-19 prevalence prediction in a Swedish population","container-title":"Chemical Senses","source":"PubMed","abstract":"In response to the COVID-19 pandemic, countries have implemented various strategies to reduce and slow the spread of the disease in the general population. For countries that have implemented restrictions on its population in a step-wise manner, monitoring of COVID-19 prevalence is of importance to guide decision on when to impose new, or when to abolish old, restrictions. We are here determining whether measures of odor intensity in a large sample can serve as one such measure. Online measures of how intense common household odors are perceived and symptoms of COVID-19 were collected from 2440 Swedes. Average odor intensity ratings were then compared to predicted COVID-19 population prevalence over time in the Swedish population and were found to closely track each other (r=-0.83). Moreover, we found that there was a large difference in rated intensity between individuals with and without COVID-19 symptoms and number of symptoms was related to odor intensity ratings. Finally, we found that individuals progressing from reporting no symptoms to subsequently reporting COVID-19 symptoms demonstrated a large drop in olfactory performance. These data suggest that measures of odor intensity, if obtained in a large and representative sample, can be used as an indicator of COVID-19 disease in the general population. Importantly, this simple measure could easily be implemented in countries without widespread access to COVID-19 testing or implemented as a fast early response before wide-spread testing can be facilitated.","DOI":"10.1093/chemse/bjaa034","ISSN":"1464-3553","note":"PMID: 32441744\nPMCID: PMC7314115","journalAbbreviation":"Chem Senses","language":"eng","author":[{"family":"Iravani","given":"Behzad"},{"family":"Arshamian","given":"Artin"},{"family":"Ravia","given":"Aharon"},{"family":"Mishor","given":"Eva"},{"family":"Snitz","given":"Kobi"},{"family":"Shushan","given":"Sagit"},{"family":"Roth","given":"Yehudah"},{"family":"Perl","given":"Ofer"},{"family":"Honigstein","given":"Danielle"},{"family":"Weissgross","given":"Reut"},{"family":"Karagach","given":"Shiri"},{"family":"Ernst","given":"Gernot"},{"family":"Okamoto","given":"Masako"},{"family":"Mainen","given":"Zachary"},{"family":"Monteleone","given":"Erminio"},{"family":"Dinnella","given":"Caterina"},{"family":"Spinelli","given":"Sara"},{"family":"Mariño-Sánchez","given":"Franklin"},{"family":"Ferdenzi","given":"Camille"},{"family":"Smeets","given":"Monique"},{"family":"Touhara","given":"Kazushige"},{"family":"Bensafi","given":"Moustafa"},{"family":"Hummel","given":"Thomas"},{"family":"Sobel","given":"Noam"},{"family":"Lundström","given":"Johan N."}],"issued":{"date-parts":[["2020",5,22]]}}},{"id":375,"uris":["http://www.mendeley.com/documents/?uuid=3abf25c2-24d8-44b3-863b-c7bb727245b5","http://zotero.org/users/local/0NZqn2Xy/items/6SKTPSG2"],"uri":["http://www.mendeley.com/documents/?uuid=3abf25c2-24d8-44b3-863b-c7bb727245b5","http://zotero.org/users/local/0NZqn2Xy/items/6SKTPSG2"],"itemData":{"id":375,"type":"article-journal","title":"Normative data for the \"Sniffin' Sticks\" including tests of odor identification, odor discrimination, and olfactory thresholds: an upgrade based on a group of more than 3,000 subjects","container-title":"European archives of oto-rhino-laryngology: official journal of the European Federation of Oto-Rhino-Laryngological Societies (EUFOS): affiliated with the German Society for Oto-Rhino-Laryngology - Head and Neck Surgery","page":"237-243","volume":"264","issue":"3","source":"PubMed","abstract":"\"Sniffin' Sticks\" is a test of nasal chemosensory function that is based on pen-like odor dispensing devices, introduced some 10 years ago by Kobal and co-workers. It consists of tests for odor threshold, discrimination, and identification. Previous work established its test-retest reliability and validity. Results of the test are presented as \"TDI score\", the sum of results obtained for threshold, discrimination, and identification measures. While normative data have been established they are based on a relatively small number of subjects, especially with regard to subjects older than 55 years where data from only 30 healthy subjects have been used. The present study aimed to remedy this situation. Now data are available from 3,282 subjects as compared to data from 738 subjects published previously. Disregarding sex-related differences, the TDI score at the tenth percentile was 24.9 in subjects younger than 15 years, 30.3 for ages from 16 to 35 years, 27.3 for ages from 36 to 55 years, and 19.6 for subjects older than 55 years. Because the tenth percentile has been defined to separate hyposmia from normosmia, these data can be used as a guide to estimate individual olfactory ability in relation to subject's age. Absolute hyposmia was defined as the tenth percentile score of 16-35 year old subjects. Other than previous reports the present norms are also sex-differentiated with women outperforming men in the three olfactory tests. Further, the present data suggest specific changes of individual olfactory functions in relation to age, with odor thresholds declining most dramatically compared to odor discrimination and odor identification.","DOI":"10.1007/s00405-006-0173-0","ISSN":"0937-4477","note":"PMID: 17021776","shortTitle":"Normative data for the \"Sniffin' Sticks\" including tests of odor identification, odor discrimination, and olfactory thresholds","journalAbbreviation":"Eur Arch Otorhinolaryngol","language":"eng","author":[{"family":"Hummel","given":"T."},{"family":"Kobal","given":"G."},{"family":"Gudziol","given":"H."},{"family":"Mackay-Sim","given":"A."}],"issued":{"date-parts":[["2007",3]]}}}],"schema":"https://github.com/citation-style-language/schema/raw/master/csl-citation.json"} </w:instrText>
      </w:r>
      <w:r w:rsidR="0010296D"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21,22</w:t>
      </w:r>
      <w:r w:rsidR="0010296D"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We subsequently used this threshold to define hyposmia cases in our complete dataset. </w:t>
      </w:r>
      <w:r w:rsidR="00166497">
        <w:rPr>
          <w:rFonts w:ascii="Times New Roman" w:hAnsi="Times New Roman" w:cs="Times New Roman"/>
          <w:sz w:val="20"/>
          <w:szCs w:val="20"/>
          <w:lang w:val="en-US"/>
        </w:rPr>
        <w:t xml:space="preserve">We identified partial anosmia cases as those who reported finding no smell for at least one odor. Complete anosmia cases, defined as those who found no smell for at least five odors, were too few to include in the analysis. </w:t>
      </w:r>
      <w:r w:rsidR="009D5041">
        <w:rPr>
          <w:rFonts w:ascii="Times New Roman" w:hAnsi="Times New Roman" w:cs="Times New Roman"/>
          <w:sz w:val="20"/>
          <w:szCs w:val="20"/>
        </w:rPr>
        <w:t xml:space="preserve">Responses in the odor naming task were </w:t>
      </w:r>
      <w:r w:rsidR="009D5041" w:rsidRPr="009A1148">
        <w:rPr>
          <w:rFonts w:ascii="Times New Roman" w:hAnsi="Times New Roman" w:cs="Times New Roman"/>
          <w:sz w:val="20"/>
          <w:szCs w:val="20"/>
        </w:rPr>
        <w:t xml:space="preserve">coded </w:t>
      </w:r>
      <w:r w:rsidR="009D5041">
        <w:rPr>
          <w:rFonts w:ascii="Times New Roman" w:hAnsi="Times New Roman" w:cs="Times New Roman"/>
          <w:sz w:val="20"/>
          <w:szCs w:val="20"/>
        </w:rPr>
        <w:t>as correct (2 points), near-misses (1 point) and far-misses (0 points) as previously described</w:t>
      </w:r>
      <w:r w:rsidR="009D5041">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{"citationID":"UuJ4Qnr6","properties":{"formattedCitation":"{\\rtf \\super 19\\nosupersub{}}","plainCitation":"19"},"citationItems":[{"id":330,"uris":["http://www.mendeley.com/documents/?uuid=8da0e28a-8c12-4908-b14e-a640593f5dd0","http://zotero.org/users/local/0NZqn2Xy/items/F58VHF6L"],"uri":["http://www.mendeley.com/documents/?uuid=8da0e28a-8c12-4908-b14e-a640593f5dd0","http://zotero.org/users/local/0NZqn2Xy/items/F58VHF6L"],"itemData":{"id":330,"type":"article-journal","title":"Sequence Variants in TAAR5 and Other Loci Affect Human Odor Perception and Naming","container-title":"Current biology: CB","page":"4643-4653.e3","volume":"30","issue":"23","source":"PubMed","abstract":"Olfactory receptor (OR) genes in humans form a special class characterized by unusually high DNA sequence diversity, which should give rise to differences in perception and behavior. In the largest genome-wide association study to date based on olfactory testing, we investigated odor perception and naming with smell tasks performed by 9,122 Icelanders, with replication in a separate sample of 2,204 individuals. We discovered an association between a low-frequency missense variant in TAAR5 and reduced intensity rating of fish odor containing trimethylamine (p.Ser95Pro, pcombined = 5.6 × 10-15). We demonstrate that TAAR5 genotype affects aversion to fish odor, reflected by linguistic descriptions of the odor and pleasantness ratings. We also discovered common sequence variants in two canonical olfactory receptor loci that associate with increased intensity and naming of licorice odor (trans-anethole: lead variant p.Lys233Asn in OR6C70, pcombined = 8.8 × 10-16 and pcombined = 1.4 × 10-9) and enhanced naming of cinnamon (trans-cinnamaldehyde; intergenic variant rs317787-T, pcombined = 5.0 × 10-17). Together, our results show that TAAR5 genotype variation influences human odor responses and highlight that sequence diversity in canonical OR genes can lead to enhanced olfactory ability, in contrast to the view that greater tolerance for mutations in the human OR repertoire leads to diminished function.","DOI":"10.1016/j.cub.2020.09.012","ISSN":"1879-0445","note":"PMID: 33035477","journalAbbreviation":"Curr Biol","language":"eng","author":[{"family":"Gisladottir","given":"Rosa S."},{"family":"Ivarsdottir","given":"Erna V."},{"family":"Helgason","given":"Agnar"},{"family":"Jonsson","given":"Lina"},{"family":"Hannesdottir","given":"Nanna K."},{"family":"Rutsdottir","given":"Gudrun"},{"family":"Arnadottir","given":"Gudny A."},{"family":"Skuladottir","given":"Astros"},{"family":"Jonsson","given":"Benedikt A."},{"family":"Norddahl","given":"Gudmundur L."},{"family":"Ulfarsson","given":"Magnus O."},{"family":"Helgason","given":"Hannes"},{"family":"Halldorsson","given":"Bjarni V."},{"family":"Nawaz","given":"Muhammad S."},{"family":"Tragante","given":"Vinicius"},{"family":"Sveinbjornsson","given":"Gardar"},{"family":"Thorgeirsson","given":"Thorgeir"},{"family":"Oddsson","given":"Asmundur"},{"family":"Kristjansson","given":"Ragnar P."},{"family":"Bjornsdottir","given":"Gyda"},{"family":"Thorgeirsson","given":"Gudmundur"},{"family":"Jonsdottir","given":"Ingileif"},{"family":"Holm","given":"Hilma"},{"family":"Gudbjartsson","given":"Daniel F."},{"family":"Thorsteinsdottir","given":"Unnur"},{"family":"Stefansson","given":"Hreinn"},{"family":"Sulem","given":"Patrick"},{"family":"Stefansson","given":"Kari"}],"issued":{"date-parts":[["2020",12,7]]}}}],"schema":"https://github.com/citation-style-language/schema/raw/master/csl-citation.json"} </w:instrText>
      </w:r>
      <w:r w:rsidR="009D5041">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19</w:t>
      </w:r>
      <w:r w:rsidR="009D5041">
        <w:rPr>
          <w:rFonts w:ascii="Times New Roman" w:hAnsi="Times New Roman" w:cs="Times New Roman"/>
          <w:sz w:val="20"/>
          <w:szCs w:val="20"/>
        </w:rPr>
        <w:fldChar w:fldCharType="end"/>
      </w:r>
      <w:r w:rsidR="009D5041">
        <w:rPr>
          <w:rFonts w:ascii="Times New Roman" w:hAnsi="Times New Roman" w:cs="Times New Roman"/>
          <w:sz w:val="20"/>
          <w:szCs w:val="20"/>
        </w:rPr>
        <w:t xml:space="preserve">. </w:t>
      </w:r>
      <w:r w:rsidR="00166497">
        <w:rPr>
          <w:rFonts w:ascii="Times New Roman" w:hAnsi="Times New Roman" w:cs="Times New Roman"/>
          <w:sz w:val="20"/>
          <w:szCs w:val="20"/>
        </w:rPr>
        <w:t>An identification score was computed by summing the odor naming points for all six odors. Identification of individual odors was defined as correct naming (2 points).</w:t>
      </w:r>
    </w:p>
    <w:p w14:paraId="6612C448" w14:textId="1FEC06ED" w:rsidR="00FA434C" w:rsidRPr="00A422D0" w:rsidRDefault="00D77DD3" w:rsidP="00A56B49">
      <w:pPr>
        <w:pStyle w:val="Style2"/>
      </w:pPr>
      <w:bookmarkStart w:id="20" w:name="_Toc100246236"/>
      <w:r w:rsidRPr="00A422D0">
        <w:t>Taste test</w:t>
      </w:r>
      <w:bookmarkEnd w:id="20"/>
    </w:p>
    <w:p w14:paraId="6B77A368" w14:textId="5111912D" w:rsidR="00682CBD" w:rsidRPr="00A422D0" w:rsidRDefault="00682CBD" w:rsidP="00682CBD">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The taste test was introduced in the dHS for the </w:t>
      </w:r>
      <w:r w:rsidR="00084795">
        <w:rPr>
          <w:rFonts w:ascii="Times New Roman" w:hAnsi="Times New Roman" w:cs="Times New Roman"/>
          <w:sz w:val="20"/>
          <w:szCs w:val="20"/>
          <w:lang w:val="en-US"/>
        </w:rPr>
        <w:t xml:space="preserve">dHS </w:t>
      </w:r>
      <w:r w:rsidRPr="00A422D0">
        <w:rPr>
          <w:rFonts w:ascii="Times New Roman" w:hAnsi="Times New Roman" w:cs="Times New Roman"/>
          <w:sz w:val="20"/>
          <w:szCs w:val="20"/>
          <w:lang w:val="en-US"/>
        </w:rPr>
        <w:t xml:space="preserve">COVID study. We used taste solutions for whole mouth suprathreshold </w:t>
      </w:r>
      <w:r w:rsidR="00B013CD" w:rsidRPr="00A422D0">
        <w:rPr>
          <w:rFonts w:ascii="Times New Roman" w:hAnsi="Times New Roman" w:cs="Times New Roman"/>
          <w:sz w:val="20"/>
          <w:szCs w:val="20"/>
          <w:lang w:val="en-US"/>
        </w:rPr>
        <w:t>testing of gustatory function</w:t>
      </w:r>
      <w:r w:rsidRPr="00A422D0">
        <w:rPr>
          <w:rFonts w:ascii="Times New Roman" w:hAnsi="Times New Roman" w:cs="Times New Roman"/>
          <w:sz w:val="20"/>
          <w:szCs w:val="20"/>
          <w:lang w:val="en-US"/>
        </w:rPr>
        <w:t xml:space="preserve"> (sweet 1 g sucrose in 10 g aqua; sour 0.5 g citric acid in 10 g aqua; salty 0.75 g sodium chloride in 10 g aqua; bitter 0.005 g quinine hydrochloride in 10 g aqua).</w:t>
      </w:r>
      <w:r w:rsidR="00B013CD"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{"citationID":"a27j0pcgrkv","properties":{"formattedCitation":"{\\rtf \\super 23,24\\nosupersub{}}","plainCitation":"23,24"},"citationItems":[{"id":379,"uris":["http://zotero.org/users/local/0NZqn2Xy/items/BMN6AUNQ"],"uri":["http://zotero.org/users/local/0NZqn2Xy/items/BMN6AUNQ"],"itemData":{"id":379,"type":"article-journal","title":"The association between smoking and smell and taste impairment in the general population","container-title":"Journal of Neurology","page":"1121-1126","volume":"255","issue":"8","source":"PubMed","abstract":"BACKGROUND: The aim of this study was to evaluate the effect of smoking on taste and smell impairment in a large population- based study.\nSTUDY DESIGN: Cross-sectional survey in Dortmund, Germany.\nMETHODS: The population sample was randomly drawn from the city's central registration office. Following a standardized interview, validated taste and smell tests were performed. Descriptive statistics and logistic regression was used in the analysis.\nRESULTS: Among the 1312 study participants, 3.6 % were functionally anosmic, and 18 % had olfactory dysfunction. Approximately 20 % recognized only three or less of the four tastes when presented at suprathreshold concentrations, indicating signs of taste impairment. Current smoking in general increased the risk for impairment of olfactory function (odds ratio 1.71, 95 % CI 1.19-2.47), but not the risk for taste impairment. Heavy smokers of 20 or more cigarettes/day had significant increased risks for impairment in both senses.\nCONCLUSIONS: Our results reveal that both olfactory and gustatory function are compromised in a significant proportion of the general population. Smoking increases significantly the risk of impairment of olfactory function. Our findings add an important detail to the large body of evidence that describes adverse health effects of smoking.","DOI":"10.1007/s00415-008-0807-9","ISSN":"0340-5354","note":"PMID: 18677645","journalAbbreviation":"J Neurol","language":"eng","author":[{"family":"Vennemann","given":"Mechtild M."},{"family":"Hummel","given":"Thomas"},{"family":"Berger","given":"Klaus"}],"issued":{"date-parts":[["2008",8]]}}},{"id":381,"uris":["http://zotero.org/users/local/0NZqn2Xy/items/78WV6DP5"],"uri":["http://zotero.org/users/local/0NZqn2Xy/items/78WV6DP5"],"itemData":{"id":381,"type":"book","title":"Assessment of olfaction and gustation. Management of smell and taste disorders: a practical guide for clinicians","publisher":"Thieme","publisher-place":"Stuttgart","edition":"1st ed","event-place":"Stuttgart","author":[{"family":"Hummel","given":"T"},{"family":"Hummel","given":"C"},{"family":"Welge-Luessen","given":"A"}],"issued":{"date-parts":[["2013"]]}}}],"schema":"https://github.com/citation-style-language/schema/raw/master/csl-citation.json"} </w:instrText>
      </w:r>
      <w:r w:rsidR="00B013CD"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23,24</w:t>
      </w:r>
      <w:r w:rsidR="00B013CD"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For each tastant, participants were given a new plastic spoon with two drops of taste solution and asked to identify the taste from a multiple-choice list (sweet, sour, salty, bitter). Participants then provided an intensity rating of the taste from </w:t>
      </w:r>
      <w:r w:rsidR="00B013CD" w:rsidRPr="00A422D0">
        <w:rPr>
          <w:rFonts w:ascii="Times New Roman" w:hAnsi="Times New Roman" w:cs="Times New Roman"/>
          <w:sz w:val="20"/>
          <w:szCs w:val="20"/>
          <w:lang w:val="en-US"/>
        </w:rPr>
        <w:t>one</w:t>
      </w:r>
      <w:r w:rsidRPr="00A422D0">
        <w:rPr>
          <w:rFonts w:ascii="Times New Roman" w:hAnsi="Times New Roman" w:cs="Times New Roman"/>
          <w:sz w:val="20"/>
          <w:szCs w:val="20"/>
          <w:lang w:val="en-US"/>
        </w:rPr>
        <w:t xml:space="preserve"> to </w:t>
      </w:r>
      <w:r w:rsidR="00B013CD" w:rsidRPr="00A422D0">
        <w:rPr>
          <w:rFonts w:ascii="Times New Roman" w:hAnsi="Times New Roman" w:cs="Times New Roman"/>
          <w:sz w:val="20"/>
          <w:szCs w:val="20"/>
          <w:lang w:val="en-US"/>
        </w:rPr>
        <w:t>seven</w:t>
      </w:r>
      <w:r w:rsidRPr="00A422D0">
        <w:rPr>
          <w:rFonts w:ascii="Times New Roman" w:hAnsi="Times New Roman" w:cs="Times New Roman"/>
          <w:sz w:val="20"/>
          <w:szCs w:val="20"/>
          <w:lang w:val="en-US"/>
        </w:rPr>
        <w:t xml:space="preserve"> (very weak to very strong) and pleasantness rating from </w:t>
      </w:r>
      <w:r w:rsidR="00B013CD" w:rsidRPr="00A422D0">
        <w:rPr>
          <w:rFonts w:ascii="Times New Roman" w:hAnsi="Times New Roman" w:cs="Times New Roman"/>
          <w:sz w:val="20"/>
          <w:szCs w:val="20"/>
          <w:lang w:val="en-US"/>
        </w:rPr>
        <w:t xml:space="preserve">one to seven </w:t>
      </w:r>
      <w:r w:rsidRPr="00A422D0">
        <w:rPr>
          <w:rFonts w:ascii="Times New Roman" w:hAnsi="Times New Roman" w:cs="Times New Roman"/>
          <w:sz w:val="20"/>
          <w:szCs w:val="20"/>
          <w:lang w:val="en-US"/>
        </w:rPr>
        <w:t xml:space="preserve">(very unpleasant to very pleasant). After each taste participants rinsed their mouth. Following the taste test, participants </w:t>
      </w:r>
      <w:r w:rsidR="00B013CD" w:rsidRPr="00A422D0">
        <w:rPr>
          <w:rFonts w:ascii="Times New Roman" w:hAnsi="Times New Roman" w:cs="Times New Roman"/>
          <w:sz w:val="20"/>
          <w:szCs w:val="20"/>
          <w:lang w:val="en-US"/>
        </w:rPr>
        <w:t>answered questions regarding</w:t>
      </w:r>
      <w:r w:rsidRPr="00A422D0">
        <w:rPr>
          <w:rFonts w:ascii="Times New Roman" w:hAnsi="Times New Roman" w:cs="Times New Roman"/>
          <w:sz w:val="20"/>
          <w:szCs w:val="20"/>
          <w:lang w:val="en-US"/>
        </w:rPr>
        <w:t xml:space="preserve"> symptoms of abnormal gustatory function. </w:t>
      </w:r>
    </w:p>
    <w:p w14:paraId="244DC337" w14:textId="34305F6C" w:rsidR="00682CBD" w:rsidRPr="00A422D0" w:rsidRDefault="00166497" w:rsidP="00682CBD">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Hypogeusia cases were defined as correct identification of two or fewer tastes. Partial ageusia cases were defined as those who described that they found no taste for at least one taste solution. Complete ageusia cases, defined as those who found no taste for at least three taste solutions, were too few to include in the analysis. Taste intensity and pleasantness ratings for all four tastes were summed to form an aggregate taste intensity scale and taste pleasantness scale (individuals who reported not tasting the taste at all were assigned 0 points in the intensity rating for that taste). </w:t>
      </w:r>
      <w:r w:rsidR="00682CBD" w:rsidRPr="00A422D0">
        <w:rPr>
          <w:rFonts w:ascii="Times New Roman" w:hAnsi="Times New Roman" w:cs="Times New Roman"/>
          <w:sz w:val="20"/>
          <w:szCs w:val="20"/>
          <w:lang w:val="en-US"/>
        </w:rPr>
        <w:t xml:space="preserve"> </w:t>
      </w:r>
    </w:p>
    <w:p w14:paraId="070D17E8" w14:textId="4C2C5113" w:rsidR="00FA434C" w:rsidRPr="00A422D0" w:rsidRDefault="00FA434C" w:rsidP="00A56B49">
      <w:pPr>
        <w:pStyle w:val="Style2"/>
      </w:pPr>
      <w:bookmarkStart w:id="21" w:name="_Toc100246237"/>
      <w:r w:rsidRPr="00A422D0">
        <w:t>Hearing test</w:t>
      </w:r>
      <w:bookmarkEnd w:id="21"/>
    </w:p>
    <w:p w14:paraId="43F5D655" w14:textId="4CC58A40" w:rsidR="00856331" w:rsidRPr="00A422D0" w:rsidRDefault="00814633" w:rsidP="005F18E5">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The hearing</w:t>
      </w:r>
      <w:r w:rsidRPr="00A422D0">
        <w:rPr>
          <w:rFonts w:ascii="Times New Roman" w:hAnsi="Times New Roman" w:cs="Times New Roman"/>
          <w:sz w:val="20"/>
          <w:szCs w:val="20"/>
          <w:lang w:val="en-US"/>
        </w:rPr>
        <w:t xml:space="preserve"> test in the dHS has been described in detail before</w:t>
      </w:r>
      <w:r w:rsidR="00E7390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{"citationID":"W5sHBYHC","properties":{"formattedCitation":"{\\rtf \\super 25\\nosupersub{}}","plainCitation":"25"},"citationItems":[{"id":"ITEM-1","uris":["http://www.mendeley.com/documents/?uuid=327a1da9-0caf-4ae0-b7ea-6e46954d458c"],"uri":["http://www.mendeley.com/documents/?uuid=327a1da9-0caf-4ae0-b7ea-6e46954d458c"],"itemData":{"DOI":"10.1038/s42003-021-02224-9","ISSN":"23993642","PMID":"34108613","abstract":"Age-related hearing impairment (ARHI) is the most common sensory disorder in older adults. We conducted a genome-wide association meta-analysis of 121,934 ARHI cases and 591,699 controls from Iceland and the UK. We identified 21 novel sequence variants, of which 13 are rare, under either additive or recessive models. Of special interest are a missense variant in LOXHD1 (MAF = 1.96%) and a tandem duplication in FBF1 covering 4 exons (MAF = 0.22%) associating with ARHI (OR = 3.7 for homozygotes, P = 1.7 × 10−22 and OR = 4.2 for heterozygotes, P = 5.7 × 10−27, respectively). We constructed an ARHI genetic risk score (GRS) using common variants and showed that a common variant GRS can identify individuals at risk comparable to carriers of rare high penetrance variants. Furthermore, we found that ARHI and tinnitus share genetic causes. This study sheds a new light on the genetic architecture of ARHI, through several rare variants in both Mendelian deafness genes and genes not previously linked to hearing.","author":[{"dropping-particle":"V.","family":"Ivarsdottir","given":"Erna","non-dropping-particle":"","parse-names":false,"suffix":""},{"dropping-particle":"","family":"Holm","given":"Hilma","non-dropping-particle":"","parse-names":false,"suffix":""},{"dropping-particle":"","family":"Benonisdottir","given":"Stefania","non-dropping-particle":"","parse-names":false,"suffix":""},{"dropping-particle":"","family":"Olafsdottir","given":"Thorhildur","non-dropping-particle":"","parse-names":false,"suffix":""},{"dropping-particle":"","family":"Sveinbjornsson","given":"Gardar","non-dropping-particle":"","parse-names":false,"suffix":""},{"dropping-particle":"","family":"Thorleifsson","given":"Gudmar","non-dropping-particle":"","parse-names":false,"suffix":""},{"dropping-particle":"","family":"Eggertsson","given":"Hannes P.","non-dropping-particle":"","parse-names":false,"suffix":""},{"dropping-particle":"","family":"Halldorsson","given":"Gisli H.","non-dropping-particle":"","parse-names":false,"suffix":""},{"dropping-particle":"","family":"Hjorleifsson","given":"Kristjan E.","non-dropping-particle":"","parse-names":false,"suffix":""},{"dropping-particle":"","family":"Melsted","given":"Pall","non-dropping-particle":"","parse-names":false,"suffix":""},{"dropping-particle":"","family":"Gylfason","given":"Arnaldur","non-dropping-particle":"","parse-names":false,"suffix":""},{"dropping-particle":"","family":"Arnadottir","given":"Gudny A.","non-dropping-particle":"","parse-names":false,"suffix":""},{"dropping-particle":"","family":"Oddsson","given":"Asmundur","non-dropping-particle":"","parse-names":false,"suffix":""},{"dropping-particle":"","family":"Jensson","given":"Brynjar O.","non-dropping-particle":"","parse-names":false,"suffix":""},{"dropping-particle":"","family":"Jonasdottir","given":"Aslaug","non-dropping-particle":"","parse-names":false,"suffix":""},{"dropping-particle":"","family":"Jonasdottir","given":"Adalbjorg","non-dropping-particle":"","parse-names":false,"suffix":""},{"dropping-particle":"","family":"Juliusdottir","given":"Thorhildur","non-dropping-particle":"","parse-names":false,"suffix":""},{"dropping-particle":"","family":"Stefansdottir","given":"Lilja","non-dropping-particle":"","parse-names":false,"suffix":""},{"dropping-particle":"","family":"Tragante","given":"Vinicius","non-dropping-particle":"","parse-names":false,"suffix":""},{"dropping-particle":"V.","family":"Halldorsson","given":"Bjarni","non-dropping-particle":"","parse-names":false,"suffix":""},{"dropping-particle":"","family":"Petersen","given":"Hannes","non-dropping-particle":"","parse-names":false,"suffix":""},{"dropping-particle":"","family":"Thorgeirsson","given":"Gudmundur","non-dropping-particle":"","parse-names":false,"suffix":""},{"dropping-particle":"","family":"Thorsteinsdottir","given":"Unnur","non-dropping-particle":"","parse-names":false,"suffix":""},{"dropping-particle":"","family":"Sulem","given":"Patrick","non-dropping-particle":"","parse-names":false,"suffix":""},{"dropping-particle":"","family":"Hinriksdottir","given":"Ingibjorg","non-dropping-particle":"","parse-names":false,"suffix":""},{"dropping-particle":"","family":"Jonsdottir","given":"Ingileif","non-dropping-particle":"","parse-names":false,"suffix":""},{"dropping-particle":"","family":"Gudbjartsson","given":"Daniel F.","non-dropping-particle":"","parse-names":false,"suffix":""},{"dropping-particle":"","family":"Stefansson","given":"Kari","non-dropping-particle":"","parse-names":false,"suffix":""}],"container-title":"Communications Biology","id":"ITEM-1","issue":"1","issued":{"date-parts":[["2021"]]},"title":"The genetic architecture of age-related hearing impairment revealed by genome-wide association analysis","type":"article-journal","volume":"4"}}],"schema":"https://github.com/citation-style-language/schema/raw/master/csl-citation.json"} </w:instrText>
      </w:r>
      <w:r w:rsidR="00E7390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25</w:t>
      </w:r>
      <w:r w:rsidR="00E7390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w:t>
      </w:r>
      <w:r w:rsidR="00856331" w:rsidRPr="00A422D0">
        <w:rPr>
          <w:rFonts w:ascii="Times New Roman" w:hAnsi="Times New Roman" w:cs="Times New Roman"/>
          <w:sz w:val="20"/>
          <w:szCs w:val="20"/>
          <w:lang w:val="en-US"/>
        </w:rPr>
        <w:t xml:space="preserve">Pure tone air conduction audiometric screening test was performed by trained staff using the AS608e audiometer (Interacoustics, Denmark). The audiometer delivers pure tones at 0.5, 1, 2, 4, 6 and 8 kHz at different intensity levels, usually starting at 20 dB HL and increased if necessary. For each individual and each ear, the lowest intensity of sound detection is defined as their hearing threshold at that frequency. The pure tone average (PTA) was defined as the average hearing </w:t>
      </w:r>
      <w:r w:rsidR="00856331" w:rsidRPr="00A422D0">
        <w:rPr>
          <w:rFonts w:ascii="Times New Roman" w:hAnsi="Times New Roman" w:cs="Times New Roman"/>
          <w:sz w:val="20"/>
          <w:szCs w:val="20"/>
          <w:lang w:val="en-US"/>
        </w:rPr>
        <w:lastRenderedPageBreak/>
        <w:t>threshold at 0.5, 1, 2 and 4 kHz (according to the WHO classification</w:t>
      </w:r>
      <w:r w:rsidR="00BB4B40">
        <w:rPr>
          <w:rFonts w:ascii="Times New Roman" w:hAnsi="Times New Roman" w:cs="Times New Roman"/>
          <w:sz w:val="20"/>
          <w:szCs w:val="20"/>
          <w:lang w:val="en-US"/>
        </w:rPr>
        <w:t>.</w:t>
      </w:r>
      <w:r w:rsidR="00BB4B4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{"citationID":"a1iifhvhfu","properties":{"formattedCitation":"{\\rtf \\super 28\\nosupersub{}}","plainCitation":"28","dontUpdate":true},"citationItems":[{"id":462,"uris":["http://zotero.org/users/local/0NZqn2Xy/items/JAWEQLVK"],"uri":["http://zotero.org/users/local/0NZqn2Xy/items/JAWEQLVK"],"itemData":{"id":462,"type":"post","title":"Global burden of hearing loss in the year 2000. World Heal. Organ. 1–30 (2000).","URL":"https://www.who.int/healthinfo/statistics/bod_hearingloss.pdf","author":[{"family":"Mathers","given":"C"},{"family":"Smith","given":"A"},{"family":"Concha","given":"M"}],"issued":{"date-parts":[["2000"]]}}}],"schema":"https://github.com/citation-style-language/schema/raw/master/csl-citation.json"} </w:instrText>
      </w:r>
      <w:r w:rsidR="00BB4B40">
        <w:rPr>
          <w:rFonts w:ascii="Times New Roman" w:hAnsi="Times New Roman" w:cs="Times New Roman"/>
          <w:sz w:val="20"/>
          <w:szCs w:val="20"/>
          <w:lang w:val="en-US"/>
        </w:rPr>
        <w:fldChar w:fldCharType="separate"/>
      </w:r>
      <w:r w:rsidR="00E73900" w:rsidRPr="00E73900">
        <w:rPr>
          <w:rFonts w:ascii="Times New Roman" w:hAnsi="Times New Roman" w:cs="Times New Roman"/>
          <w:noProof/>
          <w:sz w:val="20"/>
          <w:szCs w:val="24"/>
          <w:vertAlign w:val="superscript"/>
        </w:rPr>
        <w:t>29</w:t>
      </w:r>
      <w:r w:rsidR="00BB4B40">
        <w:rPr>
          <w:rFonts w:ascii="Times New Roman" w:hAnsi="Times New Roman" w:cs="Times New Roman"/>
          <w:sz w:val="20"/>
          <w:szCs w:val="20"/>
          <w:lang w:val="en-US"/>
        </w:rPr>
        <w:fldChar w:fldCharType="end"/>
      </w:r>
      <w:r w:rsidR="00856331" w:rsidRPr="00A422D0">
        <w:rPr>
          <w:rFonts w:ascii="Times New Roman" w:hAnsi="Times New Roman" w:cs="Times New Roman"/>
          <w:sz w:val="20"/>
          <w:szCs w:val="20"/>
          <w:lang w:val="en-US"/>
        </w:rPr>
        <w:t xml:space="preserve"> </w:t>
      </w:r>
      <w:r w:rsidR="002D0D05">
        <w:rPr>
          <w:rFonts w:ascii="Times New Roman" w:hAnsi="Times New Roman" w:cs="Times New Roman"/>
          <w:sz w:val="20"/>
          <w:szCs w:val="20"/>
          <w:lang w:val="en-US"/>
        </w:rPr>
        <w:t>We define PTA hearing impairment cases as those with PTA&gt;25, and hearing impairment at each frequency,</w:t>
      </w:r>
      <w:r w:rsidR="002D0D05" w:rsidRPr="00A26B94">
        <w:rPr>
          <w:rFonts w:ascii="Times New Roman" w:hAnsi="Times New Roman" w:cs="Times New Roman"/>
          <w:sz w:val="20"/>
          <w:szCs w:val="20"/>
          <w:lang w:val="en-US"/>
        </w:rPr>
        <w:t xml:space="preserve"> </w:t>
      </w:r>
      <w:r w:rsidR="002D0D05" w:rsidRPr="00A422D0">
        <w:rPr>
          <w:rFonts w:ascii="Times New Roman" w:hAnsi="Times New Roman" w:cs="Times New Roman"/>
          <w:sz w:val="20"/>
          <w:szCs w:val="20"/>
          <w:lang w:val="en-US"/>
        </w:rPr>
        <w:t>at 0.5, 1, 2, 4, 6 and 8 kHz</w:t>
      </w:r>
      <w:r w:rsidR="002D0D05">
        <w:rPr>
          <w:rFonts w:ascii="Times New Roman" w:hAnsi="Times New Roman" w:cs="Times New Roman"/>
          <w:sz w:val="20"/>
          <w:szCs w:val="20"/>
          <w:lang w:val="en-US"/>
        </w:rPr>
        <w:t>, was defined as those with hearing thresholds at the corresponding frequency &gt;25.</w:t>
      </w:r>
    </w:p>
    <w:p w14:paraId="7FBB94E4" w14:textId="54787E71" w:rsidR="00D77DD3" w:rsidRPr="00A422D0" w:rsidRDefault="00D77DD3" w:rsidP="00A56B49">
      <w:pPr>
        <w:pStyle w:val="Style2"/>
      </w:pPr>
      <w:bookmarkStart w:id="22" w:name="_Toc100246238"/>
      <w:r w:rsidRPr="00A422D0">
        <w:t>Spirometry</w:t>
      </w:r>
      <w:bookmarkEnd w:id="22"/>
    </w:p>
    <w:p w14:paraId="5A4BF8D8" w14:textId="6EAE1525" w:rsidR="00D77DD3" w:rsidRPr="00A422D0" w:rsidRDefault="00D77DD3"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Post-bronchodilator spirometry was performed using the EasyOne Pro equipment from ndd Medical Technologies in a standardized manner and following published guidelines.</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{"citationID":"a2jnqdlcvjp","properties":{"formattedCitation":"{\\rtf \\super 29\\nosupersub{}}","plainCitation":"29","dontUpdate":true},"citationItems":[{"id":337,"uris":["http://zotero.org/users/local/0NZqn2Xy/items/DNFE2LTE"],"uri":["http://zotero.org/users/local/0NZqn2Xy/items/DNFE2LTE"],"itemData":{"id":337,"type":"article-journal","title":"Standardization of Spirometry 2019 Update. An Official American Thoracic Society and European Respiratory Society Technical Statement","container-title":"American Journal of Respiratory and Critical Care Medicine","page":"e70-e88","volume":"200","issue":"8","source":"PubMed","abstract":"Background: Spirometry is the most common pulmonary function test. It is widely used in the assessment of lung function to provide objective information used in the diagnosis of lung diseases and monitoring lung health. In 2005, the American Thoracic Society and the European Respiratory Society jointly adopted technical standards for conducting spirometry. Improvements in instrumentation and computational capabilities, together with new research studies and enhanced quality assurance approaches, have led to the need to update the 2005 technical standards for spirometry to take full advantage of current technical capabilities.Methods: This spirometry technical standards document was developed by an international joint task force, appointed by the American Thoracic Society and the European Respiratory Society, with expertise in conducting and analyzing pulmonary function tests, laboratory quality assurance, and developing international standards. A comprehensive review of published evidence was performed. A patient survey was developed to capture patients' experiences.Results: Revisions to the 2005 technical standards for spirometry were made, including the addition of factors that were not previously considered. Evidence to support the revisions was cited when applicable. The experience and expertise of task force members were used to develop recommended best practices.Conclusions: Standards and consensus recommendations are presented for manufacturers, clinicians, operators, and researchers with the aims of increasing the accuracy, precision, and quality of spirometric measurements and improving the patient experience. A comprehensive guide to aid in the implementation of these standards was developed as an online supplement.","DOI":"10.1164/rccm.201908-1590ST","ISSN":"1535-4970","note":"PMID: 31613151\nPMCID: PMC6794117","journalAbbreviation":"Am J Respir Crit Care Med","language":"eng","author":[{"family":"Graham","given":"Brian L."},{"family":"Steenbruggen","given":"Irene"},{"family":"Miller","given":"Martin R."},{"family":"Barjaktarevic","given":"Igor Z."},{"family":"Cooper","given":"Brendan G."},{"family":"Hall","given":"Graham L."},{"family":"Hallstrand","given":"Teal S."},{"family":"Kaminsky","given":"David A."},{"family":"McCarthy","given":"Kevin"},{"family":"McCormack","given":"Meredith C."},{"family":"Oropez","given":"Cristine E."},{"family":"Rosenfeld","given":"Margaret"},{"family":"Stanojevic","given":"Sanja"},{"family":"Swanney","given":"Maureen P."},{"family":"Thompson","given":"Bruce R."}],"issued":{"date-parts":[["2019"]],"season":"15"}}}],"schema":"https://github.com/citation-style-language/schema/raw/master/csl-citation.json"} </w:instrText>
      </w:r>
      <w:r w:rsidRPr="00A422D0">
        <w:rPr>
          <w:rFonts w:ascii="Times New Roman" w:hAnsi="Times New Roman" w:cs="Times New Roman"/>
          <w:sz w:val="20"/>
          <w:szCs w:val="20"/>
          <w:lang w:val="en-US"/>
        </w:rPr>
        <w:fldChar w:fldCharType="separate"/>
      </w:r>
      <w:r w:rsidR="00E73900" w:rsidRPr="00E73900">
        <w:rPr>
          <w:rFonts w:ascii="Times New Roman" w:hAnsi="Times New Roman" w:cs="Times New Roman"/>
          <w:noProof/>
          <w:sz w:val="20"/>
          <w:szCs w:val="24"/>
          <w:vertAlign w:val="superscript"/>
        </w:rPr>
        <w:t>30</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Two different machines were used in the study. Albuterol was used for bronchodilation. </w:t>
      </w:r>
      <w:r w:rsidR="002D0D05">
        <w:rPr>
          <w:rFonts w:ascii="Times New Roman" w:hAnsi="Times New Roman" w:cs="Times New Roman"/>
          <w:sz w:val="20"/>
          <w:szCs w:val="20"/>
          <w:lang w:val="en-US"/>
        </w:rPr>
        <w:t xml:space="preserve">The measures from the spirometry used for the analyses were </w:t>
      </w:r>
      <w:r w:rsidR="002D0D05" w:rsidRPr="00E52C08">
        <w:rPr>
          <w:rFonts w:ascii="Times New Roman" w:hAnsi="Times New Roman" w:cs="Times New Roman"/>
          <w:sz w:val="20"/>
          <w:szCs w:val="20"/>
          <w:lang w:val="en-US"/>
        </w:rPr>
        <w:t xml:space="preserve">lower forced expiratory </w:t>
      </w:r>
      <w:r w:rsidR="002D0D05">
        <w:rPr>
          <w:rFonts w:ascii="Times New Roman" w:hAnsi="Times New Roman" w:cs="Times New Roman"/>
          <w:sz w:val="20"/>
          <w:szCs w:val="20"/>
          <w:lang w:val="en-US"/>
        </w:rPr>
        <w:t xml:space="preserve">volume in one second (FEV1), </w:t>
      </w:r>
      <w:r w:rsidR="002D0D05" w:rsidRPr="00E52C08">
        <w:rPr>
          <w:rFonts w:ascii="Times New Roman" w:hAnsi="Times New Roman" w:cs="Times New Roman"/>
          <w:sz w:val="20"/>
          <w:szCs w:val="20"/>
          <w:lang w:val="en-US"/>
        </w:rPr>
        <w:t>f</w:t>
      </w:r>
      <w:r w:rsidR="002D0D05">
        <w:rPr>
          <w:rFonts w:ascii="Times New Roman" w:hAnsi="Times New Roman" w:cs="Times New Roman"/>
          <w:sz w:val="20"/>
          <w:szCs w:val="20"/>
          <w:lang w:val="en-US"/>
        </w:rPr>
        <w:t>orced vital capacity (FVC) and the FEV1/FVC ratio</w:t>
      </w:r>
      <w:r w:rsidR="002D0D05" w:rsidRPr="00E52C08">
        <w:rPr>
          <w:rFonts w:ascii="Times New Roman" w:hAnsi="Times New Roman" w:cs="Times New Roman"/>
          <w:sz w:val="20"/>
          <w:szCs w:val="20"/>
          <w:lang w:val="en-US"/>
        </w:rPr>
        <w:t>.</w:t>
      </w:r>
    </w:p>
    <w:p w14:paraId="37F21193" w14:textId="48E6EFE9" w:rsidR="00D77DD3" w:rsidRPr="00A422D0" w:rsidRDefault="00D77DD3" w:rsidP="00A56B49">
      <w:pPr>
        <w:pStyle w:val="Style2"/>
      </w:pPr>
      <w:bookmarkStart w:id="23" w:name="_Toc100246239"/>
      <w:r w:rsidRPr="00A422D0">
        <w:t>Cardiopulmonary exercise test</w:t>
      </w:r>
      <w:bookmarkEnd w:id="23"/>
    </w:p>
    <w:p w14:paraId="5C990519" w14:textId="61EBBA0F" w:rsidR="00D77DD3" w:rsidRPr="00A422D0" w:rsidRDefault="00D77DD3"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Participants were tested on a cycle ergometer using an incremental ramp protocol in a standardized manner following published guidelines</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{"citationID":"a105o7ffo3h","properties":{"formattedCitation":"{\\rtf \\super 28,29\\nosupersub{}}","plainCitation":"28,29"},"citationItems":[{"id":333,"uris":["http://zotero.org/users/local/0NZqn2Xy/items/BEKLCKII"],"uri":["http://zotero.org/users/local/0NZqn2Xy/items/BEKLCKII"],"itemData":{"id":333,"type":"article-journal","title":"Clinician's Guide to cardiopulmonary exercise testing in adults: a scientific statement from the American Heart Association","container-title":"Circulation","page":"191-225","volume":"122","issue":"2","source":"PubMed","DOI":"10.1161/CIR.0b013e3181e52e69","ISSN":"1524-4539","note":"PMID: 20585013","shortTitle":"Clinician's Guide to cardiopulmonary exercise testing in adults","journalAbbreviation":"Circulation","language":"eng","author":[{"family":"Balady","given":"Gary J."},{"family":"Arena","given":"Ross"},{"family":"Sietsema","given":"Kathy"},{"family":"Myers","given":"Jonathan"},{"family":"Coke","given":"Lola"},{"family":"Fletcher","given":"Gerald F."},{"family":"Forman","given":"Daniel"},{"family":"Franklin","given":"Barry"},{"family":"Guazzi","given":"Marco"},{"family":"Gulati","given":"Martha"},{"family":"Keteyian","given":"Steven J."},{"family":"Lavie","given":"Carl J."},{"family":"Macko","given":"Richard"},{"family":"Mancini","given":"Donna"},{"family":"Milani","given":"Richard V."},{"literal":"American Heart Association Exercise, Cardiac Rehabilitation, and Prevention Committee of the Council on Clinical Cardiology"},{"literal":"Council on Epidemiology and Prevention"},{"literal":"Council on Peripheral Vascular Disease"},{"literal":"Interdisciplinary Council on Quality of Care and Outcomes Research"}],"issued":{"date-parts":[["2010",7,13]]}}},{"id":335,"uris":["http://zotero.org/users/local/0NZqn2Xy/items/ICTU7DMF"],"uri":["http://zotero.org/users/local/0NZqn2Xy/items/ICTU7DMF"],"itemData":{"id":335,"type":"article-journal","title":"Standards for the use of cardiopulmonary exercise testing for the functional evaluation of cardiac patients: a report from the Exercise Physiology Section of the European Association for Cardiovascular Prevention and Rehabilitation","container-title":"European Journal of Cardiovascular Prevention and Rehabilitation: Official Journal of the European Society of Cardiology, Working Groups on Epidemiology &amp; Prevention and Cardiac Rehabilitation and Exercise Physiology","page":"249-267","volume":"16","issue":"3","source":"PubMed","abstract":"Cardiopulmonary exercise testing (CPET) is a methodology that has profoundly affected the approach to patients' functional evaluation, linking performance and physiological parameters to the underlying metabolic substratum and providing highly reproducible exercise capacity descriptors. This study provides professionals with an up-to-date review of the rationale sustaining the use of CPET for functional evaluation of cardiac patients in both the clinical and research settings, describing parameters obtainable either from ramp incremental or step constant-power CPET and illustrating the wealth of information obtainable through an experienced use of this powerful tool. The choice of parameters to be measured will depend on the specific goals of functional evaluation in the individual patient, namely, exercise tolerance assessment, training prescription, treatment efficacy evaluation, and/or investigation of exercise-induced adaptations of the oxygen transport/utilization system. The full potentialities of CPET in the clinical and research setting still remain largely underused and strong efforts are recommended to promote a more widespread use of CPET in the functional evaluation of cardiac patients.","DOI":"10.1097/HJR.0b013e32832914c8","ISSN":"1741-8275","note":"PMID: 19440156","shortTitle":"Standards for the use of cardiopulmonary exercise testing for the functional evaluation of cardiac patients","journalAbbreviation":"Eur J Cardiovasc Prev Rehabil","language":"eng","author":[{"family":"Mezzani","given":"Alessandro"},{"family":"Agostoni","given":"Piergiuseppe"},{"family":"Cohen-Solal","given":"Alain"},{"family":"Corrà","given":"Ugo"},{"family":"Jegier","given":"Anna"},{"family":"Kouidi","given":"Evangelia"},{"family":"Mazic","given":"Sanja"},{"family":"Meurin","given":"Philippe"},{"family":"Piepoli","given":"Massimo"},{"family":"Simon","given":"Attila"},{"family":"Laethem","given":"Christophe Van"},{"family":"Vanhees","given":"Luc"}],"issued":{"date-parts":[["2009",6]]}}}],"schema":"https://github.com/citation-style-language/schema/raw/master/csl-citation.json"} </w:instrText>
      </w:r>
      <w:r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28,29</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Based on a preparation pilot trial of 100 healthy volunteers, we estimated participant workload using the Wasserman equation</w:t>
      </w:r>
      <w:r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{"citationID":"a1a8ga08kjo","properties":{"formattedCitation":"{\\rtf \\super 30\\nosupersub{}}","plainCitation":"30"},"citationItems":[{"id":332,"uris":["http://zotero.org/users/local/0NZqn2Xy/items/VJ6EQ8MW"],"uri":["http://zotero.org/users/local/0NZqn2Xy/items/VJ6EQ8MW"],"itemData":{"id":332,"type":"book","title":"Principles of exercise testing and interpretation","publisher":"Lippincott Williams and Wilkins","publisher-place":"Philadelphia","edition":"4th edn.","event-place":"Philadelphia","author":[{"family":"Wasserman","given":"K"},{"family":"Hansen","given":"JE"},{"family":"Sue","given":"D"},{"family":"Whipp","given":"BJ"},{"family":"Casaburi","given":"R"}],"issued":{"date-parts":[["2004"]]}}}],"schema":"https://github.com/citation-style-language/schema/raw/master/csl-citation.json"} </w:instrText>
      </w:r>
      <w:r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30</w:t>
      </w:r>
      <w:r w:rsidRPr="00A422D0">
        <w:rPr>
          <w:rFonts w:ascii="Times New Roman" w:hAnsi="Times New Roman" w:cs="Times New Roman"/>
          <w:sz w:val="20"/>
          <w:szCs w:val="20"/>
          <w:lang w:val="en-US"/>
        </w:rPr>
        <w:fldChar w:fldCharType="end"/>
      </w:r>
      <w:r w:rsidRPr="00A422D0">
        <w:rPr>
          <w:rFonts w:ascii="Times New Roman" w:hAnsi="Times New Roman" w:cs="Times New Roman"/>
          <w:sz w:val="20"/>
          <w:szCs w:val="20"/>
          <w:lang w:val="en-US"/>
        </w:rPr>
        <w:t xml:space="preserve"> (accounting for sex, height and weight) and multiplying the result by 1.33. We used three Jaeger Vyntus CPX instruments coupled with SentrySuite software for the study. Gas exchange and ventilatory variables were measured continuously as the subjects breathed into a two-way breathing mask that was individually fitted and leak tested. The gas analyzers used were volume- and gas calibrated for barometric pressure, temperature and humidity after each test. Blood pressure was measured every two minutes with a standard cuff sphygmomanometer. Electrocardiogram was obtained at rest in supine position prior to the test and continuously during the test. Oxygen haemoglobin saturation was monitored continuously with a pulse oxymeter.</w:t>
      </w:r>
    </w:p>
    <w:p w14:paraId="756581F8" w14:textId="77777777" w:rsidR="00D77DD3" w:rsidRPr="00A422D0" w:rsidRDefault="00D77DD3"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The test started after the bike has been fitted to the participant and breathing mask, electrocardiogram leads, sphygmomanometer and pulse oximeter connected. The test had four phases: 1) a two minute pre-exercise phase during which the participant rested on the bike and baseline parameters were collected, 2) a one minute warm-up phase without resistance, 3) the exercise phase which lasted on average 10:41 (± 2:27) minutes for women and 9:16 (± 1:47) minutes for men, and 4) a two minute post-exercise phase during which the participant recovered on the bike and post-exercise parameters were collected.</w:t>
      </w:r>
    </w:p>
    <w:p w14:paraId="4F62266B" w14:textId="470802C6" w:rsidR="00761D5B" w:rsidRDefault="00D77DD3"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In preparation for the test participants were asked to avoid heavy meals within 3 hours of testing, consumption of alcohol within 12 hours of testing, other vigorous physical exercise within 16 hours, wearing restricting clothing during the test and smoking within 3 hours of testing. </w:t>
      </w:r>
    </w:p>
    <w:p w14:paraId="195F471D" w14:textId="2A47F5C8" w:rsidR="002D0D05" w:rsidRDefault="002D0D05" w:rsidP="005F18E5">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The measures from the c</w:t>
      </w:r>
      <w:r w:rsidRPr="007768C6">
        <w:rPr>
          <w:rFonts w:ascii="Times New Roman" w:hAnsi="Times New Roman" w:cs="Times New Roman"/>
          <w:sz w:val="20"/>
          <w:szCs w:val="20"/>
          <w:lang w:val="en-US"/>
        </w:rPr>
        <w:t>ardiopulmonary exercise test</w:t>
      </w:r>
      <w:r>
        <w:rPr>
          <w:rFonts w:ascii="Times New Roman" w:hAnsi="Times New Roman" w:cs="Times New Roman"/>
          <w:sz w:val="20"/>
          <w:szCs w:val="20"/>
          <w:lang w:val="en-US"/>
        </w:rPr>
        <w:t xml:space="preserve"> used in the analyses were load</w:t>
      </w:r>
      <w:r w:rsidR="00D72734">
        <w:rPr>
          <w:rFonts w:ascii="Times New Roman" w:hAnsi="Times New Roman" w:cs="Times New Roman"/>
          <w:sz w:val="20"/>
          <w:szCs w:val="20"/>
          <w:lang w:val="en-US"/>
        </w:rPr>
        <w:t xml:space="preserve"> and </w:t>
      </w:r>
      <w:r w:rsidRPr="007768C6">
        <w:rPr>
          <w:rFonts w:ascii="Times New Roman" w:hAnsi="Times New Roman" w:cs="Times New Roman"/>
          <w:sz w:val="20"/>
          <w:szCs w:val="20"/>
          <w:lang w:val="en-US"/>
        </w:rPr>
        <w:t>VO2</w:t>
      </w:r>
      <w:r w:rsidRPr="007768C6">
        <w:rPr>
          <w:rFonts w:ascii="Times New Roman" w:hAnsi="Times New Roman" w:cs="Times New Roman"/>
          <w:sz w:val="20"/>
          <w:szCs w:val="20"/>
          <w:vertAlign w:val="subscript"/>
          <w:lang w:val="en-US"/>
        </w:rPr>
        <w:t>peak</w:t>
      </w:r>
      <w:r w:rsidR="00D72734">
        <w:rPr>
          <w:rFonts w:ascii="Times New Roman" w:hAnsi="Times New Roman" w:cs="Times New Roman"/>
          <w:sz w:val="20"/>
          <w:szCs w:val="20"/>
          <w:lang w:val="en-US"/>
        </w:rPr>
        <w:t>.</w:t>
      </w:r>
    </w:p>
    <w:p w14:paraId="07DFA4CD" w14:textId="2766B68D" w:rsidR="00D17A25" w:rsidRDefault="00D17A25" w:rsidP="00A56B49">
      <w:pPr>
        <w:pStyle w:val="Style2"/>
      </w:pPr>
      <w:bookmarkStart w:id="24" w:name="_Toc100246240"/>
      <w:r>
        <w:t>Cognitive</w:t>
      </w:r>
      <w:r w:rsidRPr="00A422D0">
        <w:t xml:space="preserve"> tests</w:t>
      </w:r>
      <w:bookmarkEnd w:id="24"/>
    </w:p>
    <w:p w14:paraId="0E60A6D8" w14:textId="35F70ABA" w:rsidR="00A56B49" w:rsidRDefault="00D17A25" w:rsidP="00A56B49">
      <w:pPr>
        <w:pStyle w:val="Style3"/>
      </w:pPr>
      <w:bookmarkStart w:id="25" w:name="_Toc100246241"/>
      <w:r w:rsidRPr="0084682A">
        <w:t>Digit Coding</w:t>
      </w:r>
      <w:bookmarkEnd w:id="25"/>
    </w:p>
    <w:p w14:paraId="29C1FB3B" w14:textId="20E35D6C" w:rsidR="00D17A25" w:rsidRPr="0084682A" w:rsidRDefault="00D17A25" w:rsidP="00D17A25">
      <w:pPr>
        <w:spacing w:line="360" w:lineRule="auto"/>
        <w:rPr>
          <w:rFonts w:ascii="Times New Roman" w:hAnsi="Times New Roman" w:cs="Times New Roman"/>
          <w:sz w:val="20"/>
          <w:szCs w:val="20"/>
        </w:rPr>
      </w:pPr>
      <w:r w:rsidRPr="0084682A">
        <w:rPr>
          <w:rFonts w:ascii="Times New Roman" w:hAnsi="Times New Roman" w:cs="Times New Roman"/>
          <w:sz w:val="20"/>
          <w:szCs w:val="20"/>
        </w:rPr>
        <w:t>The Coding</w:t>
      </w:r>
      <w:r>
        <w:rPr>
          <w:rFonts w:ascii="Times New Roman" w:hAnsi="Times New Roman" w:cs="Times New Roman"/>
          <w:sz w:val="20"/>
          <w:szCs w:val="20"/>
        </w:rPr>
        <w:t xml:space="preserve"> subtest</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{"citationID":"a282j25s7s8","properties":{"formattedCitation":"{\\rtf \\super 31\\nosupersub{}}","plainCitation":"31"},"citationItems":[{"id":"ITEM-1","uris":["http://www.mendeley.com/documents/?uuid=6765d895-331a-4c4e-9e75-b06159890f4c"],"uri":["http://www.mendeley.com/documents/?uuid=6765d895-331a-4c4e-9e75-b06159890f4c"],"itemData":{"DOI":"10.3389/fnagi.2017.00062","ISSN":"1663-4365","abstract":"Traditional neuropsychological measurement of cognitive processing speed with tasks such as the Symbol Search and Coding subsets of the WAIS-IV, consistently show decline with advancing age. This is potentially problematic with populations where deficits in motor performance are expected, i.e., in aging or stroke populations. Thus, the aim of the current study was to explore the contribution of hand motor speed to traditional paper-and-pencil measures of processing speed and to a simple computer-customized non-motor perception decision task, the Inspection Time (IT) task. Participants were 67 young university students aged between 18 and 29 (59 females), and 40 older adults aged between 40 and 81 (31 females) primarily with a similar education profile. As expected, results indicated that age group differences were highly significant on the motor dexterity, Symbol Search and Coding tasks. However, no significant differences or correlations were seen between age groups and the simple visual perception IT task. Furthermore, controlling for motor dexterity did not remove significant age-group differences on the paper-and-pencil measures. This demonstrates that although much of past research into cognitive decline with age is confounded by use of motor reaction times as the operational measure, significant age differences in cognitive processing also exist on more complex tasks. The implications of the results are crucial in the realm of aging research, and caution against the use of traditional WAIS tasks with a clinical population where motor speed may be compromised, as in stroke.","author":[{"dropping-particle":"","family":"Ebaid","given":"Deena","non-dropping-particle":"","parse-names":false,"suffix":""},{"dropping-particle":"","family":"Crewther","given":"Sheila G.","non-dropping-particle":"","parse-names":false,"suffix":""},{"dropping-particle":"","family":"MacCalman","given":"Kirsty","non-dropping-particle":"","parse-names":false,"suffix":""},{"dropping-particle":"","family":"Brown","given":"Alyse","non-dropping-particle":"","parse-names":false,"suffix":""},{"dropping-particle":"","family":"Crewther","given":"Daniel P.","non-dropping-particle":"","parse-names":false,"suffix":""}],"container-title":"Frontiers in Aging Neuroscience","id":"ITEM-1","issued":{"date-parts":[["2017"]]},"language":"eng","page":"62","title":"Cognitive Processing Speed across the Lifespan: Beyond the Influence of Motor Speed","type":"article-journal","volume":"9"}}],"schema":"https://github.com/citation-style-language/schema/raw/master/csl-citation.json"} </w:instrText>
      </w:r>
      <w:r>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31</w:t>
      </w:r>
      <w:r>
        <w:rPr>
          <w:rFonts w:ascii="Times New Roman" w:hAnsi="Times New Roman" w:cs="Times New Roman"/>
          <w:sz w:val="20"/>
          <w:szCs w:val="20"/>
        </w:rPr>
        <w:fldChar w:fldCharType="end"/>
      </w:r>
      <w:r>
        <w:rPr>
          <w:rFonts w:ascii="Times New Roman" w:hAnsi="Times New Roman" w:cs="Times New Roman"/>
          <w:sz w:val="20"/>
          <w:szCs w:val="20"/>
        </w:rPr>
        <w:t xml:space="preserve"> from</w:t>
      </w:r>
      <w:r w:rsidRPr="0084682A">
        <w:rPr>
          <w:rFonts w:ascii="Times New Roman" w:hAnsi="Times New Roman" w:cs="Times New Roman"/>
          <w:sz w:val="20"/>
          <w:szCs w:val="20"/>
        </w:rPr>
        <w:t xml:space="preserve"> the Wechsler Adult Int</w:t>
      </w:r>
      <w:r>
        <w:rPr>
          <w:rFonts w:ascii="Times New Roman" w:hAnsi="Times New Roman" w:cs="Times New Roman"/>
          <w:sz w:val="20"/>
          <w:szCs w:val="20"/>
        </w:rPr>
        <w:t xml:space="preserve">elligence Scale, fourth edition, </w:t>
      </w:r>
      <w:r w:rsidRPr="0084682A">
        <w:rPr>
          <w:rFonts w:ascii="Times New Roman" w:hAnsi="Times New Roman" w:cs="Times New Roman"/>
          <w:sz w:val="20"/>
          <w:szCs w:val="20"/>
        </w:rPr>
        <w:t xml:space="preserve">was administered, where participants were asked, using a specific key where symbols are paired with numbers, to correctly draw as many symbols as they can within a 120 second time limit. The number of correctly drawn symbols was recorded. </w:t>
      </w:r>
    </w:p>
    <w:p w14:paraId="749FD163" w14:textId="78B10C88" w:rsidR="00A56B49" w:rsidRDefault="00D17A25" w:rsidP="00A56B49">
      <w:pPr>
        <w:pStyle w:val="Style3"/>
      </w:pPr>
      <w:bookmarkStart w:id="26" w:name="_Toc100246242"/>
      <w:r w:rsidRPr="0084682A">
        <w:lastRenderedPageBreak/>
        <w:t>Letter and Category Fluency</w:t>
      </w:r>
      <w:bookmarkEnd w:id="26"/>
    </w:p>
    <w:p w14:paraId="11CFC71A" w14:textId="6247540A" w:rsidR="00D17A25" w:rsidRDefault="00D17A25" w:rsidP="00D17A25">
      <w:pPr>
        <w:spacing w:line="360" w:lineRule="auto"/>
        <w:rPr>
          <w:rFonts w:ascii="Times New Roman" w:hAnsi="Times New Roman" w:cs="Times New Roman"/>
          <w:sz w:val="20"/>
          <w:szCs w:val="20"/>
        </w:rPr>
      </w:pPr>
      <w:r w:rsidRPr="0084682A">
        <w:rPr>
          <w:rFonts w:ascii="Times New Roman" w:hAnsi="Times New Roman" w:cs="Times New Roman"/>
          <w:sz w:val="20"/>
          <w:szCs w:val="20"/>
        </w:rPr>
        <w:t>These tests have been described in a previous publication</w:t>
      </w:r>
      <w:r>
        <w:rPr>
          <w:rFonts w:ascii="Times New Roman" w:hAnsi="Times New Roman" w:cs="Times New Roman"/>
          <w:sz w:val="20"/>
          <w:szCs w:val="20"/>
        </w:rPr>
        <w:t>.</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{"citationID":"a2fbfcqq6t1","properties":{"formattedCitation":"{\\rtf \\super 32\\nosupersub{}}","plainCitation":"32"},"citationItems":[{"id":"ITEM-1","uris":["http://www.mendeley.com/documents/?uuid=8663adba-3e0f-4f62-96fa-d879726030f8"],"uri":["http://www.mendeley.com/documents/?uuid=8663adba-3e0f-4f62-96fa-d879726030f8"],"itemData":{"DOI":"10.1038/nature12818","ISSN":"1476-4687","abstract":"In a small fraction of patients with schizophrenia or autism, alleles of copy-number variants (CNVs) in their genomes are probably the strongest factors contributing to the pathogenesis of the disease. These CNVs may provide an entry point for investigations into the mechanisms of brain function and dysfunction alike. They are not fully penetrant and offer an opportunity to study their effects separate from that of manifest disease. Here we show in an Icelandic sample that a few of the CNVs clearly alter fecundity (measured as the number of children by age 45). Furthermore, we use various tests of cognitive function to demonstrate that control subjects carrying the CNVs perform at a level that is between that of schizophrenia patients and population controls. The CNVs do not all affect the same cognitive domains, hence the cognitive deficits that drive or accompany the pathogenesis vary from one CNV to another. Controls carrying the chromosome 15q11.2 deletion between breakpoints 1 and 2 (15q11.2(BP1-BP2) deletion) have a history of dyslexia and dyscalculia, even after adjusting for IQ in the analysis, and the CNV only confers modest effects on other cognitive traits. The 15q11.2(BP1-BP2) deletion affects brain structure in a pattern consistent with both that observed during first-episode psychosis in schizophrenia and that of structural correlates in dyslexia.","author":[{"dropping-particle":"","family":"Stefansson","given":"Hreinn","non-dropping-particle":"","parse-names":false,"suffix":""},{"dropping-particle":"","family":"Meyer-Lindenberg","given":"Andreas","non-dropping-particle":"","parse-names":false,"suffix":""},{"dropping-particle":"","family":"Steinberg","given":"Stacy","non-dropping-particle":"","parse-names":false,"suffix":""},{"dropping-particle":"","family":"Magnusdottir","given":"Brynja","non-dropping-particle":"","parse-names":false,"suffix":""},{"dropping-particle":"","family":"Morgen","given":"Katrin","non-dropping-particle":"","parse-names":false,"suffix":""},{"dropping-particle":"","family":"Arnarsdottir","given":"Sunna","non-dropping-particle":"","parse-names":false,"suffix":""},{"dropping-particle":"","family":"Bjornsdottir","given":"Gyda","non-dropping-particle":"","parse-names":false,"suffix":""},{"dropping-particle":"","family":"Walters","given":"G. Bragi","non-dropping-particle":"","parse-names":false,"suffix":""},{"dropping-particle":"","family":"Jonsdottir","given":"Gudrun A.","non-dropping-particle":"","parse-names":false,"suffix":""},{"dropping-particle":"","family":"Doyle","given":"Orla M.","non-dropping-particle":"","parse-names":false,"suffix":""},{"dropping-particle":"","family":"Tost","given":"Heike","non-dropping-particle":"","parse-names":false,"suffix":""},{"dropping-particle":"","family":"Grimm","given":"Oliver","non-dropping-particle":"","parse-names":false,"suffix":""},{"dropping-particle":"","family":"Kristjansdottir","given":"Solveig","non-dropping-particle":"","parse-names":false,"suffix":""},{"dropping-particle":"","family":"Snorrason","given":"Heimir","non-dropping-particle":"","parse-names":false,"suffix":""},{"dropping-particle":"","family":"Davidsdottir","given":"Solveig R.","non-dropping-particle":"","parse-names":false,"suffix":""},{"dropping-particle":"","family":"Gudmundsson","given":"Larus J.","non-dropping-particle":"","parse-names":false,"suffix":""},{"dropping-particle":"","family":"Jonsson","given":"Gudbjorn F.","non-dropping-particle":"","parse-names":false,"suffix":""},{"dropping-particle":"","family":"Stefansdottir","given":"Berglind","non-dropping-particle":"","parse-names":false,"suffix":""},{"dropping-particle":"","family":"Helgadottir","given":"Isafold","non-dropping-particle":"","parse-names":false,"suffix":""},{"dropping-particle":"","family":"Haraldsson","given":"Magnus","non-dropping-particle":"","parse-names":false,"suffix":""},{"dropping-particle":"","family":"Jonsdottir","given":"Birna","non-dropping-particle":"","parse-names":false,"suffix":""},{"dropping-particle":"","family":"Thygesen","given":"Johan H.","non-dropping-particle":"","parse-names":false,"suffix":""},{"dropping-particle":"","family":"Schwarz","given":"Adam J.","non-dropping-particle":"","parse-names":false,"suffix":""},{"dropping-particle":"","family":"Didriksen","given":"Michael","non-dropping-particle":"","parse-names":false,"suffix":""},{"dropping-particle":"","family":"Stensbøl","given":"Tine B.","non-dropping-particle":"","parse-names":false,"suffix":""},{"dropping-particle":"","family":"Brammer","given":"Michael","non-dropping-particle":"","parse-names":false,"suffix":""},{"dropping-particle":"","family":"Kapur","given":"Shitij","non-dropping-particle":"","parse-names":false,"suffix":""},{"dropping-particle":"","family":"Halldorsson","given":"Jonas G.","non-dropping-particle":"","parse-names":false,"suffix":""},{"dropping-particle":"","family":"Hreidarsson","given":"Stefan","non-dropping-particle":"","parse-names":false,"suffix":""},{"dropping-particle":"","family":"Saemundsen","given":"Evald","non-dropping-particle":"","parse-names":false,"suffix":""},{"dropping-particle":"","family":"Sigurdsson","given":"Engilbert","non-dropping-particle":"","parse-names":false,"suffix":""},{"dropping-particle":"","family":"Stefansson","given":"Kari","non-dropping-particle":"","parse-names":false,"suffix":""}],"container-title":"Nature","id":"ITEM-1","issue":"7483","issued":{"date-parts":[["2014","1"]]},"language":"eng","page":"361-366","title":"CNVs conferring risk of autism or schizophrenia affect cognition in controls","type":"article-journal","volume":"505"}}],"schema":"https://github.com/citation-style-language/schema/raw/master/csl-citation.json"} </w:instrText>
      </w:r>
      <w:r>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32</w:t>
      </w:r>
      <w:r>
        <w:rPr>
          <w:rFonts w:ascii="Times New Roman" w:hAnsi="Times New Roman" w:cs="Times New Roman"/>
          <w:sz w:val="20"/>
          <w:szCs w:val="20"/>
        </w:rPr>
        <w:fldChar w:fldCharType="end"/>
      </w:r>
      <w:r w:rsidRPr="0084682A">
        <w:rPr>
          <w:rFonts w:ascii="Times New Roman" w:hAnsi="Times New Roman" w:cs="Times New Roman"/>
          <w:sz w:val="20"/>
          <w:szCs w:val="20"/>
        </w:rPr>
        <w:t xml:space="preserve"> In short, participants were asked to name as many words as they could in one minute, either starting with a certain letter (two attempts, S and H, Letter Fluency</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{"citationID":"a1hdh7e03g7","properties":{"formattedCitation":"{\\rtf \\super 35\\nosupersub{}}","plainCitation":"35","dontUpdate":true},"citationItems":[{"id":451,"uris":["http://zotero.org/users/local/0NZqn2Xy/items/6IKXUNYQ"],"uri":["http://zotero.org/users/local/0NZqn2Xy/items/6IKXUNYQ"],"itemData":{"id":451,"type":"article-journal","title":"Benton Controlled Oral Word Association Test: reliability and updated norms","container-title":"Archives of Clinical Neuropsychology: The Official Journal of the National Academy of Neuropsychologists","page":"329-338","volume":"11","issue":"4","source":"PubMed","abstract":"The aim of this paper is to update the over 20-year-old normative data for the Benton Controlled Word Association (COWA) Test. In a sample of 360 normal volunteers, the age ranged between 16-70 years, and the educational level ranged from 7-22 years. Care was taken to ensure that the population was heterogeneous, yet the two stratifications of gender, four age, and three educational groups led to 24 cells with 15 individuals in each. Test-retest reliability was established by testing 30% of the sample after a 6-month delay, which represents a typical follow up duration between testings in a clinical setting. The two forms of the COWA revealed significant test-retest reliability. Generally, our updated values fall above the original normative values, which were derived from a less well-educated and rural sample. No major gender or age trends were noted, but the COWA test performances were influenced by education, i.e., as the level of education increased, the performance on the COWA increased. The only gender differences that were found were for the women in the highest educational group ( &gt; 16 years), who performed significantly better that men in the highest educational group. An error analysis of repetitions or perseverations is provided, with cut-off scores according to age levels. Finally, the updated COWA norms are compared to the original norms as well as to other measures of word fluency.","ISSN":"0887-6177","note":"PMID: 14588937","shortTitle":"Benton Controlled Oral Word Association Test","journalAbbreviation":"Arch Clin Neuropsychol","language":"eng","author":[{"family":"Ruff","given":"R. M."},{"family":"Light","given":"R. H."},{"family":"Parker","given":"S. B."},{"family":"Levin","given":"H. S."}],"issued":{"date-parts":[["1996"]]}}}],"schema":"https://github.com/citation-style-language/schema/raw/master/csl-citation.json"} </w:instrText>
      </w:r>
      <w:r>
        <w:rPr>
          <w:rFonts w:ascii="Times New Roman" w:hAnsi="Times New Roman" w:cs="Times New Roman"/>
          <w:sz w:val="20"/>
          <w:szCs w:val="20"/>
        </w:rPr>
        <w:fldChar w:fldCharType="separate"/>
      </w:r>
      <w:r w:rsidR="00E73900" w:rsidRPr="00E73900">
        <w:rPr>
          <w:rFonts w:ascii="Times New Roman" w:hAnsi="Times New Roman" w:cs="Times New Roman"/>
          <w:noProof/>
          <w:sz w:val="20"/>
          <w:szCs w:val="24"/>
          <w:vertAlign w:val="superscript"/>
        </w:rPr>
        <w:t>36</w:t>
      </w:r>
      <w:r>
        <w:rPr>
          <w:rFonts w:ascii="Times New Roman" w:hAnsi="Times New Roman" w:cs="Times New Roman"/>
          <w:sz w:val="20"/>
          <w:szCs w:val="20"/>
        </w:rPr>
        <w:fldChar w:fldCharType="end"/>
      </w:r>
      <w:r w:rsidRPr="0084682A">
        <w:rPr>
          <w:rFonts w:ascii="Times New Roman" w:hAnsi="Times New Roman" w:cs="Times New Roman"/>
          <w:sz w:val="20"/>
          <w:szCs w:val="20"/>
        </w:rPr>
        <w:t>) or a part of a certain semantic category (i.e. animals, Category Fluency</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{"citationID":"a1ihvspcrp2","properties":{"formattedCitation":"{\\rtf \\super 36\\nosupersub{}}","plainCitation":"36","dontUpdate":true},"citationItems":[{"id":"ITEM-1","uris":["http://www.mendeley.com/documents/?uuid=126b4734-a391-49a5-b49f-15682e711e52"],"uri":["http://www.mendeley.com/documents/?uuid=126b4734-a391-49a5-b49f-15682e711e52"],"itemData":{"DOI":"10.1212/wnl.39.9.1159","ISSN":"0028-3878","abstract":"The Consortium to Establish a Registry for Alzheimer's Disease (CERAD) has developed brief, comprehensive, and reliable batteries of clinical and neuropsychological tests for assessment of patients with the clinical diagnosis of Alzheimer's disease (AD). We administered these batteries in a standardized manner to more than 350 subjects with a diagnosis of AD and 275 control subjects who were enrolled in a nationwide registry by a consortium of 16 university medical centers. The tests selected for this study measured the primary cognitive manifestations of AD across a range of severity of the disorder, and discriminated between normal subjects and those with mild and moderate dementia. The batteries also detected deterioration of language, memory, praxis, and general intellectual status in subjects returning for reassessment 1 year later. Interrater and test-retest reliabilities were substantial. Long-term observations of this cohort are in progress in an effort to validate the clinical and neuropsychological assessments and to confirm the diagnosis by postmortem examinations. Although information on validation is limited thus far, the CERAD batteries appear to fill a need for a standardized, easily administered, and reliable instrument for evaluating persons with AD in multicenter research studies as well as in clinical practice.","author":[{"dropping-particle":"","family":"Morris","given":"J. C.","non-dropping-particle":"","parse-names":false,"suffix":""},{"dropping-particle":"","family":"Heyman","given":"A.","non-dropping-particle":"","parse-names":false,"suffix":""},{"dropping-particle":"","family":"Mohs","given":"R. C.","non-dropping-particle":"","parse-names":false,"suffix":""},{"dropping-particle":"","family":"Hughes","given":"J. P.","non-dropping-particle":"","parse-names":false,"suffix":""},{"dropping-particle":"","family":"Belle","given":"G.","non-dropping-particle":"van","parse-names":false,"suffix":""},{"dropping-particle":"","family":"Fillenbaum","given":"G.","non-dropping-particle":"","parse-names":false,"suffix":""},{"dropping-particle":"","family":"Mellits","given":"E. D.","non-dropping-particle":"","parse-names":false,"suffix":""},{"dropping-particle":"","family":"Clark","given":"C.","non-dropping-particle":"","parse-names":false,"suffix":""}],"container-title":"Neurology","id":"ITEM-1","issue":"9","issued":{"date-parts":[["1989","9"]]},"language":"eng","page":"1159-1165","title":"The Consortium to Establish a Registry for Alzheimer's Disease (CERAD). Part I. Clinical and neuropsychological assessment of Alzheimer's disease","type":"article-journal","volume":"39"}}],"schema":"https://github.com/citation-style-language/schema/raw/master/csl-citation.json"} </w:instrText>
      </w:r>
      <w:r>
        <w:rPr>
          <w:rFonts w:ascii="Times New Roman" w:hAnsi="Times New Roman" w:cs="Times New Roman"/>
          <w:sz w:val="20"/>
          <w:szCs w:val="20"/>
        </w:rPr>
        <w:fldChar w:fldCharType="separate"/>
      </w:r>
      <w:r w:rsidR="00E73900" w:rsidRPr="00E73900">
        <w:rPr>
          <w:rFonts w:ascii="Times New Roman" w:hAnsi="Times New Roman" w:cs="Times New Roman"/>
          <w:noProof/>
          <w:sz w:val="20"/>
          <w:szCs w:val="24"/>
          <w:vertAlign w:val="superscript"/>
        </w:rPr>
        <w:t>37</w:t>
      </w:r>
      <w:r>
        <w:rPr>
          <w:rFonts w:ascii="Times New Roman" w:hAnsi="Times New Roman" w:cs="Times New Roman"/>
          <w:sz w:val="20"/>
          <w:szCs w:val="20"/>
        </w:rPr>
        <w:fldChar w:fldCharType="end"/>
      </w:r>
      <w:r w:rsidRPr="0084682A">
        <w:rPr>
          <w:rFonts w:ascii="Times New Roman" w:hAnsi="Times New Roman" w:cs="Times New Roman"/>
          <w:sz w:val="20"/>
          <w:szCs w:val="20"/>
        </w:rPr>
        <w:t xml:space="preserve">). The total number of words named for both letters was used as an outcome measure of Letter Fluency, and the total number of animals named was used as an outcome for Category Fluency. </w:t>
      </w:r>
    </w:p>
    <w:p w14:paraId="5BE628FC" w14:textId="77777777" w:rsidR="0083271F" w:rsidRDefault="0083271F" w:rsidP="0083271F">
      <w:pPr>
        <w:pStyle w:val="Style3"/>
      </w:pPr>
      <w:bookmarkStart w:id="27" w:name="_Toc100246243"/>
      <w:r w:rsidRPr="0084682A">
        <w:t>Logical Memory</w:t>
      </w:r>
      <w:bookmarkEnd w:id="27"/>
    </w:p>
    <w:p w14:paraId="207408B1" w14:textId="38F66AB8" w:rsidR="0083271F" w:rsidRPr="0084682A" w:rsidRDefault="0083271F" w:rsidP="00D17A25">
      <w:pPr>
        <w:spacing w:line="360" w:lineRule="auto"/>
        <w:rPr>
          <w:rFonts w:ascii="Times New Roman" w:hAnsi="Times New Roman" w:cs="Times New Roman"/>
          <w:sz w:val="20"/>
          <w:szCs w:val="20"/>
        </w:rPr>
      </w:pPr>
      <w:r w:rsidRPr="0084682A">
        <w:rPr>
          <w:rFonts w:ascii="Times New Roman" w:hAnsi="Times New Roman" w:cs="Times New Roman"/>
          <w:sz w:val="20"/>
          <w:szCs w:val="20"/>
        </w:rPr>
        <w:t>Memory was assessed using the Logical Memory (LM) subtest</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{"citationID":"ajaqjepbrs","properties":{"formattedCitation":"{\\rtf \\super 32,35\\nosupersub{}}","plainCitation":"32,35"},"citationItems":[{"id":460,"uris":["http://zotero.org/users/local/0NZqn2Xy/items/KFFPAAW5"],"uri":["http://zotero.org/users/local/0NZqn2Xy/items/KFFPAAW5"],"itemData":{"id":460,"type":"article-journal","title":"WMS-III Logical Memory performance after a two-week delay in temporal lobe epilepsy and control groups","container-title":"Journal of Clinical and Experimental Neuropsychology","page":"1435-1443","volume":"28","issue":"8","source":"PubMed","abstract":"Conventional memory assessment may fail to identify memory dysfunction that is characterized by intact recall for a relatively brief period but rapid forgetting thereafter. This study assessed immediate memory and retention after 30-minute and two-week delays in a control group (n = 25) and a group of individuals with temporal lobe epilepsy (TLE, n = 25). For raw free recall, thematic unit, and recognition memory scores from the Wechsler Memory Scale-3rd ed. (WMS-III) Logical Memory (LM) subtest, there were no group x trial interactions and the TLE group performed significantly worse than the controls on all trials. At the individual level, none of the patients (0%) demonstrated isolated free recall impairment at the two-week delay when raw scores were analyzed, and one patient (4%) but also five controls (20%) did so when percent retention scores were examined. In summary, TLE patients did not demonstrate disproportionate forgetting over two weeks on a widely used story memory test.","DOI":"10.1080/13803390500434367","ISSN":"1380-3395","note":"PMID: 17050268\nPMCID: PMC1626652","journalAbbreviation":"J Clin Exp Neuropsychol","language":"eng","author":[{"family":"Bell","given":"Brian D."}],"issued":{"date-parts":[["2006",11]]}}},{"id":"ITEM-2","uris":["http://www.mendeley.com/documents/?uuid=8663adba-3e0f-4f62-96fa-d879726030f8"],"uri":["http://www.mendeley.com/documents/?uuid=8663adba-3e0f-4f62-96fa-d879726030f8"],"itemData":{"DOI":"10.1038/nature12818","ISSN":"1476-4687","abstract":"In a small fraction of patients with schizophrenia or autism, alleles of copy-number variants (CNVs) in their genomes are probably the strongest factors contributing to the pathogenesis of the disease. These CNVs may provide an entry point for investigations into the mechanisms of brain function and dysfunction alike. They are not fully penetrant and offer an opportunity to study their effects separate from that of manifest disease. Here we show in an Icelandic sample that a few of the CNVs clearly alter fecundity (measured as the number of children by age 45). Furthermore, we use various tests of cognitive function to demonstrate that control subjects carrying the CNVs perform at a level that is between that of schizophrenia patients and population controls. The CNVs do not all affect the same cognitive domains, hence the cognitive deficits that drive or accompany the pathogenesis vary from one CNV to another. Controls carrying the chromosome 15q11.2 deletion between breakpoints 1 and 2 (15q11.2(BP1-BP2) deletion) have a history of dyslexia and dyscalculia, even after adjusting for IQ in the analysis, and the CNV only confers modest effects on other cognitive traits. The 15q11.2(BP1-BP2) deletion affects brain structure in a pattern consistent with both that observed during first-episode psychosis in schizophrenia and that of structural correlates in dyslexia.","author":[{"dropping-particle":"","family":"Stefansson","given":"Hreinn","non-dropping-particle":"","parse-names":false,"suffix":""},{"dropping-particle":"","family":"Meyer-Lindenberg","given":"Andreas","non-dropping-particle":"","parse-names":false,"suffix":""},{"dropping-particle":"","family":"Steinberg","given":"Stacy","non-dropping-particle":"","parse-names":false,"suffix":""},{"dropping-particle":"","family":"Magnusdottir","given":"Brynja","non-dropping-particle":"","parse-names":false,"suffix":""},{"dropping-particle":"","family":"Morgen","given":"Katrin","non-dropping-particle":"","parse-names":false,"suffix":""},{"dropping-particle":"","family":"Arnarsdottir","given":"Sunna","non-dropping-particle":"","parse-names":false,"suffix":""},{"dropping-particle":"","family":"Bjornsdottir","given":"Gyda","non-dropping-particle":"","parse-names":false,"suffix":""},{"dropping-particle":"","family":"Walters","given":"G. Bragi","non-dropping-particle":"","parse-names":false,"suffix":""},{"dropping-particle":"","family":"Jonsdottir","given":"Gudrun A.","non-dropping-particle":"","parse-names":false,"suffix":""},{"dropping-particle":"","family":"Doyle","given":"Orla M.","non-dropping-particle":"","parse-names":false,"suffix":""},{"dropping-particle":"","family":"Tost","given":"Heike","non-dropping-particle":"","parse-names":false,"suffix":""},{"dropping-particle":"","family":"Grimm","given":"Oliver","non-dropping-particle":"","parse-names":false,"suffix":""},{"dropping-particle":"","family":"Kristjansdottir","given":"Solveig","non-dropping-particle":"","parse-names":false,"suffix":""},{"dropping-particle":"","family":"Snorrason","given":"Heimir","non-dropping-particle":"","parse-names":false,"suffix":""},{"dropping-particle":"","family":"Davidsdottir","given":"Solveig R.","non-dropping-particle":"","parse-names":false,"suffix":""},{"dropping-particle":"","family":"Gudmundsson","given":"Larus J.","non-dropping-particle":"","parse-names":false,"suffix":""},{"dropping-particle":"","family":"Jonsson","given":"Gudbjorn F.","non-dropping-particle":"","parse-names":false,"suffix":""},{"dropping-particle":"","family":"Stefansdottir","given":"Berglind","non-dropping-particle":"","parse-names":false,"suffix":""},{"dropping-particle":"","family":"Helgadottir","given":"Isafold","non-dropping-particle":"","parse-names":false,"suffix":""},{"dropping-particle":"","family":"Haraldsson","given":"Magnus","non-dropping-particle":"","parse-names":false,"suffix":""},{"dropping-particle":"","family":"Jonsdottir","given":"Birna","non-dropping-particle":"","parse-names":false,"suffix":""},{"dropping-particle":"","family":"Thygesen","given":"Johan H.","non-dropping-particle":"","parse-names":false,"suffix":""},{"dropping-particle":"","family":"Schwarz","given":"Adam J.","non-dropping-particle":"","parse-names":false,"suffix":""},{"dropping-particle":"","family":"Didriksen","given":"Michael","non-dropping-particle":"","parse-names":false,"suffix":""},{"dropping-particle":"","family":"Stensbøl","given":"Tine B.","non-dropping-particle":"","parse-names":false,"suffix":""},{"dropping-particle":"","family":"Brammer","given":"Michael","non-dropping-particle":"","parse-names":false,"suffix":""},{"dropping-particle":"","family":"Kapur","given":"Shitij","non-dropping-particle":"","parse-names":false,"suffix":""},{"dropping-particle":"","family":"Halldorsson","given":"Jonas G.","non-dropping-particle":"","parse-names":false,"suffix":""},{"dropping-particle":"","family":"Hreidarsson","given":"Stefan","non-dropping-particle":"","parse-names":false,"suffix":""},{"dropping-particle":"","family":"Saemundsen","given":"Evald","non-dropping-particle":"","parse-names":false,"suffix":""},{"dropping-particle":"","family":"Sigurdsson","given":"Engilbert","non-dropping-particle":"","parse-names":false,"suffix":""},{"dropping-particle":"","family":"Stefansson","given":"Kari","non-dropping-particle":"","parse-names":false,"suffix":""}],"container-title":"Nature","id":"ITEM-2","issue":"7483","issued":{"date-parts":[["2014","1"]]},"language":"eng","page":"361-366","title":"CNVs conferring risk of autism or schizophrenia affect cognition in controls","type":"article-journal","volume":"505"}}],"schema":"https://github.com/citation-style-language/schema/raw/master/csl-citation.json"} </w:instrText>
      </w:r>
      <w:r>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32,35</w:t>
      </w:r>
      <w:r>
        <w:rPr>
          <w:rFonts w:ascii="Times New Roman" w:hAnsi="Times New Roman" w:cs="Times New Roman"/>
          <w:sz w:val="20"/>
          <w:szCs w:val="20"/>
        </w:rPr>
        <w:fldChar w:fldCharType="end"/>
      </w:r>
      <w:r w:rsidRPr="0084682A">
        <w:rPr>
          <w:rFonts w:ascii="Times New Roman" w:hAnsi="Times New Roman" w:cs="Times New Roman"/>
          <w:sz w:val="20"/>
          <w:szCs w:val="20"/>
          <w:vertAlign w:val="superscript"/>
        </w:rPr>
        <w:t xml:space="preserve"> </w:t>
      </w:r>
      <w:r>
        <w:rPr>
          <w:rFonts w:ascii="Times New Roman" w:hAnsi="Times New Roman" w:cs="Times New Roman"/>
          <w:sz w:val="20"/>
          <w:szCs w:val="20"/>
        </w:rPr>
        <w:t>from</w:t>
      </w:r>
      <w:r w:rsidRPr="0084682A">
        <w:rPr>
          <w:rFonts w:ascii="Times New Roman" w:hAnsi="Times New Roman" w:cs="Times New Roman"/>
          <w:sz w:val="20"/>
          <w:szCs w:val="20"/>
        </w:rPr>
        <w:t xml:space="preserve"> </w:t>
      </w:r>
      <w:r w:rsidR="0008294F" w:rsidRPr="0084682A">
        <w:rPr>
          <w:rFonts w:ascii="Times New Roman" w:hAnsi="Times New Roman" w:cs="Times New Roman"/>
          <w:sz w:val="20"/>
          <w:szCs w:val="20"/>
        </w:rPr>
        <w:t>Wechsle</w:t>
      </w:r>
      <w:r w:rsidR="0008294F">
        <w:rPr>
          <w:rFonts w:ascii="Times New Roman" w:hAnsi="Times New Roman" w:cs="Times New Roman"/>
          <w:sz w:val="20"/>
          <w:szCs w:val="20"/>
        </w:rPr>
        <w:t>r Memory Scale, third edition</w:t>
      </w:r>
      <w:r w:rsidR="0008294F" w:rsidRPr="0084682A">
        <w:rPr>
          <w:rFonts w:ascii="Times New Roman" w:hAnsi="Times New Roman" w:cs="Times New Roman"/>
          <w:sz w:val="20"/>
          <w:szCs w:val="20"/>
        </w:rPr>
        <w:t xml:space="preserve">. </w:t>
      </w:r>
      <w:r w:rsidR="0008294F">
        <w:rPr>
          <w:rFonts w:ascii="Times New Roman" w:hAnsi="Times New Roman" w:cs="Times New Roman"/>
          <w:sz w:val="20"/>
          <w:szCs w:val="20"/>
        </w:rPr>
        <w:t xml:space="preserve">In brief, short stories were read to the participants and the participants subsequently asked to freely recall as much as they could from the stories, both immediately </w:t>
      </w:r>
      <w:r w:rsidR="0008294F" w:rsidRPr="0084682A">
        <w:rPr>
          <w:rFonts w:ascii="Times New Roman" w:hAnsi="Times New Roman" w:cs="Times New Roman"/>
          <w:sz w:val="20"/>
          <w:szCs w:val="20"/>
        </w:rPr>
        <w:t>(LM-I Recall Score</w:t>
      </w:r>
      <w:r w:rsidR="0008294F">
        <w:rPr>
          <w:rFonts w:ascii="Times New Roman" w:hAnsi="Times New Roman" w:cs="Times New Roman"/>
          <w:sz w:val="20"/>
          <w:szCs w:val="20"/>
        </w:rPr>
        <w:t>)) or after a 2</w:t>
      </w:r>
      <w:r w:rsidR="0008294F" w:rsidRPr="0084682A">
        <w:rPr>
          <w:rFonts w:ascii="Times New Roman" w:hAnsi="Times New Roman" w:cs="Times New Roman"/>
          <w:sz w:val="20"/>
          <w:szCs w:val="20"/>
        </w:rPr>
        <w:t>0-minute delay (LM-II Recall Score)</w:t>
      </w:r>
      <w:r w:rsidR="0008294F">
        <w:rPr>
          <w:rFonts w:ascii="Times New Roman" w:hAnsi="Times New Roman" w:cs="Times New Roman"/>
          <w:sz w:val="20"/>
          <w:szCs w:val="20"/>
        </w:rPr>
        <w:t>. Following the delayed free recall, participants were also asked yes-or-no questions form the stories</w:t>
      </w:r>
      <w:r w:rsidR="0008294F" w:rsidRPr="0084682A">
        <w:rPr>
          <w:rFonts w:ascii="Times New Roman" w:hAnsi="Times New Roman" w:cs="Times New Roman"/>
          <w:sz w:val="20"/>
          <w:szCs w:val="20"/>
        </w:rPr>
        <w:t xml:space="preserve"> (LM-II Recognition Score).</w:t>
      </w:r>
      <w:r w:rsidR="0008294F">
        <w:rPr>
          <w:rFonts w:ascii="Times New Roman" w:hAnsi="Times New Roman" w:cs="Times New Roman"/>
          <w:sz w:val="20"/>
          <w:szCs w:val="20"/>
        </w:rPr>
        <w:t xml:space="preserve"> The LM test was added to the dHS for the Covid </w:t>
      </w:r>
      <w:r w:rsidR="00335D0D">
        <w:rPr>
          <w:rFonts w:ascii="Times New Roman" w:hAnsi="Times New Roman" w:cs="Times New Roman"/>
          <w:sz w:val="20"/>
          <w:szCs w:val="20"/>
        </w:rPr>
        <w:t>S</w:t>
      </w:r>
      <w:r w:rsidR="0008294F">
        <w:rPr>
          <w:rFonts w:ascii="Times New Roman" w:hAnsi="Times New Roman" w:cs="Times New Roman"/>
          <w:sz w:val="20"/>
          <w:szCs w:val="20"/>
        </w:rPr>
        <w:t>tudy and thus only contemporary controls were available for comparison between cases and controls.</w:t>
      </w:r>
    </w:p>
    <w:p w14:paraId="36136949" w14:textId="4F8AC801" w:rsidR="00A56B49" w:rsidRDefault="00D17A25" w:rsidP="00A56B49">
      <w:pPr>
        <w:pStyle w:val="Style3"/>
      </w:pPr>
      <w:bookmarkStart w:id="28" w:name="_Toc100246244"/>
      <w:r w:rsidRPr="0084682A">
        <w:t>Spatial Working Memory</w:t>
      </w:r>
      <w:bookmarkEnd w:id="28"/>
    </w:p>
    <w:p w14:paraId="6B15DA8D" w14:textId="3C9CE8B2" w:rsidR="00D17A25" w:rsidRPr="0084682A" w:rsidRDefault="00D17A25" w:rsidP="00D17A25">
      <w:pPr>
        <w:spacing w:line="360" w:lineRule="auto"/>
        <w:rPr>
          <w:rFonts w:ascii="Times New Roman" w:hAnsi="Times New Roman" w:cs="Times New Roman"/>
          <w:sz w:val="20"/>
          <w:szCs w:val="20"/>
        </w:rPr>
      </w:pPr>
      <w:r w:rsidRPr="0084682A">
        <w:rPr>
          <w:rFonts w:ascii="Times New Roman" w:hAnsi="Times New Roman" w:cs="Times New Roman"/>
          <w:sz w:val="20"/>
          <w:szCs w:val="20"/>
        </w:rPr>
        <w:t>Spatial Working Memory (SWM)</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{"citationID":"a2fcqj99t3c","properties":{"formattedCitation":"{\\rtf \\super 38\\nosupersub{}}","plainCitation":"38","dontUpdate":true},"citationItems":[{"id":"ITEM-1","uris":["http://www.mendeley.com/documents/?uuid=5be9d2b4-3cc4-4c36-9b86-218fcc8c9706"],"uri":["http://www.mendeley.com/documents/?uuid=5be9d2b4-3cc4-4c36-9b86-218fcc8c9706"],"itemData":{"DOI":"10.1016/0028-3932(90)90137-d","ISSN":"0028-3932","abstract":"Twenty-six patients with unilateral or bilateral frontal lobe excisions were compared with age and IQ matched controls on a computerized battery of tests of spatial working memory and planning. A computerized test of spatial short term memory capacity revealed no significant impairment in the patients' ability to execute a given sequence of visuo-spatial moves. In contrast, a paradigm designed to assess spatial working memory capacity, revealed significant impairments in the patient group in both possible types of search errors. Furthermore, additional analysis showed that the frontal lobe patients were less efficient than controls in their usage of a strategy for improving performance on this test. Higher level planning was also investigated using a test based on the \"Tower of London\" problem [SHALLICE, T. Phil. Trans. R. Soc. Lond. B. 298, 199-209, 1982]. Patients with frontal lobe damage required more moves to complete the problems and a yoked motor control condition revealed that movement times were significantly increased in this group. Taking both of these factors into consideration, initial thinking (planning) time was unimpaired in the patient group although the thinking time subsequent to the first move was significantly prolonged. These data are compared to previous findings from patients with idiopathic Parkinson's disease and are discussed in terms of an impairment of higher cognitive functioning following frontal lobe damage.","author":[{"dropping-particle":"","family":"Owen","given":"A. M.","non-dropping-particle":"","parse-names":false,"suffix":""},{"dropping-particle":"","family":"Downes","given":"J. J.","non-dropping-particle":"","parse-names":false,"suffix":""},{"dropping-particle":"","family":"Sahakian","given":"B. J.","non-dropping-particle":"","parse-names":false,"suffix":""},{"dropping-particle":"","family":"Polkey","given":"C. E.","non-dropping-particle":"","parse-names":false,"suffix":""},{"dropping-particle":"","family":"Robbins","given":"T. W.","non-dropping-particle":"","parse-names":false,"suffix":""}],"container-title":"Neuropsychologia","id":"ITEM-1","issue":"10","issued":{"date-parts":[["1990"]]},"language":"eng","page":"1021-1034","title":"Planning and spatial working memory following frontal lobe lesions in man","type":"article-journal","volume":"28"}}],"schema":"https://github.com/citation-style-language/schema/raw/master/csl-citation.json"} </w:instrText>
      </w:r>
      <w:r>
        <w:rPr>
          <w:rFonts w:ascii="Times New Roman" w:hAnsi="Times New Roman" w:cs="Times New Roman"/>
          <w:sz w:val="20"/>
          <w:szCs w:val="20"/>
        </w:rPr>
        <w:fldChar w:fldCharType="separate"/>
      </w:r>
      <w:r w:rsidR="00E73900" w:rsidRPr="00E73900">
        <w:rPr>
          <w:rFonts w:ascii="Times New Roman" w:hAnsi="Times New Roman" w:cs="Times New Roman"/>
          <w:noProof/>
          <w:sz w:val="20"/>
          <w:szCs w:val="24"/>
          <w:vertAlign w:val="superscript"/>
        </w:rPr>
        <w:t>39</w:t>
      </w:r>
      <w:r>
        <w:rPr>
          <w:rFonts w:ascii="Times New Roman" w:hAnsi="Times New Roman" w:cs="Times New Roman"/>
          <w:sz w:val="20"/>
          <w:szCs w:val="20"/>
        </w:rPr>
        <w:fldChar w:fldCharType="end"/>
      </w:r>
      <w:r w:rsidRPr="0084682A">
        <w:rPr>
          <w:rFonts w:ascii="Times New Roman" w:hAnsi="Times New Roman" w:cs="Times New Roman"/>
          <w:sz w:val="20"/>
          <w:szCs w:val="20"/>
        </w:rPr>
        <w:t xml:space="preserve"> is part of the Cambridge Neuropsychological Test Automated Battery (CANTAB) and has been described previously</w:t>
      </w:r>
      <w:r w:rsidR="00084795">
        <w:rPr>
          <w:rFonts w:ascii="Times New Roman" w:hAnsi="Times New Roman" w:cs="Times New Roman"/>
          <w:sz w:val="20"/>
          <w:szCs w:val="20"/>
        </w:rPr>
        <w:t>.</w:t>
      </w:r>
      <w:r w:rsidR="00084795" w:rsidRPr="004964AA">
        <w:rPr>
          <w:rFonts w:ascii="Times New Roman" w:hAnsi="Times New Roman" w:cs="Times New Roman"/>
          <w:sz w:val="20"/>
          <w:szCs w:val="24"/>
          <w:vertAlign w:val="superscript"/>
        </w:rPr>
        <w:t>32</w:t>
      </w:r>
      <w:r w:rsidRPr="0084682A">
        <w:rPr>
          <w:rFonts w:ascii="Times New Roman" w:hAnsi="Times New Roman" w:cs="Times New Roman"/>
          <w:sz w:val="20"/>
          <w:szCs w:val="20"/>
        </w:rPr>
        <w:t xml:space="preserve"> Participants are presented with boxes on the screen and are instructed to find tokens hidden under them, one at a time. Participants need to remember where they have already searched and where they have already found tokens. Outcome measures used were average between-search errors (i.e. errors where participants searched boxes where they had already found tokens) on screens containing 8 boxes (SWM Between-Search Errors 8) and strategy score (SWM Strategy Score), an indicator of errors in the use of a consistent strategy.</w:t>
      </w:r>
    </w:p>
    <w:p w14:paraId="17F116F7" w14:textId="537237B5" w:rsidR="00A56B49" w:rsidRDefault="00D17A25" w:rsidP="00A56B49">
      <w:pPr>
        <w:pStyle w:val="Style3"/>
      </w:pPr>
      <w:bookmarkStart w:id="29" w:name="_Toc100246245"/>
      <w:r w:rsidRPr="0084682A">
        <w:t>Trail Making Test</w:t>
      </w:r>
      <w:bookmarkEnd w:id="29"/>
    </w:p>
    <w:p w14:paraId="406E5692" w14:textId="62D5D7FE" w:rsidR="00D17A25" w:rsidRPr="0084682A" w:rsidRDefault="00D17A25" w:rsidP="00D17A25">
      <w:pPr>
        <w:spacing w:line="360" w:lineRule="auto"/>
        <w:rPr>
          <w:rFonts w:ascii="Times New Roman" w:hAnsi="Times New Roman" w:cs="Times New Roman"/>
          <w:sz w:val="20"/>
          <w:szCs w:val="20"/>
        </w:rPr>
      </w:pPr>
      <w:r w:rsidRPr="0084682A">
        <w:rPr>
          <w:rFonts w:ascii="Times New Roman" w:hAnsi="Times New Roman" w:cs="Times New Roman"/>
          <w:sz w:val="20"/>
          <w:szCs w:val="20"/>
        </w:rPr>
        <w:t>As previously described,</w:t>
      </w:r>
      <w:r w:rsidR="00084795" w:rsidRPr="00084795">
        <w:rPr>
          <w:rFonts w:ascii="Times New Roman" w:hAnsi="Times New Roman" w:cs="Times New Roman"/>
          <w:sz w:val="20"/>
          <w:szCs w:val="20"/>
          <w:vertAlign w:val="superscript"/>
        </w:rPr>
        <w:t>32</w:t>
      </w:r>
      <w:r w:rsidRPr="0084682A">
        <w:rPr>
          <w:rFonts w:ascii="Times New Roman" w:hAnsi="Times New Roman" w:cs="Times New Roman"/>
          <w:sz w:val="20"/>
          <w:szCs w:val="20"/>
        </w:rPr>
        <w:t xml:space="preserve"> a paper-and pencil version of the Trail Making Test (TMT)</w:t>
      </w:r>
      <w:r>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{"citationID":"a28l8au6lnn","properties":{"formattedCitation":"{\\rtf \\super 37\\nosupersub{}}","plainCitation":"37"},"citationItems":[{"id":"ITEM-1","uris":["http://www.mendeley.com/documents/?uuid=c0dd2ccb-0baa-47cb-929a-3e1a2417b9cc"],"uri":["http://www.mendeley.com/documents/?uuid=c0dd2ccb-0baa-47cb-929a-3e1a2417b9cc"],"itemData":{"author":[{"dropping-particle":"","family":"Reitan","given":"R.M.","non-dropping-particle":"","parse-names":false,"suffix":""}],"collection-title":"Percept. Mot. Skills 8","id":"ITEM-1","issued":{"date-parts":[["1958"]]},"page":"271-276","title":"Validity of the trail making test as an indicator of organic brain damage.","type":"article-journal"}}],"schema":"https://github.com/citation-style-language/schema/raw/master/csl-citation.json"} </w:instrText>
      </w:r>
      <w:r>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37</w:t>
      </w:r>
      <w:r>
        <w:rPr>
          <w:rFonts w:ascii="Times New Roman" w:hAnsi="Times New Roman" w:cs="Times New Roman"/>
          <w:sz w:val="20"/>
          <w:szCs w:val="20"/>
        </w:rPr>
        <w:fldChar w:fldCharType="end"/>
      </w:r>
      <w:r w:rsidRPr="0084682A">
        <w:rPr>
          <w:rFonts w:ascii="Times New Roman" w:hAnsi="Times New Roman" w:cs="Times New Roman"/>
          <w:sz w:val="20"/>
          <w:szCs w:val="20"/>
        </w:rPr>
        <w:t xml:space="preserve"> was administered to participants, where they were asked to connect numbers from 1 through 25 (TMT-A) or to connect numbers and letter, alternating between the two (TMT-B). The time it took participants to complete these tasks was recorded. </w:t>
      </w:r>
    </w:p>
    <w:p w14:paraId="1592A535" w14:textId="29675C61" w:rsidR="00A56B49" w:rsidRDefault="00A56B49" w:rsidP="00D36B01">
      <w:pPr>
        <w:pStyle w:val="Style3"/>
      </w:pPr>
      <w:bookmarkStart w:id="30" w:name="_Toc100246246"/>
      <w:r w:rsidRPr="0084682A">
        <w:t>Wechsler Abbreviated Scale of Intelligence</w:t>
      </w:r>
      <w:bookmarkEnd w:id="30"/>
      <w:r w:rsidRPr="0084682A">
        <w:t xml:space="preserve"> </w:t>
      </w:r>
    </w:p>
    <w:p w14:paraId="63FC08E9" w14:textId="5D1F59AB" w:rsidR="00D17A25" w:rsidRPr="0084682A" w:rsidRDefault="00A56B49" w:rsidP="00D17A25">
      <w:pPr>
        <w:spacing w:line="360" w:lineRule="auto"/>
        <w:rPr>
          <w:rFonts w:ascii="Times New Roman" w:hAnsi="Times New Roman" w:cs="Times New Roman"/>
          <w:sz w:val="20"/>
          <w:szCs w:val="20"/>
        </w:rPr>
      </w:pPr>
      <w:r>
        <w:rPr>
          <w:rFonts w:ascii="Times New Roman" w:hAnsi="Times New Roman" w:cs="Times New Roman"/>
          <w:sz w:val="20"/>
          <w:szCs w:val="20"/>
        </w:rPr>
        <w:t>T</w:t>
      </w:r>
      <w:r w:rsidR="00D17A25" w:rsidRPr="0084682A">
        <w:rPr>
          <w:rFonts w:ascii="Times New Roman" w:hAnsi="Times New Roman" w:cs="Times New Roman"/>
          <w:sz w:val="20"/>
          <w:szCs w:val="20"/>
        </w:rPr>
        <w:t>wo subtests, Matrix Reasoning and Vocabulary, of the Icelandic version of the Wechsler Abbreviated Scale of Intelligence (WASI-IS)</w:t>
      </w:r>
      <w:r w:rsidR="00D17A25">
        <w:rPr>
          <w:rFonts w:ascii="Times New Roman" w:hAnsi="Times New Roman" w:cs="Times New Roman"/>
          <w:sz w:val="20"/>
          <w:szCs w:val="20"/>
        </w:rPr>
        <w:fldChar w:fldCharType="begin" w:fldLock="1"/>
      </w:r>
      <w:r w:rsidR="004964AA">
        <w:rPr>
          <w:rFonts w:ascii="Times New Roman" w:hAnsi="Times New Roman" w:cs="Times New Roman"/>
          <w:sz w:val="20"/>
          <w:szCs w:val="20"/>
        </w:rPr>
        <w:instrText xml:space="preserve"> ADDIN ZOTERO_ITEM CSL_CITATION {"citationID":"a16cotf1naj","properties":{"formattedCitation":"{\\rtf \\super 38,39\\nosupersub{}}","plainCitation":"38,39"},"citationItems":[{"id":"ITEM-1","uris":["http://www.mendeley.com/documents/?uuid=ec6c1c5f-bd04-488c-9944-659a7c301bff"],"uri":["http://www.mendeley.com/documents/?uuid=ec6c1c5f-bd04-488c-9944-659a7c301bff"],"itemData":{"author":[{"dropping-particle":"","family":"Wechsler","given":"","non-dropping-particle":"","parse-names":false,"suffix":""}],"id":"ITEM-1","issued":{"date-parts":[["1999"]]},"title":"Wechsler Abbreviated Scale of Intelligence (WASI) Manual. Psychological Corporation.","type":"book"}},{"id":"ITEM-2","uris":["http://www.mendeley.com/documents/?uuid=f7cb2ad7-ce60-4828-a0a6-9a9656b29af0"],"uri":["http://www.mendeley.com/documents/?uuid=f7cb2ad7-ce60-4828-a0a6-9a9656b29af0"],"itemData":{"author":[{"dropping-particle":"","family":"Gudmundsson","given":"E","non-dropping-particle":"","parse-names":false,"suffix":""}],"container-title":"Menntamalastofnun","id":"ITEM-2","issued":{"date-parts":[["2015"]]},"title":"Mat á greind fullorðinna: WASI-IS [The Assessment of Intelligence in Adults: WASI-IS].","type":"article-journal"}}],"schema":"https://github.com/citation-style-language/schema/raw/master/csl-citation.json"} </w:instrText>
      </w:r>
      <w:r w:rsidR="00D17A25">
        <w:rPr>
          <w:rFonts w:ascii="Times New Roman" w:hAnsi="Times New Roman" w:cs="Times New Roman"/>
          <w:sz w:val="20"/>
          <w:szCs w:val="20"/>
        </w:rPr>
        <w:fldChar w:fldCharType="separate"/>
      </w:r>
      <w:r w:rsidR="004964AA" w:rsidRPr="004964AA">
        <w:rPr>
          <w:rFonts w:ascii="Times New Roman" w:hAnsi="Times New Roman" w:cs="Times New Roman"/>
          <w:sz w:val="20"/>
          <w:szCs w:val="24"/>
          <w:vertAlign w:val="superscript"/>
        </w:rPr>
        <w:t>38,39</w:t>
      </w:r>
      <w:r w:rsidR="00D17A25">
        <w:rPr>
          <w:rFonts w:ascii="Times New Roman" w:hAnsi="Times New Roman" w:cs="Times New Roman"/>
          <w:sz w:val="20"/>
          <w:szCs w:val="20"/>
        </w:rPr>
        <w:fldChar w:fldCharType="end"/>
      </w:r>
      <w:r w:rsidR="00D17A25">
        <w:rPr>
          <w:rFonts w:ascii="Times New Roman" w:hAnsi="Times New Roman" w:cs="Times New Roman"/>
          <w:sz w:val="20"/>
          <w:szCs w:val="20"/>
        </w:rPr>
        <w:t xml:space="preserve"> </w:t>
      </w:r>
      <w:r w:rsidR="00D17A25" w:rsidRPr="0084682A">
        <w:rPr>
          <w:rFonts w:ascii="Times New Roman" w:hAnsi="Times New Roman" w:cs="Times New Roman"/>
          <w:sz w:val="20"/>
          <w:szCs w:val="20"/>
        </w:rPr>
        <w:t xml:space="preserve">were administered, and the recorded scores used directly as outcome measures. </w:t>
      </w:r>
    </w:p>
    <w:p w14:paraId="7C6BFE16" w14:textId="7CA08213" w:rsidR="00761D5B" w:rsidRPr="00A422D0" w:rsidRDefault="00761D5B" w:rsidP="00D36B01">
      <w:pPr>
        <w:pStyle w:val="Style2"/>
      </w:pPr>
      <w:bookmarkStart w:id="31" w:name="_Toc100246247"/>
      <w:r w:rsidRPr="00A422D0">
        <w:t>Blood tests</w:t>
      </w:r>
      <w:bookmarkEnd w:id="31"/>
    </w:p>
    <w:p w14:paraId="147D375B" w14:textId="52B11400" w:rsidR="00761D5B" w:rsidRDefault="00161DA2" w:rsidP="005F18E5">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For blood measurements we used the Sysmex XN-1000 hematology analyzer (Sysmex Corporation, Japan) and the cobas 6000 chemistry analyzer (Roche Diagnostics, Switzerland) according to manufacturer</w:t>
      </w:r>
      <w:r w:rsidR="00814633">
        <w:rPr>
          <w:rFonts w:ascii="Times New Roman" w:hAnsi="Times New Roman" w:cs="Times New Roman"/>
          <w:sz w:val="20"/>
          <w:szCs w:val="20"/>
          <w:lang w:val="en-US"/>
        </w:rPr>
        <w:t>’</w:t>
      </w:r>
      <w:r w:rsidRPr="00A422D0">
        <w:rPr>
          <w:rFonts w:ascii="Times New Roman" w:hAnsi="Times New Roman" w:cs="Times New Roman"/>
          <w:sz w:val="20"/>
          <w:szCs w:val="20"/>
          <w:lang w:val="en-US"/>
        </w:rPr>
        <w:t>s instructions</w:t>
      </w:r>
      <w:r w:rsidR="00C7135B" w:rsidRPr="00A422D0">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using reag</w:t>
      </w:r>
      <w:r w:rsidR="00814633">
        <w:rPr>
          <w:rFonts w:ascii="Times New Roman" w:hAnsi="Times New Roman" w:cs="Times New Roman"/>
          <w:sz w:val="20"/>
          <w:szCs w:val="20"/>
          <w:lang w:val="en-US"/>
        </w:rPr>
        <w:t>e</w:t>
      </w:r>
      <w:r w:rsidRPr="00A422D0">
        <w:rPr>
          <w:rFonts w:ascii="Times New Roman" w:hAnsi="Times New Roman" w:cs="Times New Roman"/>
          <w:sz w:val="20"/>
          <w:szCs w:val="20"/>
          <w:lang w:val="en-US"/>
        </w:rPr>
        <w:t xml:space="preserve">nts from the relevant manufacturer. </w:t>
      </w:r>
    </w:p>
    <w:p w14:paraId="6E592627" w14:textId="1BDFC1F2" w:rsidR="00C61A21" w:rsidRDefault="00C61A21" w:rsidP="000046FD">
      <w:pPr>
        <w:pStyle w:val="Style2"/>
      </w:pPr>
      <w:bookmarkStart w:id="32" w:name="_Toc100246248"/>
      <w:r>
        <w:t>Ambulatory sleep study</w:t>
      </w:r>
      <w:bookmarkEnd w:id="32"/>
    </w:p>
    <w:p w14:paraId="72201D74" w14:textId="3AC8754C" w:rsidR="00C61A21" w:rsidRDefault="00C61A21" w:rsidP="005F18E5">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A subset of participants </w:t>
      </w:r>
      <w:r w:rsidR="007D2D2E">
        <w:rPr>
          <w:rFonts w:ascii="Times New Roman" w:hAnsi="Times New Roman" w:cs="Times New Roman"/>
          <w:sz w:val="20"/>
          <w:szCs w:val="20"/>
          <w:lang w:val="en-US"/>
        </w:rPr>
        <w:t xml:space="preserve">in the dHS study </w:t>
      </w:r>
      <w:r>
        <w:rPr>
          <w:rFonts w:ascii="Times New Roman" w:hAnsi="Times New Roman" w:cs="Times New Roman"/>
          <w:sz w:val="20"/>
          <w:szCs w:val="20"/>
          <w:lang w:val="en-US"/>
        </w:rPr>
        <w:t xml:space="preserve">are invited to participate in a Self Applied Somnogram study using the modified A1 System from Nox Medical. </w:t>
      </w:r>
      <w:r w:rsidR="000046FD">
        <w:rPr>
          <w:rFonts w:ascii="Times New Roman" w:hAnsi="Times New Roman" w:cs="Times New Roman"/>
          <w:sz w:val="20"/>
          <w:szCs w:val="20"/>
          <w:lang w:val="en-US"/>
        </w:rPr>
        <w:t>Here we report hear</w:t>
      </w:r>
      <w:r w:rsidR="0008294F">
        <w:rPr>
          <w:rFonts w:ascii="Times New Roman" w:hAnsi="Times New Roman" w:cs="Times New Roman"/>
          <w:sz w:val="20"/>
          <w:szCs w:val="20"/>
          <w:lang w:val="en-US"/>
        </w:rPr>
        <w:t>t</w:t>
      </w:r>
      <w:r w:rsidR="000046FD">
        <w:rPr>
          <w:rFonts w:ascii="Times New Roman" w:hAnsi="Times New Roman" w:cs="Times New Roman"/>
          <w:sz w:val="20"/>
          <w:szCs w:val="20"/>
          <w:lang w:val="en-US"/>
        </w:rPr>
        <w:t xml:space="preserve"> rate and heart rate variability</w:t>
      </w:r>
      <w:r w:rsidR="007D2D2E">
        <w:rPr>
          <w:rFonts w:ascii="Times New Roman" w:hAnsi="Times New Roman" w:cs="Times New Roman"/>
          <w:sz w:val="20"/>
          <w:szCs w:val="20"/>
          <w:lang w:val="en-US"/>
        </w:rPr>
        <w:t xml:space="preserve"> (HRV)</w:t>
      </w:r>
      <w:r w:rsidR="000046FD">
        <w:rPr>
          <w:rFonts w:ascii="Times New Roman" w:hAnsi="Times New Roman" w:cs="Times New Roman"/>
          <w:sz w:val="20"/>
          <w:szCs w:val="20"/>
          <w:lang w:val="en-US"/>
        </w:rPr>
        <w:t xml:space="preserve"> during sleep.</w:t>
      </w:r>
      <w:r w:rsidR="001504B7">
        <w:rPr>
          <w:rFonts w:ascii="Times New Roman" w:hAnsi="Times New Roman" w:cs="Times New Roman"/>
          <w:sz w:val="20"/>
          <w:szCs w:val="20"/>
          <w:lang w:val="en-US"/>
        </w:rPr>
        <w:t xml:space="preserve"> </w:t>
      </w:r>
      <w:r w:rsidR="001504B7" w:rsidRPr="001504B7">
        <w:rPr>
          <w:rFonts w:ascii="Times New Roman" w:hAnsi="Times New Roman" w:cs="Times New Roman"/>
          <w:sz w:val="20"/>
          <w:szCs w:val="20"/>
          <w:lang w:val="en-US"/>
        </w:rPr>
        <w:t>R peak detection was used to located heart beats to estimate heart rate a</w:t>
      </w:r>
      <w:r w:rsidR="007D2D2E">
        <w:rPr>
          <w:rFonts w:ascii="Times New Roman" w:hAnsi="Times New Roman" w:cs="Times New Roman"/>
          <w:sz w:val="20"/>
          <w:szCs w:val="20"/>
          <w:lang w:val="en-US"/>
        </w:rPr>
        <w:t xml:space="preserve">nd heart rate variability </w:t>
      </w:r>
      <w:r w:rsidR="001504B7" w:rsidRPr="001504B7">
        <w:rPr>
          <w:rFonts w:ascii="Times New Roman" w:hAnsi="Times New Roman" w:cs="Times New Roman"/>
          <w:sz w:val="20"/>
          <w:szCs w:val="20"/>
          <w:lang w:val="en-US"/>
        </w:rPr>
        <w:t>from electrocardiogram (ECG) sleep measurements. To remove false positive beats signal q</w:t>
      </w:r>
      <w:r w:rsidR="007D2D2E">
        <w:rPr>
          <w:rFonts w:ascii="Times New Roman" w:hAnsi="Times New Roman" w:cs="Times New Roman"/>
          <w:sz w:val="20"/>
          <w:szCs w:val="20"/>
          <w:lang w:val="en-US"/>
        </w:rPr>
        <w:t xml:space="preserve">uality indices </w:t>
      </w:r>
      <w:r w:rsidR="001504B7" w:rsidRPr="001504B7">
        <w:rPr>
          <w:rFonts w:ascii="Times New Roman" w:hAnsi="Times New Roman" w:cs="Times New Roman"/>
          <w:sz w:val="20"/>
          <w:szCs w:val="20"/>
          <w:lang w:val="en-US"/>
        </w:rPr>
        <w:t>were calculated.</w:t>
      </w:r>
      <w:r w:rsidR="007D2D2E">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{"citationID":"a1obujn6brl","properties":{"formattedCitation":"{\\rtf \\super 40\\nosupersub{}}","plainCitation":"40"},"citationItems":[{"id":481,"uris":["http://zotero.org/users/local/0NZqn2Xy/items/I7KCGRK5"],"uri":["http://zotero.org/users/local/0NZqn2Xy/items/I7KCGRK5"],"itemData":{"id":481,"type":"article-journal","title":"Signal-quality indices for the electrocardiogram and photoplethysmogram: derivation and applications to wireless monitoring","container-title":"IEEE journal of biomedical and health informatics","page":"832-838","volume":"19","issue":"3","source":"PubMed","abstract":"The identification of invalid data in recordings obtained using wearable sensors is of particular importance since data obtained from mobile patients is, in general, noisier than data obtained from nonmobile patients. In this paper, we present a signal quality index (SQI), which is intended to assess whether reliable heart rates (HRs) can be obtained from electrocardiogram (ECG) and photoplethysmogram (PPG) signals collected using wearable sensors. The algorithms were validated on manually labeled data. Sensitivities and specificities of 94% and 97% were achieved for the ECG and 91% and 95% for the PPG. Additionally, we propose two applications of the SQI. First, we demonstrate that, by using the SQI as a trigger for a power-saving strategy, it is possible to reduce the recording time by up to 94% for the ECG and 93% for the PPG with only minimal loss of valid vital-sign data. Second, we demonstrate how an SQI can be used to reduce the error in the estimation of respiratory rate (RR) from the PPG. The performance of the two applications was assessed on data collected from a clinical study on hospital patients who were able to walk unassisted.","DOI":"10.1109/JBHI.2014.2338351","ISSN":"2168-2208","note":"PMID: 25069129","shortTitle":"Signal-quality indices for the electrocardiogram and photoplethysmogram","journalAbbreviation":"IEEE J Biomed Health Inform","language":"eng","author":[{"family":"Orphanidou","given":"Christina"},{"family":"Bonnici","given":"Timothy"},{"family":"Charlton","given":"Peter"},{"family":"Clifton","given":"David"},{"family":"Vallance","given":"David"},{"family":"Tarassenko","given":"Lionel"}],"issued":{"date-parts":[["2015",5]]}}}],"schema":"https://github.com/citation-style-language/schema/raw/master/csl-citation.json"} </w:instrText>
      </w:r>
      <w:r w:rsidR="007D2D2E">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40</w:t>
      </w:r>
      <w:r w:rsidR="007D2D2E">
        <w:rPr>
          <w:rFonts w:ascii="Times New Roman" w:hAnsi="Times New Roman" w:cs="Times New Roman"/>
          <w:sz w:val="20"/>
          <w:szCs w:val="20"/>
          <w:lang w:val="en-US"/>
        </w:rPr>
        <w:fldChar w:fldCharType="end"/>
      </w:r>
      <w:r w:rsidR="001504B7" w:rsidRPr="001504B7">
        <w:rPr>
          <w:rFonts w:ascii="Times New Roman" w:hAnsi="Times New Roman" w:cs="Times New Roman"/>
          <w:sz w:val="20"/>
          <w:szCs w:val="20"/>
          <w:lang w:val="en-US"/>
        </w:rPr>
        <w:t xml:space="preserve"> K-means clustering was used to split the ECG recordings into wake and sleep states. The wake state </w:t>
      </w:r>
      <w:r w:rsidR="001504B7" w:rsidRPr="001504B7">
        <w:rPr>
          <w:rFonts w:ascii="Times New Roman" w:hAnsi="Times New Roman" w:cs="Times New Roman"/>
          <w:sz w:val="20"/>
          <w:szCs w:val="20"/>
          <w:lang w:val="en-US"/>
        </w:rPr>
        <w:lastRenderedPageBreak/>
        <w:t>were not used for analysis, as they include device setup artifacts. Heart rate was estimated by calculating the mean elapsed time between successive heart beats and HRV was estimated using the root mean square of successive differences (RMSSD) between heartbeats.</w:t>
      </w:r>
    </w:p>
    <w:p w14:paraId="2D00CF0A" w14:textId="5D456538" w:rsidR="00407C4F" w:rsidRPr="00A422D0" w:rsidRDefault="00407C4F" w:rsidP="00D36B01">
      <w:pPr>
        <w:pStyle w:val="Style2"/>
      </w:pPr>
      <w:bookmarkStart w:id="33" w:name="_Toc100246249"/>
      <w:r w:rsidRPr="00A422D0">
        <w:t>Confirmation of SARS-CoV-2 infection</w:t>
      </w:r>
      <w:bookmarkEnd w:id="33"/>
    </w:p>
    <w:p w14:paraId="79184283" w14:textId="7D473524" w:rsidR="00814633" w:rsidRDefault="00407C4F" w:rsidP="002A7DF4">
      <w:pPr>
        <w:spacing w:after="240" w:line="360" w:lineRule="auto"/>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Given the potential of false positive qPCR tests, we required </w:t>
      </w:r>
      <w:r w:rsidR="00BF77CF" w:rsidRPr="00A422D0">
        <w:rPr>
          <w:rFonts w:ascii="Times New Roman" w:hAnsi="Times New Roman" w:cs="Times New Roman"/>
          <w:sz w:val="20"/>
          <w:szCs w:val="20"/>
          <w:lang w:val="en-US"/>
        </w:rPr>
        <w:t>the presence of antibodies for</w:t>
      </w:r>
      <w:r w:rsidRPr="00A422D0">
        <w:rPr>
          <w:rFonts w:ascii="Times New Roman" w:hAnsi="Times New Roman" w:cs="Times New Roman"/>
          <w:sz w:val="20"/>
          <w:szCs w:val="20"/>
          <w:lang w:val="en-US"/>
        </w:rPr>
        <w:t xml:space="preserve"> confirmation of SARS-CoV-2 infection. Because of the low prevalence of SARS-CoV-2 infection in Iceland, we required positive results from </w:t>
      </w:r>
      <w:r w:rsidR="00BF77CF" w:rsidRPr="00A422D0">
        <w:rPr>
          <w:rFonts w:ascii="Times New Roman" w:hAnsi="Times New Roman" w:cs="Times New Roman"/>
          <w:sz w:val="20"/>
          <w:szCs w:val="20"/>
          <w:lang w:val="en-US"/>
        </w:rPr>
        <w:t>two</w:t>
      </w:r>
      <w:r w:rsidRPr="00A422D0">
        <w:rPr>
          <w:rFonts w:ascii="Times New Roman" w:hAnsi="Times New Roman" w:cs="Times New Roman"/>
          <w:sz w:val="20"/>
          <w:szCs w:val="20"/>
          <w:lang w:val="en-US"/>
        </w:rPr>
        <w:t xml:space="preserve"> pan-Ig antibody assays</w:t>
      </w:r>
      <w:r w:rsidR="00BF77CF" w:rsidRPr="00A422D0">
        <w:rPr>
          <w:rFonts w:ascii="Times New Roman" w:hAnsi="Times New Roman" w:cs="Times New Roman"/>
          <w:sz w:val="20"/>
          <w:szCs w:val="20"/>
          <w:lang w:val="en-US"/>
        </w:rPr>
        <w:t>, from Roche and from Wantai,</w:t>
      </w:r>
      <w:r w:rsidRPr="00A422D0">
        <w:rPr>
          <w:rFonts w:ascii="Times New Roman" w:hAnsi="Times New Roman" w:cs="Times New Roman"/>
          <w:sz w:val="20"/>
          <w:szCs w:val="20"/>
          <w:lang w:val="en-US"/>
        </w:rPr>
        <w:t xml:space="preserve"> for a sample to be considered seropositive</w:t>
      </w:r>
      <w:r w:rsidR="00BF77CF" w:rsidRPr="00A422D0">
        <w:rPr>
          <w:rFonts w:ascii="Times New Roman" w:hAnsi="Times New Roman" w:cs="Times New Roman"/>
          <w:sz w:val="20"/>
          <w:szCs w:val="20"/>
          <w:lang w:val="en-US"/>
        </w:rPr>
        <w:t>.</w:t>
      </w:r>
      <w:r w:rsidR="00BF77CF" w:rsidRPr="00A422D0">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{"citationID":"andsp5n8ls","properties":{"formattedCitation":"{\\rtf \\super 41\\nosupersub{}}","plainCitation":"41"},"citationItems":[{"id":"ITEM-1","uris":["http://www.mendeley.com/documents/?uuid=3d485bd9-2575-4d31-8a7f-178bf8edd93c"],"uri":["http://www.mendeley.com/documents/?uuid=3d485bd9-2575-4d31-8a7f-178bf8edd93c"],"itemData":{"DOI":"10.1056/NEJMoa2026116","ISSN":"1533-4406","abstract":"BACKGROUND: Little is known about the nature and durability of the humoral immune response to infection with severe acute respiratory syndrome coronavirus 2 (SARS-CoV-2).\nMETHODS: We measured antibodies in serum samples from 30,576 persons in Iceland, using six assays (including two pan-immunoglobulin [pan-Ig] assays), and we determined that the appropriate measure of seropositivity was a positive result with both pan-Ig assays. We tested 2102 samples collected from 1237 persons up to 4 months after diagnosis by a quantitative polymerase-chain-reaction (qPCR) assay. We measured antibodies in 4222 quarantined persons who had been exposed to SARS-CoV-2 and in 23,452 persons not known to have been exposed.\nRESULTS: Of the 1797 persons who had recovered from SARS-CoV-2 infection, 1107 of the 1215 who were tested (91.1%) were seropositive; antiviral antibody titers assayed by two pan-Ig assays increased during 2 months after diagnosis by qPCR and remained on a plateau for the remainder of the study. Of quarantined persons, 2.3% were seropositive; of those with unknown exposure, 0.3% were positive. We estimate that 0.9% of Icelanders were infected with SARS-CoV-2 and that the infection was fatal in 0.3%. We also estimate that 56% of all SARS-CoV-2 infections in Iceland had been diagnosed with qPCR, 14% had occurred in quarantined persons who had not been tested with qPCR (or who had not received a positive result, if tested), and 30% had occurred in persons outside quarantine and not tested with qPCR.\nCONCLUSIONS: Our results indicate that antiviral antibodies against SARS-CoV-2 did not decline within 4 months after diagnosis. We estimate that the risk of death from infection was 0.3% and that 44% of persons infected with SARS-CoV-2 in Iceland were not diagnosed by qPCR.","author":[{"dropping-particle":"","family":"Gudbjartsson","given":"Daniel F.","non-dropping-particle":"","parse-names":false,"suffix":""},{"dropping-particle":"","family":"Norddahl","given":"Gudmundur L.","non-dropping-particle":"","parse-names":false,"suffix":""},{"dropping-particle":"","family":"Melsted","given":"Pall","non-dropping-particle":"","parse-names":false,"suffix":""},{"dropping-particle":"","family":"Gunnarsdottir","given":"Kristbjorg","non-dropping-particle":"","parse-names":false,"suffix":""},{"dropping-particle":"","family":"Holm","given":"Hilma","non-dropping-particle":"","parse-names":false,"suffix":""},{"dropping-particle":"","family":"Eythorsson","given":"Elias","non-dropping-particle":"","parse-names":false,"suffix":""},{"dropping-particle":"","family":"Arnthorsson","given":"Asgeir O.","non-dropping-particle":"","parse-names":false,"suffix":""},{"dropping-particle":"","family":"Helgason","given":"Dadi","non-dropping-particle":"","parse-names":false,"suffix":""},{"dropping-particle":"","family":"Bjarnadottir","given":"Kristbjorg","non-dropping-particle":"","parse-names":false,"suffix":""},{"dropping-particle":"","family":"Ingvarsson","given":"Ragnar F.","non-dropping-particle":"","parse-names":false,"suffix":""},{"dropping-particle":"","family":"Thorsteinsdottir","given":"Brynja","non-dropping-particle":"","parse-names":false,"suffix":""},{"dropping-particle":"","family":"Kristjansdottir","given":"Steinunn","non-dropping-particle":"","parse-names":false,"suffix":""},{"dropping-particle":"","family":"Birgisdottir","given":"Kolbrun","non-dropping-particle":"","parse-names":false,"suffix":""},{"dropping-particle":"","family":"Kristinsdottir","given":"Anna M.","non-dropping-particle":"","parse-names":false,"suffix":""},{"dropping-particle":"","family":"Sigurdsson","given":"Martin I.","non-dropping-particle":"","parse-names":false,"suffix":""},{"dropping-particle":"","family":"Arnadottir","given":"Gudny A.","non-dropping-particle":"","parse-names":false,"suffix":""},{"dropping-particle":"V.","family":"Ivarsdottir","given":"Erna","non-dropping-particle":"","parse-names":false,"suffix":""},{"dropping-particle":"","family":"Andresdottir","given":"Margret","non-dropping-particle":"","parse-names":false,"suffix":""},{"dropping-particle":"","family":"Jonsson","given":"Frosti","non-dropping-particle":"","parse-names":false,"suffix":""},{"dropping-particle":"","family":"Agustsdottir","given":"Arna B.","non-dropping-particle":"","parse-names":false,"suffix":""},{"dropping-particle":"","family":"Berglund","given":"Jonas","non-dropping-particle":"","parse-names":false,"suffix":""},{"dropping-particle":"","family":"Eiriksdottir","given":"Berglind","non-dropping-particle":"","parse-names":false,"suffix":""},{"dropping-particle":"","family":"Fridriksdottir","given":"Run","non-dropping-particle":"","parse-names":false,"suffix":""},{"dropping-particle":"","family":"Gardarsdottir","given":"Elisabet E.","non-dropping-particle":"","parse-names":false,"suffix":""},{"dropping-particle":"","family":"Gottfredsson","given":"Magnus","non-dropping-particle":"","parse-names":false,"suffix":""},{"dropping-particle":"","family":"Gretarsdottir","given":"Olafia S.","non-dropping-particle":"","parse-names":false,"suffix":""},{"dropping-particle":"","family":"Gudmundsdottir","given":"Steinunn","non-dropping-particle":"","parse-names":false,"suffix":""},{"dropping-particle":"","family":"Gudmundsson","given":"Kjartan R.","non-dropping-particle":"","parse-names":false,"suffix":""},{"dropping-particle":"","family":"Gunnarsdottir","given":"Thora R.","non-dropping-particle":"","parse-names":false,"suffix":""},{"dropping-particle":"","family":"Gylfason","given":"Arnaldur","non-dropping-particle":"","parse-names":false,"suffix":""},{"dropping-particle":"","family":"Helgason","given":"Agnar","non-dropping-particle":"","parse-names":false,"suffix":""},{"dropping-particle":"","family":"Jensson","given":"Brynjar O.","non-dropping-particle":"","parse-names":false,"suffix":""},{"dropping-particle":"","family":"Jonasdottir","given":"Aslaug","non-dropping-particle":"","parse-names":false,"suffix":""},{"dropping-particle":"","family":"Jonsson","given":"Hakon","non-dropping-particle":"","parse-names":false,"suffix":""},{"dropping-particle":"","family":"Kristjansson","given":"Thordur","non-dropping-particle":"","parse-names":false,"suffix":""},{"dropping-particle":"","family":"Kristinsson","given":"Karl G.","non-dropping-particle":"","parse-names":false,"suffix":""},{"dropping-particle":"","family":"Magnusdottir","given":"Droplaug N.","non-dropping-particle":"","parse-names":false,"suffix":""},{"dropping-particle":"","family":"Magnusson","given":"Olafur T.","non-dropping-particle":"","parse-names":false,"suffix":""},{"dropping-particle":"","family":"Olafsdottir","given":"Lovisa B.","non-dropping-particle":"","parse-names":false,"suffix":""},{"dropping-particle":"","family":"Rognvaldsson","given":"Solvi","non-dropping-particle":"","parse-names":false,"suffix":""},{"dropping-particle":"","family":"Roux","given":"Louise","non-dropping-particle":"le","parse-names":false,"suffix":""},{"dropping-particle":"","family":"Sigmundsdottir","given":"Gudrun","non-dropping-particle":"","parse-names":false,"suffix":""},{"dropping-particle":"","family":"Sigurdsson","given":"Asgeir","non-dropping-particle":"","parse-names":false,"suffix":""},{"dropping-particle":"","family":"Sveinbjornsson","given":"Gardar","non-dropping-particle":"","parse-names":false,"suffix":""},{"dropping-particle":"","family":"Sveinsdottir","given":"Kristin E.","non-dropping-particle":"","parse-names":false,"suffix":""},{"dropping-particle":"","family":"Sveinsdottir","given":"Maney","non-dropping-particle":"","parse-names":false,"suffix":""},{"dropping-particle":"","family":"Thorarensen","given":"Emil A.","non-dropping-particle":"","parse-names":false,"suffix":""},{"dropping-particle":"","family":"Thorbjornsson","given":"Bjarni","non-dropping-particle":"","parse-names":false,"suffix":""},{"dropping-particle":"","family":"Thordardottir","given":"Marianna","non-dropping-particle":"","parse-names":false,"suffix":""},{"dropping-particle":"","family":"Saemundsdottir","given":"Jona","non-dropping-particle":"","parse-names":false,"suffix":""},{"dropping-particle":"","family":"Kristjansson","given":"S. Hjortur","non-dropping-particle":"","parse-names":false,"suffix":""},{"dropping-particle":"","family":"Josefsdottir","given":"Kamilla S.","non-dropping-particle":"","parse-names":false,"suffix":""},{"dropping-particle":"","family":"Masson","given":"Gisli","non-dropping-particle":"","parse-names":false,"suffix":""},{"dropping-particle":"","family":"Georgsson","given":"Gudmundur","non-dropping-particle":"","parse-names":false,"suffix":""},{"dropping-particle":"","family":"Kristjansson","given":"Mar","non-dropping-particle":"","parse-names":false,"suffix":""},{"dropping-particle":"","family":"Moller","given":"Alma","non-dropping-particle":"","parse-names":false,"suffix":""},{"dropping-particle":"","family":"Palsson","given":"Runolfur","non-dropping-particle":"","parse-names":false,"suffix":""},{"dropping-particle":"","family":"Gudnason","given":"Thorolfur","non-dropping-particle":"","parse-names":false,"suffix":""},{"dropping-particle":"","family":"Thorsteinsdottir","given":"Unnur","non-dropping-particle":"","parse-names":false,"suffix":""},{"dropping-particle":"","family":"Jonsdottir","given":"Ingileif","non-dropping-particle":"","parse-names":false,"suffix":""},{"dropping-particle":"","family":"Sulem","given":"Patrick","non-dropping-particle":"","parse-names":false,"suffix":""},{"dropping-particle":"","family":"Stefansson","given":"Kari","non-dropping-particle":"","parse-names":false,"suffix":""}],"container-title":"The New England Journal of Medicine","id":"ITEM-1","issue":"18","issued":{"date-parts":[["2020"]]},"language":"eng","page":"1724-1734","title":"Humoral Immune Response to SARS-CoV-2 in Iceland","type":"article-journal","volume":"383"}}],"schema":"https://github.com/citation-style-language/schema/raw/master/csl-citation.json"} </w:instrText>
      </w:r>
      <w:r w:rsidR="00BF77CF" w:rsidRPr="00A422D0">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41</w:t>
      </w:r>
      <w:r w:rsidR="00BF77CF" w:rsidRPr="00A422D0">
        <w:rPr>
          <w:rFonts w:ascii="Times New Roman" w:hAnsi="Times New Roman" w:cs="Times New Roman"/>
          <w:sz w:val="20"/>
          <w:szCs w:val="20"/>
          <w:lang w:val="en-US"/>
        </w:rPr>
        <w:fldChar w:fldCharType="end"/>
      </w:r>
      <w:r w:rsidR="00B70D2C">
        <w:rPr>
          <w:rFonts w:ascii="Times New Roman" w:hAnsi="Times New Roman" w:cs="Times New Roman"/>
          <w:sz w:val="20"/>
          <w:szCs w:val="20"/>
          <w:lang w:val="en-US"/>
        </w:rPr>
        <w:t xml:space="preserve"> </w:t>
      </w:r>
    </w:p>
    <w:p w14:paraId="6F2E503B" w14:textId="0BA7670A" w:rsidR="00F6293B" w:rsidRDefault="00F6293B" w:rsidP="00F6293B">
      <w:pPr>
        <w:pStyle w:val="Style2"/>
      </w:pPr>
      <w:bookmarkStart w:id="34" w:name="_Toc100246250"/>
      <w:r>
        <w:t>Severity scale and categories</w:t>
      </w:r>
      <w:bookmarkEnd w:id="34"/>
    </w:p>
    <w:p w14:paraId="1233CC55" w14:textId="56E45B76" w:rsidR="00444D02" w:rsidRDefault="00F273FC" w:rsidP="00F6293B">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For the </w:t>
      </w:r>
      <w:r w:rsidR="00335D0D">
        <w:rPr>
          <w:rFonts w:ascii="Times New Roman" w:hAnsi="Times New Roman" w:cs="Times New Roman"/>
          <w:sz w:val="20"/>
          <w:szCs w:val="20"/>
          <w:lang w:val="en-US"/>
        </w:rPr>
        <w:t>SARS-CoV-2</w:t>
      </w:r>
      <w:r>
        <w:rPr>
          <w:rFonts w:ascii="Times New Roman" w:hAnsi="Times New Roman" w:cs="Times New Roman"/>
          <w:sz w:val="20"/>
          <w:szCs w:val="20"/>
          <w:lang w:val="en-US"/>
        </w:rPr>
        <w:t xml:space="preserve"> cases, we defined a </w:t>
      </w:r>
      <w:r w:rsidR="00225DAD">
        <w:rPr>
          <w:rFonts w:ascii="Times New Roman" w:hAnsi="Times New Roman" w:cs="Times New Roman"/>
          <w:sz w:val="20"/>
          <w:szCs w:val="20"/>
          <w:lang w:val="en-US"/>
        </w:rPr>
        <w:t>severity scale</w:t>
      </w:r>
      <w:r>
        <w:rPr>
          <w:rFonts w:ascii="Times New Roman" w:hAnsi="Times New Roman" w:cs="Times New Roman"/>
          <w:sz w:val="20"/>
          <w:szCs w:val="20"/>
          <w:lang w:val="en-US"/>
        </w:rPr>
        <w:t xml:space="preserve"> ranging from 1-8</w:t>
      </w:r>
      <w:r w:rsidR="00225DAD">
        <w:rPr>
          <w:rFonts w:ascii="Times New Roman" w:hAnsi="Times New Roman" w:cs="Times New Roman"/>
          <w:sz w:val="20"/>
          <w:szCs w:val="20"/>
          <w:lang w:val="en-US"/>
        </w:rPr>
        <w:t xml:space="preserve">, according to the severity of the acute infection. Those that required intensive care unit (ICU) admission </w:t>
      </w:r>
      <w:r w:rsidR="00444D02">
        <w:rPr>
          <w:rFonts w:ascii="Times New Roman" w:hAnsi="Times New Roman" w:cs="Times New Roman"/>
          <w:sz w:val="20"/>
          <w:szCs w:val="20"/>
          <w:lang w:val="en-US"/>
        </w:rPr>
        <w:t>are in group</w:t>
      </w:r>
      <w:r w:rsidR="00225DAD">
        <w:rPr>
          <w:rFonts w:ascii="Times New Roman" w:hAnsi="Times New Roman" w:cs="Times New Roman"/>
          <w:sz w:val="20"/>
          <w:szCs w:val="20"/>
          <w:lang w:val="en-US"/>
        </w:rPr>
        <w:t xml:space="preserve"> 8</w:t>
      </w:r>
      <w:r w:rsidR="00444D02">
        <w:rPr>
          <w:rFonts w:ascii="Times New Roman" w:hAnsi="Times New Roman" w:cs="Times New Roman"/>
          <w:sz w:val="20"/>
          <w:szCs w:val="20"/>
          <w:lang w:val="en-US"/>
        </w:rPr>
        <w:t xml:space="preserve"> and others that were hospitalized are in group 7. Those that needed evaluation at the Covid-19 clinic </w:t>
      </w:r>
      <w:r>
        <w:rPr>
          <w:rFonts w:ascii="Times New Roman" w:hAnsi="Times New Roman" w:cs="Times New Roman"/>
          <w:sz w:val="20"/>
          <w:szCs w:val="20"/>
          <w:lang w:val="en-US"/>
        </w:rPr>
        <w:t>are in group 6</w:t>
      </w:r>
      <w:r w:rsidR="00444D02">
        <w:rPr>
          <w:rFonts w:ascii="Times New Roman" w:hAnsi="Times New Roman" w:cs="Times New Roman"/>
          <w:sz w:val="20"/>
          <w:szCs w:val="20"/>
          <w:lang w:val="en-US"/>
        </w:rPr>
        <w:t xml:space="preserve">. </w:t>
      </w:r>
      <w:r w:rsidR="00444D02" w:rsidRPr="00444D02">
        <w:rPr>
          <w:rFonts w:ascii="Times New Roman" w:hAnsi="Times New Roman" w:cs="Times New Roman"/>
          <w:sz w:val="20"/>
          <w:szCs w:val="20"/>
          <w:lang w:val="en-US"/>
        </w:rPr>
        <w:t xml:space="preserve">All persons diagnosed with SARS-CoV-2 infection by qPCR in Iceland were monitored by the telehealth monitoring service </w:t>
      </w:r>
      <w:r w:rsidR="00444D02">
        <w:rPr>
          <w:rFonts w:ascii="Times New Roman" w:hAnsi="Times New Roman" w:cs="Times New Roman"/>
          <w:sz w:val="20"/>
          <w:szCs w:val="20"/>
          <w:lang w:val="en-US"/>
        </w:rPr>
        <w:t>(TMS), and those who were classified with moderate or high severity by the TMS are in group 5. For the remaining individuals, that were classified with low severity by the TMS, we used self-assessment of the severity of the illness, and grouped those that reported sever</w:t>
      </w:r>
      <w:r>
        <w:rPr>
          <w:rFonts w:ascii="Times New Roman" w:hAnsi="Times New Roman" w:cs="Times New Roman"/>
          <w:sz w:val="20"/>
          <w:szCs w:val="20"/>
          <w:lang w:val="en-US"/>
        </w:rPr>
        <w:t>e</w:t>
      </w:r>
      <w:r w:rsidR="00444D02">
        <w:rPr>
          <w:rFonts w:ascii="Times New Roman" w:hAnsi="Times New Roman" w:cs="Times New Roman"/>
          <w:sz w:val="20"/>
          <w:szCs w:val="20"/>
          <w:lang w:val="en-US"/>
        </w:rPr>
        <w:t xml:space="preserve"> illness in group 4, those that reported </w:t>
      </w:r>
      <w:r>
        <w:rPr>
          <w:rFonts w:ascii="Times New Roman" w:hAnsi="Times New Roman" w:cs="Times New Roman"/>
          <w:sz w:val="20"/>
          <w:szCs w:val="20"/>
          <w:lang w:val="en-US"/>
        </w:rPr>
        <w:t>moderate illness in group 3, those that reported mild illness in group 2 and those that reported no illness in group 1. To simplify, we then defined severity categories, ranging from 1-4, where two groups from the severity scale are in each category (Table S1).</w:t>
      </w:r>
    </w:p>
    <w:p w14:paraId="22184590" w14:textId="26B295C7" w:rsidR="00814633" w:rsidRDefault="00814633" w:rsidP="00D36B01">
      <w:pPr>
        <w:pStyle w:val="Style2"/>
      </w:pPr>
      <w:bookmarkStart w:id="35" w:name="_Hlk96937350"/>
      <w:bookmarkStart w:id="36" w:name="_Toc100246251"/>
      <w:r w:rsidRPr="00814633">
        <w:t>Batch effect in phenotypic measures</w:t>
      </w:r>
      <w:bookmarkEnd w:id="36"/>
    </w:p>
    <w:p w14:paraId="378759F9" w14:textId="6FB35192" w:rsidR="00D16405" w:rsidRDefault="00D16405" w:rsidP="00BB4B40">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T</w:t>
      </w:r>
      <w:r w:rsidR="00814633">
        <w:rPr>
          <w:rFonts w:ascii="Times New Roman" w:hAnsi="Times New Roman" w:cs="Times New Roman"/>
          <w:sz w:val="20"/>
          <w:szCs w:val="20"/>
          <w:lang w:val="en-US"/>
        </w:rPr>
        <w:t xml:space="preserve">he majority of phenotypic measures were </w:t>
      </w:r>
      <w:r w:rsidR="00FD7205">
        <w:rPr>
          <w:rFonts w:ascii="Times New Roman" w:hAnsi="Times New Roman" w:cs="Times New Roman"/>
          <w:sz w:val="20"/>
          <w:szCs w:val="20"/>
          <w:lang w:val="en-US"/>
        </w:rPr>
        <w:t>collected</w:t>
      </w:r>
      <w:r w:rsidR="00814633">
        <w:rPr>
          <w:rFonts w:ascii="Times New Roman" w:hAnsi="Times New Roman" w:cs="Times New Roman"/>
          <w:sz w:val="20"/>
          <w:szCs w:val="20"/>
          <w:lang w:val="en-US"/>
        </w:rPr>
        <w:t xml:space="preserve"> </w:t>
      </w:r>
      <w:r w:rsidR="00FD7205">
        <w:rPr>
          <w:rFonts w:ascii="Times New Roman" w:hAnsi="Times New Roman" w:cs="Times New Roman"/>
          <w:sz w:val="20"/>
          <w:szCs w:val="20"/>
          <w:lang w:val="en-US"/>
        </w:rPr>
        <w:t xml:space="preserve">both </w:t>
      </w:r>
      <w:r w:rsidR="00814633">
        <w:rPr>
          <w:rFonts w:ascii="Times New Roman" w:hAnsi="Times New Roman" w:cs="Times New Roman"/>
          <w:sz w:val="20"/>
          <w:szCs w:val="20"/>
          <w:lang w:val="en-US"/>
        </w:rPr>
        <w:t>before the pandemic</w:t>
      </w:r>
      <w:r w:rsidR="00FD7205">
        <w:rPr>
          <w:rFonts w:ascii="Times New Roman" w:hAnsi="Times New Roman" w:cs="Times New Roman"/>
          <w:sz w:val="20"/>
          <w:szCs w:val="20"/>
          <w:lang w:val="en-US"/>
        </w:rPr>
        <w:t xml:space="preserve"> (historical</w:t>
      </w:r>
      <w:r w:rsidR="003B7FB1">
        <w:rPr>
          <w:rFonts w:ascii="Times New Roman" w:hAnsi="Times New Roman" w:cs="Times New Roman"/>
          <w:sz w:val="20"/>
          <w:szCs w:val="20"/>
          <w:lang w:val="en-US"/>
        </w:rPr>
        <w:t xml:space="preserve"> control</w:t>
      </w:r>
      <w:r w:rsidR="00FD7205">
        <w:rPr>
          <w:rFonts w:ascii="Times New Roman" w:hAnsi="Times New Roman" w:cs="Times New Roman"/>
          <w:sz w:val="20"/>
          <w:szCs w:val="20"/>
          <w:lang w:val="en-US"/>
        </w:rPr>
        <w:t>s), and during the pandemic (co</w:t>
      </w:r>
      <w:r w:rsidR="00BE18BE">
        <w:rPr>
          <w:rFonts w:ascii="Times New Roman" w:hAnsi="Times New Roman" w:cs="Times New Roman"/>
          <w:sz w:val="20"/>
          <w:szCs w:val="20"/>
          <w:lang w:val="en-US"/>
        </w:rPr>
        <w:t>n</w:t>
      </w:r>
      <w:r w:rsidR="00FD7205">
        <w:rPr>
          <w:rFonts w:ascii="Times New Roman" w:hAnsi="Times New Roman" w:cs="Times New Roman"/>
          <w:sz w:val="20"/>
          <w:szCs w:val="20"/>
          <w:lang w:val="en-US"/>
        </w:rPr>
        <w:t>temporary controls)</w:t>
      </w:r>
      <w:r>
        <w:rPr>
          <w:rFonts w:ascii="Times New Roman" w:hAnsi="Times New Roman" w:cs="Times New Roman"/>
          <w:sz w:val="20"/>
          <w:szCs w:val="20"/>
          <w:lang w:val="en-US"/>
        </w:rPr>
        <w:t xml:space="preserve">. </w:t>
      </w:r>
      <w:r w:rsidR="00297BCE">
        <w:rPr>
          <w:rFonts w:ascii="Times New Roman" w:hAnsi="Times New Roman" w:cs="Times New Roman"/>
          <w:sz w:val="20"/>
          <w:szCs w:val="20"/>
          <w:lang w:val="en-US"/>
        </w:rPr>
        <w:t xml:space="preserve">This </w:t>
      </w:r>
      <w:r w:rsidR="002D686B">
        <w:rPr>
          <w:rFonts w:ascii="Times New Roman" w:hAnsi="Times New Roman" w:cs="Times New Roman"/>
          <w:sz w:val="20"/>
          <w:szCs w:val="20"/>
          <w:lang w:val="en-US"/>
        </w:rPr>
        <w:t xml:space="preserve">data availability during the time from June 2016 to September 2021 </w:t>
      </w:r>
      <w:r w:rsidR="00297BCE">
        <w:rPr>
          <w:rFonts w:ascii="Times New Roman" w:hAnsi="Times New Roman" w:cs="Times New Roman"/>
          <w:sz w:val="20"/>
          <w:szCs w:val="20"/>
          <w:lang w:val="en-US"/>
        </w:rPr>
        <w:t>allowed for batch effect tests in</w:t>
      </w:r>
      <w:r w:rsidR="00814633">
        <w:rPr>
          <w:rFonts w:ascii="Times New Roman" w:hAnsi="Times New Roman" w:cs="Times New Roman"/>
          <w:sz w:val="20"/>
          <w:szCs w:val="20"/>
          <w:lang w:val="en-US"/>
        </w:rPr>
        <w:t xml:space="preserve"> physiological</w:t>
      </w:r>
      <w:r w:rsidR="00B70D2C">
        <w:rPr>
          <w:rFonts w:ascii="Times New Roman" w:hAnsi="Times New Roman" w:cs="Times New Roman"/>
          <w:sz w:val="20"/>
          <w:szCs w:val="20"/>
          <w:lang w:val="en-US"/>
        </w:rPr>
        <w:t>, blood,</w:t>
      </w:r>
      <w:r w:rsidR="00814633">
        <w:rPr>
          <w:rFonts w:ascii="Times New Roman" w:hAnsi="Times New Roman" w:cs="Times New Roman"/>
          <w:sz w:val="20"/>
          <w:szCs w:val="20"/>
          <w:lang w:val="en-US"/>
        </w:rPr>
        <w:t xml:space="preserve"> and </w:t>
      </w:r>
      <w:r w:rsidR="0009154F">
        <w:rPr>
          <w:rFonts w:ascii="Times New Roman" w:hAnsi="Times New Roman" w:cs="Times New Roman"/>
          <w:sz w:val="20"/>
          <w:szCs w:val="20"/>
          <w:lang w:val="en-US"/>
        </w:rPr>
        <w:t xml:space="preserve">cognitive measures. </w:t>
      </w:r>
      <w:r w:rsidR="00FD7205">
        <w:rPr>
          <w:rFonts w:ascii="Times New Roman" w:hAnsi="Times New Roman" w:cs="Times New Roman"/>
          <w:sz w:val="20"/>
          <w:szCs w:val="20"/>
          <w:lang w:val="en-US"/>
        </w:rPr>
        <w:t>W</w:t>
      </w:r>
      <w:r w:rsidR="00814633" w:rsidRPr="00BB4B40">
        <w:rPr>
          <w:rFonts w:ascii="Times New Roman" w:hAnsi="Times New Roman" w:cs="Times New Roman"/>
          <w:sz w:val="20"/>
          <w:szCs w:val="20"/>
          <w:lang w:val="en-US"/>
        </w:rPr>
        <w:t xml:space="preserve">e </w:t>
      </w:r>
      <w:r w:rsidR="0009154F">
        <w:rPr>
          <w:rFonts w:ascii="Times New Roman" w:hAnsi="Times New Roman" w:cs="Times New Roman"/>
          <w:sz w:val="20"/>
          <w:szCs w:val="20"/>
          <w:lang w:val="en-US"/>
        </w:rPr>
        <w:t xml:space="preserve">compared measures between </w:t>
      </w:r>
      <w:r w:rsidR="00335D0D">
        <w:rPr>
          <w:rFonts w:ascii="Times New Roman" w:hAnsi="Times New Roman" w:cs="Times New Roman"/>
          <w:sz w:val="20"/>
          <w:szCs w:val="20"/>
          <w:lang w:val="en-US"/>
        </w:rPr>
        <w:t xml:space="preserve">SARS-CoV-2 </w:t>
      </w:r>
      <w:r w:rsidR="0009154F">
        <w:rPr>
          <w:rFonts w:ascii="Times New Roman" w:hAnsi="Times New Roman" w:cs="Times New Roman"/>
          <w:sz w:val="20"/>
          <w:szCs w:val="20"/>
          <w:lang w:val="en-US"/>
        </w:rPr>
        <w:t>cases and controls, u</w:t>
      </w:r>
      <w:r w:rsidR="00814633" w:rsidRPr="00BB4B40">
        <w:rPr>
          <w:rFonts w:ascii="Times New Roman" w:hAnsi="Times New Roman" w:cs="Times New Roman"/>
          <w:sz w:val="20"/>
          <w:szCs w:val="20"/>
          <w:lang w:val="en-US"/>
        </w:rPr>
        <w:t>sing</w:t>
      </w:r>
      <w:r w:rsidR="0009154F">
        <w:rPr>
          <w:rFonts w:ascii="Times New Roman" w:hAnsi="Times New Roman" w:cs="Times New Roman"/>
          <w:sz w:val="20"/>
          <w:szCs w:val="20"/>
          <w:lang w:val="en-US"/>
        </w:rPr>
        <w:t xml:space="preserve"> </w:t>
      </w:r>
      <w:r w:rsidR="00814633" w:rsidRPr="00BB4B40">
        <w:rPr>
          <w:rFonts w:ascii="Times New Roman" w:hAnsi="Times New Roman" w:cs="Times New Roman"/>
          <w:sz w:val="20"/>
          <w:szCs w:val="20"/>
          <w:lang w:val="en-US"/>
        </w:rPr>
        <w:t xml:space="preserve">all available controls and </w:t>
      </w:r>
      <w:r w:rsidR="00FD7205">
        <w:rPr>
          <w:rFonts w:ascii="Times New Roman" w:hAnsi="Times New Roman" w:cs="Times New Roman"/>
          <w:sz w:val="20"/>
          <w:szCs w:val="20"/>
          <w:lang w:val="en-US"/>
        </w:rPr>
        <w:t>contemporary</w:t>
      </w:r>
      <w:r w:rsidR="00814633" w:rsidRPr="00BB4B40">
        <w:rPr>
          <w:rFonts w:ascii="Times New Roman" w:hAnsi="Times New Roman" w:cs="Times New Roman"/>
          <w:sz w:val="20"/>
          <w:szCs w:val="20"/>
          <w:lang w:val="en-US"/>
        </w:rPr>
        <w:t xml:space="preserve"> controls separately</w:t>
      </w:r>
      <w:r w:rsidR="0009154F">
        <w:rPr>
          <w:rFonts w:ascii="Times New Roman" w:hAnsi="Times New Roman" w:cs="Times New Roman"/>
          <w:sz w:val="20"/>
          <w:szCs w:val="20"/>
          <w:lang w:val="en-US"/>
        </w:rPr>
        <w:t xml:space="preserve">. </w:t>
      </w:r>
      <w:r>
        <w:rPr>
          <w:rFonts w:ascii="Times New Roman" w:hAnsi="Times New Roman" w:cs="Times New Roman"/>
          <w:sz w:val="20"/>
          <w:szCs w:val="20"/>
          <w:lang w:val="en-US"/>
        </w:rPr>
        <w:t>A</w:t>
      </w:r>
      <w:r w:rsidR="0009154F">
        <w:rPr>
          <w:rFonts w:ascii="Times New Roman" w:hAnsi="Times New Roman" w:cs="Times New Roman"/>
          <w:sz w:val="20"/>
          <w:szCs w:val="20"/>
          <w:lang w:val="en-US"/>
        </w:rPr>
        <w:t>dditionally</w:t>
      </w:r>
      <w:r w:rsidR="00814633" w:rsidRPr="00BB4B40">
        <w:rPr>
          <w:rFonts w:ascii="Times New Roman" w:hAnsi="Times New Roman" w:cs="Times New Roman"/>
          <w:sz w:val="20"/>
          <w:szCs w:val="20"/>
          <w:lang w:val="en-US"/>
        </w:rPr>
        <w:t xml:space="preserve">, </w:t>
      </w:r>
      <w:r w:rsidR="0009154F">
        <w:rPr>
          <w:rFonts w:ascii="Times New Roman" w:hAnsi="Times New Roman" w:cs="Times New Roman"/>
          <w:sz w:val="20"/>
          <w:szCs w:val="20"/>
          <w:lang w:val="en-US"/>
        </w:rPr>
        <w:t xml:space="preserve">we </w:t>
      </w:r>
      <w:r w:rsidR="00814633" w:rsidRPr="00BB4B40">
        <w:rPr>
          <w:rFonts w:ascii="Times New Roman" w:hAnsi="Times New Roman" w:cs="Times New Roman"/>
          <w:sz w:val="20"/>
          <w:szCs w:val="20"/>
          <w:lang w:val="en-US"/>
        </w:rPr>
        <w:t xml:space="preserve">compared measures between </w:t>
      </w:r>
      <w:r w:rsidR="00FD7205">
        <w:rPr>
          <w:rFonts w:ascii="Times New Roman" w:hAnsi="Times New Roman" w:cs="Times New Roman"/>
          <w:sz w:val="20"/>
          <w:szCs w:val="20"/>
          <w:lang w:val="en-US"/>
        </w:rPr>
        <w:t>historic</w:t>
      </w:r>
      <w:r w:rsidR="00814633" w:rsidRPr="00BB4B40">
        <w:rPr>
          <w:rFonts w:ascii="Times New Roman" w:hAnsi="Times New Roman" w:cs="Times New Roman"/>
          <w:sz w:val="20"/>
          <w:szCs w:val="20"/>
          <w:lang w:val="en-US"/>
        </w:rPr>
        <w:t xml:space="preserve"> and </w:t>
      </w:r>
      <w:r w:rsidR="00FD7205">
        <w:rPr>
          <w:rFonts w:ascii="Times New Roman" w:hAnsi="Times New Roman" w:cs="Times New Roman"/>
          <w:sz w:val="20"/>
          <w:szCs w:val="20"/>
          <w:lang w:val="en-US"/>
        </w:rPr>
        <w:t>contemporary</w:t>
      </w:r>
      <w:r w:rsidR="00814633" w:rsidRPr="00BB4B40">
        <w:rPr>
          <w:rFonts w:ascii="Times New Roman" w:hAnsi="Times New Roman" w:cs="Times New Roman"/>
          <w:sz w:val="20"/>
          <w:szCs w:val="20"/>
          <w:lang w:val="en-US"/>
        </w:rPr>
        <w:t xml:space="preserve"> controls</w:t>
      </w:r>
      <w:r w:rsidR="00BD4DE6">
        <w:rPr>
          <w:rFonts w:ascii="Times New Roman" w:hAnsi="Times New Roman" w:cs="Times New Roman"/>
          <w:sz w:val="20"/>
          <w:szCs w:val="20"/>
          <w:lang w:val="en-US"/>
        </w:rPr>
        <w:t>,</w:t>
      </w:r>
      <w:r w:rsidR="00D1435A">
        <w:rPr>
          <w:rFonts w:ascii="Times New Roman" w:hAnsi="Times New Roman" w:cs="Times New Roman"/>
          <w:sz w:val="20"/>
          <w:szCs w:val="20"/>
          <w:lang w:val="en-US"/>
        </w:rPr>
        <w:t xml:space="preserve"> where same direction effect for </w:t>
      </w:r>
      <w:r w:rsidR="00335D0D">
        <w:rPr>
          <w:rFonts w:ascii="Times New Roman" w:hAnsi="Times New Roman" w:cs="Times New Roman"/>
          <w:sz w:val="20"/>
          <w:szCs w:val="20"/>
          <w:lang w:val="en-US"/>
        </w:rPr>
        <w:t>contemporary</w:t>
      </w:r>
      <w:r w:rsidR="00D1435A">
        <w:rPr>
          <w:rFonts w:ascii="Times New Roman" w:hAnsi="Times New Roman" w:cs="Times New Roman"/>
          <w:sz w:val="20"/>
          <w:szCs w:val="20"/>
          <w:lang w:val="en-US"/>
        </w:rPr>
        <w:t xml:space="preserve"> controls as for cases was </w:t>
      </w:r>
      <w:r w:rsidR="00674773">
        <w:rPr>
          <w:rFonts w:ascii="Times New Roman" w:hAnsi="Times New Roman" w:cs="Times New Roman"/>
          <w:sz w:val="20"/>
          <w:szCs w:val="20"/>
          <w:lang w:val="en-US"/>
        </w:rPr>
        <w:t xml:space="preserve">interpreted as </w:t>
      </w:r>
      <w:r w:rsidR="0097140D">
        <w:rPr>
          <w:rFonts w:ascii="Times New Roman" w:hAnsi="Times New Roman" w:cs="Times New Roman"/>
          <w:sz w:val="20"/>
          <w:szCs w:val="20"/>
          <w:lang w:val="en-US"/>
        </w:rPr>
        <w:t>a possible</w:t>
      </w:r>
      <w:r w:rsidR="00D1435A">
        <w:rPr>
          <w:rFonts w:ascii="Times New Roman" w:hAnsi="Times New Roman" w:cs="Times New Roman"/>
          <w:sz w:val="20"/>
          <w:szCs w:val="20"/>
          <w:lang w:val="en-US"/>
        </w:rPr>
        <w:t xml:space="preserve"> </w:t>
      </w:r>
      <w:r w:rsidR="00674773">
        <w:rPr>
          <w:rFonts w:ascii="Times New Roman" w:hAnsi="Times New Roman" w:cs="Times New Roman"/>
          <w:sz w:val="20"/>
          <w:szCs w:val="20"/>
          <w:lang w:val="en-US"/>
        </w:rPr>
        <w:t xml:space="preserve">batch effect in the outcome measures. </w:t>
      </w:r>
      <w:r w:rsidR="00116747">
        <w:rPr>
          <w:rFonts w:ascii="Times New Roman" w:hAnsi="Times New Roman" w:cs="Times New Roman"/>
          <w:sz w:val="20"/>
          <w:szCs w:val="20"/>
          <w:lang w:val="en-US"/>
        </w:rPr>
        <w:t xml:space="preserve">We </w:t>
      </w:r>
      <w:r w:rsidR="00674773">
        <w:rPr>
          <w:rFonts w:ascii="Times New Roman" w:hAnsi="Times New Roman" w:cs="Times New Roman"/>
          <w:sz w:val="20"/>
          <w:szCs w:val="20"/>
          <w:lang w:val="en-US"/>
        </w:rPr>
        <w:t>then</w:t>
      </w:r>
      <w:r w:rsidR="00116747">
        <w:rPr>
          <w:rFonts w:ascii="Times New Roman" w:hAnsi="Times New Roman" w:cs="Times New Roman"/>
          <w:sz w:val="20"/>
          <w:szCs w:val="20"/>
          <w:lang w:val="en-US"/>
        </w:rPr>
        <w:t xml:space="preserve"> plotted the distribution of the measures by months </w:t>
      </w:r>
      <w:r w:rsidR="00BD4DE6">
        <w:rPr>
          <w:rFonts w:ascii="Times New Roman" w:hAnsi="Times New Roman" w:cs="Times New Roman"/>
          <w:sz w:val="20"/>
          <w:szCs w:val="20"/>
          <w:lang w:val="en-US"/>
        </w:rPr>
        <w:t>during</w:t>
      </w:r>
      <w:r w:rsidR="00674773">
        <w:rPr>
          <w:rFonts w:ascii="Times New Roman" w:hAnsi="Times New Roman" w:cs="Times New Roman"/>
          <w:sz w:val="20"/>
          <w:szCs w:val="20"/>
          <w:lang w:val="en-US"/>
        </w:rPr>
        <w:t xml:space="preserve"> </w:t>
      </w:r>
      <w:r w:rsidR="00116747">
        <w:rPr>
          <w:rFonts w:ascii="Times New Roman" w:hAnsi="Times New Roman" w:cs="Times New Roman"/>
          <w:sz w:val="20"/>
          <w:szCs w:val="20"/>
          <w:lang w:val="en-US"/>
        </w:rPr>
        <w:t xml:space="preserve">the data collection period </w:t>
      </w:r>
      <w:r w:rsidR="00674773">
        <w:rPr>
          <w:rFonts w:ascii="Times New Roman" w:hAnsi="Times New Roman" w:cs="Times New Roman"/>
          <w:sz w:val="20"/>
          <w:szCs w:val="20"/>
          <w:lang w:val="en-US"/>
        </w:rPr>
        <w:t xml:space="preserve">to </w:t>
      </w:r>
      <w:r w:rsidR="00903CD2">
        <w:rPr>
          <w:rFonts w:ascii="Times New Roman" w:hAnsi="Times New Roman" w:cs="Times New Roman"/>
          <w:sz w:val="20"/>
          <w:szCs w:val="20"/>
          <w:lang w:val="en-US"/>
        </w:rPr>
        <w:t>help characterize possible batch effects</w:t>
      </w:r>
      <w:r w:rsidR="00116747">
        <w:rPr>
          <w:rFonts w:ascii="Times New Roman" w:hAnsi="Times New Roman" w:cs="Times New Roman"/>
          <w:sz w:val="20"/>
          <w:szCs w:val="20"/>
          <w:lang w:val="en-US"/>
        </w:rPr>
        <w:t xml:space="preserve"> (Figure S</w:t>
      </w:r>
      <w:r w:rsidR="009447CC">
        <w:rPr>
          <w:rFonts w:ascii="Times New Roman" w:hAnsi="Times New Roman" w:cs="Times New Roman"/>
          <w:sz w:val="20"/>
          <w:szCs w:val="20"/>
          <w:lang w:val="en-US"/>
        </w:rPr>
        <w:t>4</w:t>
      </w:r>
      <w:r w:rsidR="00116747">
        <w:rPr>
          <w:rFonts w:ascii="Times New Roman" w:hAnsi="Times New Roman" w:cs="Times New Roman"/>
          <w:sz w:val="20"/>
          <w:szCs w:val="20"/>
          <w:lang w:val="en-US"/>
        </w:rPr>
        <w:t xml:space="preserve">). </w:t>
      </w:r>
      <w:r w:rsidR="0009154F">
        <w:rPr>
          <w:rFonts w:ascii="Times New Roman" w:hAnsi="Times New Roman" w:cs="Times New Roman"/>
          <w:sz w:val="20"/>
          <w:szCs w:val="20"/>
          <w:lang w:val="en-US"/>
        </w:rPr>
        <w:t>From these analys</w:t>
      </w:r>
      <w:r w:rsidR="005842EA">
        <w:rPr>
          <w:rFonts w:ascii="Times New Roman" w:hAnsi="Times New Roman" w:cs="Times New Roman"/>
          <w:sz w:val="20"/>
          <w:szCs w:val="20"/>
          <w:lang w:val="en-US"/>
        </w:rPr>
        <w:t>e</w:t>
      </w:r>
      <w:r w:rsidR="0009154F">
        <w:rPr>
          <w:rFonts w:ascii="Times New Roman" w:hAnsi="Times New Roman" w:cs="Times New Roman"/>
          <w:sz w:val="20"/>
          <w:szCs w:val="20"/>
          <w:lang w:val="en-US"/>
        </w:rPr>
        <w:t xml:space="preserve">s, we </w:t>
      </w:r>
      <w:r w:rsidR="00814633" w:rsidRPr="00BB4B40">
        <w:rPr>
          <w:rFonts w:ascii="Times New Roman" w:hAnsi="Times New Roman" w:cs="Times New Roman"/>
          <w:sz w:val="20"/>
          <w:szCs w:val="20"/>
          <w:lang w:val="en-US"/>
        </w:rPr>
        <w:t>observe</w:t>
      </w:r>
      <w:r w:rsidR="00FD7205">
        <w:rPr>
          <w:rFonts w:ascii="Times New Roman" w:hAnsi="Times New Roman" w:cs="Times New Roman"/>
          <w:sz w:val="20"/>
          <w:szCs w:val="20"/>
          <w:lang w:val="en-US"/>
        </w:rPr>
        <w:t>d</w:t>
      </w:r>
      <w:r w:rsidR="00814633" w:rsidRPr="00BB4B40">
        <w:rPr>
          <w:rFonts w:ascii="Times New Roman" w:hAnsi="Times New Roman" w:cs="Times New Roman"/>
          <w:sz w:val="20"/>
          <w:szCs w:val="20"/>
          <w:lang w:val="en-US"/>
        </w:rPr>
        <w:t xml:space="preserve"> batch effects for the hearing test, oxygen saturation</w:t>
      </w:r>
      <w:r w:rsidR="00FE5B2F">
        <w:rPr>
          <w:rFonts w:ascii="Times New Roman" w:hAnsi="Times New Roman" w:cs="Times New Roman"/>
          <w:sz w:val="20"/>
          <w:szCs w:val="20"/>
          <w:lang w:val="en-US"/>
        </w:rPr>
        <w:t xml:space="preserve">, </w:t>
      </w:r>
      <w:r w:rsidR="00814633" w:rsidRPr="00BB4B40">
        <w:rPr>
          <w:rFonts w:ascii="Times New Roman" w:hAnsi="Times New Roman" w:cs="Times New Roman"/>
          <w:sz w:val="20"/>
          <w:szCs w:val="20"/>
          <w:lang w:val="en-US"/>
        </w:rPr>
        <w:t>grip strength</w:t>
      </w:r>
      <w:r w:rsidR="00FE5B2F">
        <w:rPr>
          <w:rFonts w:ascii="Times New Roman" w:hAnsi="Times New Roman" w:cs="Times New Roman"/>
          <w:sz w:val="20"/>
          <w:szCs w:val="20"/>
          <w:lang w:val="en-US"/>
        </w:rPr>
        <w:t xml:space="preserve"> and blood tests</w:t>
      </w:r>
      <w:r w:rsidR="0009154F">
        <w:rPr>
          <w:rFonts w:ascii="Times New Roman" w:hAnsi="Times New Roman" w:cs="Times New Roman"/>
          <w:sz w:val="20"/>
          <w:szCs w:val="20"/>
          <w:lang w:val="en-US"/>
        </w:rPr>
        <w:t xml:space="preserve">. </w:t>
      </w:r>
    </w:p>
    <w:p w14:paraId="7B88E446" w14:textId="3748BBD4" w:rsidR="00D16405" w:rsidRDefault="000C36CF" w:rsidP="00BB4B40">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As an example, f</w:t>
      </w:r>
      <w:r w:rsidR="0009154F">
        <w:rPr>
          <w:rFonts w:ascii="Times New Roman" w:hAnsi="Times New Roman" w:cs="Times New Roman"/>
          <w:sz w:val="20"/>
          <w:szCs w:val="20"/>
          <w:lang w:val="en-US"/>
        </w:rPr>
        <w:t>or the hearing test</w:t>
      </w:r>
      <w:r w:rsidR="004F54BB">
        <w:rPr>
          <w:rFonts w:ascii="Times New Roman" w:hAnsi="Times New Roman" w:cs="Times New Roman"/>
          <w:sz w:val="20"/>
          <w:szCs w:val="20"/>
          <w:lang w:val="en-US"/>
        </w:rPr>
        <w:t>,</w:t>
      </w:r>
      <w:r w:rsidR="00B17BA4">
        <w:rPr>
          <w:rFonts w:ascii="Times New Roman" w:hAnsi="Times New Roman" w:cs="Times New Roman"/>
          <w:sz w:val="20"/>
          <w:szCs w:val="20"/>
          <w:lang w:val="en-US"/>
        </w:rPr>
        <w:t xml:space="preserve"> </w:t>
      </w:r>
      <w:r w:rsidR="00297BCE">
        <w:rPr>
          <w:rFonts w:ascii="Times New Roman" w:hAnsi="Times New Roman" w:cs="Times New Roman"/>
          <w:sz w:val="20"/>
          <w:szCs w:val="20"/>
          <w:lang w:val="en-US"/>
        </w:rPr>
        <w:t>the</w:t>
      </w:r>
      <w:r w:rsidR="0009154F">
        <w:rPr>
          <w:rFonts w:ascii="Times New Roman" w:hAnsi="Times New Roman" w:cs="Times New Roman"/>
          <w:sz w:val="20"/>
          <w:szCs w:val="20"/>
          <w:lang w:val="en-US"/>
        </w:rPr>
        <w:t xml:space="preserve"> </w:t>
      </w:r>
      <w:r w:rsidR="00D16405">
        <w:rPr>
          <w:rFonts w:ascii="Times New Roman" w:hAnsi="Times New Roman" w:cs="Times New Roman"/>
          <w:sz w:val="20"/>
          <w:szCs w:val="20"/>
          <w:lang w:val="en-US"/>
        </w:rPr>
        <w:t xml:space="preserve">hearing thresholds </w:t>
      </w:r>
      <w:r w:rsidR="0009154F">
        <w:rPr>
          <w:rFonts w:ascii="Times New Roman" w:hAnsi="Times New Roman" w:cs="Times New Roman"/>
          <w:sz w:val="20"/>
          <w:szCs w:val="20"/>
          <w:lang w:val="en-US"/>
        </w:rPr>
        <w:t xml:space="preserve">were lower </w:t>
      </w:r>
      <w:r w:rsidR="00CB1F7F">
        <w:rPr>
          <w:rFonts w:ascii="Times New Roman" w:hAnsi="Times New Roman" w:cs="Times New Roman"/>
          <w:sz w:val="20"/>
          <w:szCs w:val="20"/>
          <w:lang w:val="en-US"/>
        </w:rPr>
        <w:t>for cases compared to all controls and also for contemporary controls compared to historical</w:t>
      </w:r>
      <w:r w:rsidR="00D16405">
        <w:rPr>
          <w:rFonts w:ascii="Times New Roman" w:hAnsi="Times New Roman" w:cs="Times New Roman"/>
          <w:sz w:val="20"/>
          <w:szCs w:val="20"/>
          <w:lang w:val="en-US"/>
        </w:rPr>
        <w:t xml:space="preserve"> controls. </w:t>
      </w:r>
      <w:r w:rsidR="00CB1F7F">
        <w:rPr>
          <w:rFonts w:ascii="Times New Roman" w:hAnsi="Times New Roman" w:cs="Times New Roman"/>
          <w:sz w:val="20"/>
          <w:szCs w:val="20"/>
          <w:lang w:val="en-US"/>
        </w:rPr>
        <w:t xml:space="preserve">Plotting </w:t>
      </w:r>
      <w:r w:rsidR="009B32F1">
        <w:rPr>
          <w:rFonts w:ascii="Times New Roman" w:hAnsi="Times New Roman" w:cs="Times New Roman"/>
          <w:sz w:val="20"/>
          <w:szCs w:val="20"/>
          <w:lang w:val="en-US"/>
        </w:rPr>
        <w:t>pure tone average (PTA)</w:t>
      </w:r>
      <w:r w:rsidR="00CB1F7F">
        <w:rPr>
          <w:rFonts w:ascii="Times New Roman" w:hAnsi="Times New Roman" w:cs="Times New Roman"/>
          <w:sz w:val="20"/>
          <w:szCs w:val="20"/>
          <w:lang w:val="en-US"/>
        </w:rPr>
        <w:t xml:space="preserve"> over time</w:t>
      </w:r>
      <w:r w:rsidR="00D16405">
        <w:rPr>
          <w:rFonts w:ascii="Times New Roman" w:hAnsi="Times New Roman" w:cs="Times New Roman"/>
          <w:sz w:val="20"/>
          <w:szCs w:val="20"/>
          <w:lang w:val="en-US"/>
        </w:rPr>
        <w:t xml:space="preserve"> we observed that hearing thresholds were higher during a time period from 2018 to 2019 (Figure S</w:t>
      </w:r>
      <w:r w:rsidR="00B17BA4">
        <w:rPr>
          <w:rFonts w:ascii="Times New Roman" w:hAnsi="Times New Roman" w:cs="Times New Roman"/>
          <w:sz w:val="20"/>
          <w:szCs w:val="20"/>
          <w:lang w:val="en-US"/>
        </w:rPr>
        <w:t>4</w:t>
      </w:r>
      <w:r w:rsidR="00D16405">
        <w:rPr>
          <w:rFonts w:ascii="Times New Roman" w:hAnsi="Times New Roman" w:cs="Times New Roman"/>
          <w:sz w:val="20"/>
          <w:szCs w:val="20"/>
          <w:lang w:val="en-US"/>
        </w:rPr>
        <w:t>.a). Therefore, we only used controls measured after 2019 for the hearing test</w:t>
      </w:r>
      <w:r w:rsidR="00661FB7">
        <w:rPr>
          <w:rFonts w:ascii="Times New Roman" w:hAnsi="Times New Roman" w:cs="Times New Roman"/>
          <w:sz w:val="20"/>
          <w:szCs w:val="20"/>
          <w:lang w:val="en-US"/>
        </w:rPr>
        <w:t>.</w:t>
      </w:r>
    </w:p>
    <w:p w14:paraId="5682120F" w14:textId="4493E491" w:rsidR="0009154F" w:rsidRDefault="00991AC0" w:rsidP="00BB4B40">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G</w:t>
      </w:r>
      <w:r w:rsidR="008D17E2">
        <w:rPr>
          <w:rFonts w:ascii="Times New Roman" w:hAnsi="Times New Roman" w:cs="Times New Roman"/>
          <w:sz w:val="20"/>
          <w:szCs w:val="20"/>
          <w:lang w:val="en-US"/>
        </w:rPr>
        <w:t xml:space="preserve">rip strength </w:t>
      </w:r>
      <w:r w:rsidR="00737A27">
        <w:rPr>
          <w:rFonts w:ascii="Times New Roman" w:hAnsi="Times New Roman" w:cs="Times New Roman"/>
          <w:sz w:val="20"/>
          <w:szCs w:val="20"/>
          <w:lang w:val="en-US"/>
        </w:rPr>
        <w:t xml:space="preserve">measures </w:t>
      </w:r>
      <w:r w:rsidR="008D17E2">
        <w:rPr>
          <w:rFonts w:ascii="Times New Roman" w:hAnsi="Times New Roman" w:cs="Times New Roman"/>
          <w:sz w:val="20"/>
          <w:szCs w:val="20"/>
          <w:lang w:val="en-US"/>
        </w:rPr>
        <w:t>w</w:t>
      </w:r>
      <w:r w:rsidR="00737A27">
        <w:rPr>
          <w:rFonts w:ascii="Times New Roman" w:hAnsi="Times New Roman" w:cs="Times New Roman"/>
          <w:sz w:val="20"/>
          <w:szCs w:val="20"/>
          <w:lang w:val="en-US"/>
        </w:rPr>
        <w:t>ere</w:t>
      </w:r>
      <w:r w:rsidR="008D17E2">
        <w:rPr>
          <w:rFonts w:ascii="Times New Roman" w:hAnsi="Times New Roman" w:cs="Times New Roman"/>
          <w:sz w:val="20"/>
          <w:szCs w:val="20"/>
          <w:lang w:val="en-US"/>
        </w:rPr>
        <w:t xml:space="preserve"> lower during a time period in 2017 (Figure S</w:t>
      </w:r>
      <w:r w:rsidR="00B17BA4">
        <w:rPr>
          <w:rFonts w:ascii="Times New Roman" w:hAnsi="Times New Roman" w:cs="Times New Roman"/>
          <w:sz w:val="20"/>
          <w:szCs w:val="20"/>
          <w:lang w:val="en-US"/>
        </w:rPr>
        <w:t>4</w:t>
      </w:r>
      <w:r w:rsidR="008D17E2">
        <w:rPr>
          <w:rFonts w:ascii="Times New Roman" w:hAnsi="Times New Roman" w:cs="Times New Roman"/>
          <w:sz w:val="20"/>
          <w:szCs w:val="20"/>
          <w:lang w:val="en-US"/>
        </w:rPr>
        <w:t>.</w:t>
      </w:r>
      <w:r w:rsidR="00B17BA4">
        <w:rPr>
          <w:rFonts w:ascii="Times New Roman" w:hAnsi="Times New Roman" w:cs="Times New Roman"/>
          <w:sz w:val="20"/>
          <w:szCs w:val="20"/>
          <w:lang w:val="en-US"/>
        </w:rPr>
        <w:t>c</w:t>
      </w:r>
      <w:r w:rsidR="008D17E2">
        <w:rPr>
          <w:rFonts w:ascii="Times New Roman" w:hAnsi="Times New Roman" w:cs="Times New Roman"/>
          <w:sz w:val="20"/>
          <w:szCs w:val="20"/>
          <w:lang w:val="en-US"/>
        </w:rPr>
        <w:t>). Therefore, we only used controls measured after 2017 for the grip strength test</w:t>
      </w:r>
      <w:r w:rsidR="00F25E4B">
        <w:rPr>
          <w:rFonts w:ascii="Times New Roman" w:hAnsi="Times New Roman" w:cs="Times New Roman"/>
          <w:sz w:val="20"/>
          <w:szCs w:val="20"/>
          <w:lang w:val="en-US"/>
        </w:rPr>
        <w:t xml:space="preserve">. </w:t>
      </w:r>
      <w:r w:rsidR="0009154F">
        <w:rPr>
          <w:rFonts w:ascii="Times New Roman" w:hAnsi="Times New Roman" w:cs="Times New Roman"/>
          <w:sz w:val="20"/>
          <w:szCs w:val="20"/>
          <w:lang w:val="en-US"/>
        </w:rPr>
        <w:t xml:space="preserve">For the </w:t>
      </w:r>
      <w:r w:rsidR="00D16405">
        <w:rPr>
          <w:rFonts w:ascii="Times New Roman" w:hAnsi="Times New Roman" w:cs="Times New Roman"/>
          <w:sz w:val="20"/>
          <w:szCs w:val="20"/>
          <w:lang w:val="en-US"/>
        </w:rPr>
        <w:t>oxygen saturation test, we observed that SpO2 was higher after 2019 (Figure S</w:t>
      </w:r>
      <w:r w:rsidR="00B17BA4">
        <w:rPr>
          <w:rFonts w:ascii="Times New Roman" w:hAnsi="Times New Roman" w:cs="Times New Roman"/>
          <w:sz w:val="20"/>
          <w:szCs w:val="20"/>
          <w:lang w:val="en-US"/>
        </w:rPr>
        <w:t>4</w:t>
      </w:r>
      <w:r w:rsidR="00D16405">
        <w:rPr>
          <w:rFonts w:ascii="Times New Roman" w:hAnsi="Times New Roman" w:cs="Times New Roman"/>
          <w:sz w:val="20"/>
          <w:szCs w:val="20"/>
          <w:lang w:val="en-US"/>
        </w:rPr>
        <w:t xml:space="preserve">.b). Therefore, we only used </w:t>
      </w:r>
      <w:r w:rsidR="00335D0D">
        <w:rPr>
          <w:rFonts w:ascii="Times New Roman" w:hAnsi="Times New Roman" w:cs="Times New Roman"/>
          <w:sz w:val="20"/>
          <w:szCs w:val="20"/>
          <w:lang w:val="en-US"/>
        </w:rPr>
        <w:t>contemporary</w:t>
      </w:r>
      <w:r w:rsidR="00D16405">
        <w:rPr>
          <w:rFonts w:ascii="Times New Roman" w:hAnsi="Times New Roman" w:cs="Times New Roman"/>
          <w:sz w:val="20"/>
          <w:szCs w:val="20"/>
          <w:lang w:val="en-US"/>
        </w:rPr>
        <w:t xml:space="preserve"> controls for the oxygen saturation test.</w:t>
      </w:r>
      <w:r w:rsidR="00AD5C5D">
        <w:rPr>
          <w:rFonts w:ascii="Times New Roman" w:hAnsi="Times New Roman" w:cs="Times New Roman"/>
          <w:sz w:val="20"/>
          <w:szCs w:val="20"/>
          <w:lang w:val="en-US"/>
        </w:rPr>
        <w:t xml:space="preserve"> Due to </w:t>
      </w:r>
      <w:r w:rsidR="00AD5C5D">
        <w:rPr>
          <w:rFonts w:ascii="Times New Roman" w:hAnsi="Times New Roman" w:cs="Times New Roman"/>
          <w:sz w:val="20"/>
          <w:szCs w:val="20"/>
          <w:lang w:val="en-US"/>
        </w:rPr>
        <w:lastRenderedPageBreak/>
        <w:t>batch effects detected in a similar vein as described above, we restrict the control dataset to only contemporary controls for oxygen saturation test (SpO2) (Figure S4.b.), and blood tests.</w:t>
      </w:r>
    </w:p>
    <w:p w14:paraId="758FE79A" w14:textId="7BA1895F" w:rsidR="00FD7205" w:rsidRDefault="00AD246B" w:rsidP="00BB4B40">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Because of observed</w:t>
      </w:r>
      <w:r w:rsidR="00E77328">
        <w:rPr>
          <w:rFonts w:ascii="Times New Roman" w:hAnsi="Times New Roman" w:cs="Times New Roman"/>
          <w:sz w:val="20"/>
          <w:szCs w:val="20"/>
          <w:lang w:val="en-US"/>
        </w:rPr>
        <w:t xml:space="preserve"> </w:t>
      </w:r>
      <w:r w:rsidR="00FD7205">
        <w:rPr>
          <w:rFonts w:ascii="Times New Roman" w:hAnsi="Times New Roman" w:cs="Times New Roman"/>
          <w:sz w:val="20"/>
          <w:szCs w:val="20"/>
          <w:lang w:val="en-US"/>
        </w:rPr>
        <w:t>volatility in the blood test measures</w:t>
      </w:r>
      <w:r w:rsidR="00991AC0">
        <w:rPr>
          <w:rFonts w:ascii="Times New Roman" w:hAnsi="Times New Roman" w:cs="Times New Roman"/>
          <w:sz w:val="20"/>
          <w:szCs w:val="20"/>
          <w:lang w:val="en-US"/>
        </w:rPr>
        <w:t>, often</w:t>
      </w:r>
      <w:r w:rsidR="00941376">
        <w:rPr>
          <w:rFonts w:ascii="Times New Roman" w:hAnsi="Times New Roman" w:cs="Times New Roman"/>
          <w:sz w:val="20"/>
          <w:szCs w:val="20"/>
          <w:lang w:val="en-US"/>
        </w:rPr>
        <w:t xml:space="preserve"> </w:t>
      </w:r>
      <w:r w:rsidR="00991AC0">
        <w:rPr>
          <w:rFonts w:ascii="Times New Roman" w:hAnsi="Times New Roman" w:cs="Times New Roman"/>
          <w:sz w:val="20"/>
          <w:szCs w:val="20"/>
          <w:lang w:val="en-US"/>
        </w:rPr>
        <w:t xml:space="preserve">during the whole data collection period </w:t>
      </w:r>
      <w:r w:rsidR="00941376">
        <w:rPr>
          <w:rFonts w:ascii="Times New Roman" w:hAnsi="Times New Roman" w:cs="Times New Roman"/>
          <w:sz w:val="20"/>
          <w:szCs w:val="20"/>
          <w:lang w:val="en-US"/>
        </w:rPr>
        <w:t>and</w:t>
      </w:r>
      <w:r w:rsidR="0080406F">
        <w:rPr>
          <w:rFonts w:ascii="Times New Roman" w:hAnsi="Times New Roman" w:cs="Times New Roman"/>
          <w:sz w:val="20"/>
          <w:szCs w:val="20"/>
          <w:lang w:val="en-US"/>
        </w:rPr>
        <w:t xml:space="preserve"> hence,</w:t>
      </w:r>
      <w:r w:rsidR="00941376">
        <w:rPr>
          <w:rFonts w:ascii="Times New Roman" w:hAnsi="Times New Roman" w:cs="Times New Roman"/>
          <w:sz w:val="20"/>
          <w:szCs w:val="20"/>
          <w:lang w:val="en-US"/>
        </w:rPr>
        <w:t xml:space="preserve"> the </w:t>
      </w:r>
      <w:r w:rsidR="0080406F">
        <w:rPr>
          <w:rFonts w:ascii="Times New Roman" w:hAnsi="Times New Roman" w:cs="Times New Roman"/>
          <w:sz w:val="20"/>
          <w:szCs w:val="20"/>
          <w:lang w:val="en-US"/>
        </w:rPr>
        <w:t xml:space="preserve">need </w:t>
      </w:r>
      <w:r w:rsidR="00941376">
        <w:rPr>
          <w:rFonts w:ascii="Times New Roman" w:hAnsi="Times New Roman" w:cs="Times New Roman"/>
          <w:sz w:val="20"/>
          <w:szCs w:val="20"/>
          <w:lang w:val="en-US"/>
        </w:rPr>
        <w:t>to adjust for time</w:t>
      </w:r>
      <w:r w:rsidR="0080406F">
        <w:rPr>
          <w:rFonts w:ascii="Times New Roman" w:hAnsi="Times New Roman" w:cs="Times New Roman"/>
          <w:sz w:val="20"/>
          <w:szCs w:val="20"/>
          <w:lang w:val="en-US"/>
        </w:rPr>
        <w:t xml:space="preserve"> effects</w:t>
      </w:r>
      <w:r w:rsidR="00FD7205">
        <w:rPr>
          <w:rFonts w:ascii="Times New Roman" w:hAnsi="Times New Roman" w:cs="Times New Roman"/>
          <w:sz w:val="20"/>
          <w:szCs w:val="20"/>
          <w:lang w:val="en-US"/>
        </w:rPr>
        <w:t xml:space="preserve">, we </w:t>
      </w:r>
      <w:r w:rsidR="00A113AB">
        <w:rPr>
          <w:rFonts w:ascii="Times New Roman" w:hAnsi="Times New Roman" w:cs="Times New Roman"/>
          <w:sz w:val="20"/>
          <w:szCs w:val="20"/>
          <w:lang w:val="en-US"/>
        </w:rPr>
        <w:t>only compare</w:t>
      </w:r>
      <w:r w:rsidR="00FD7205">
        <w:rPr>
          <w:rFonts w:ascii="Times New Roman" w:hAnsi="Times New Roman" w:cs="Times New Roman"/>
          <w:sz w:val="20"/>
          <w:szCs w:val="20"/>
          <w:lang w:val="en-US"/>
        </w:rPr>
        <w:t xml:space="preserve"> blood measures </w:t>
      </w:r>
      <w:r w:rsidR="00A113AB">
        <w:rPr>
          <w:rFonts w:ascii="Times New Roman" w:hAnsi="Times New Roman" w:cs="Times New Roman"/>
          <w:sz w:val="20"/>
          <w:szCs w:val="20"/>
          <w:lang w:val="en-US"/>
        </w:rPr>
        <w:t>of</w:t>
      </w:r>
      <w:r w:rsidR="00FD7205">
        <w:rPr>
          <w:rFonts w:ascii="Times New Roman" w:hAnsi="Times New Roman" w:cs="Times New Roman"/>
          <w:sz w:val="20"/>
          <w:szCs w:val="20"/>
          <w:lang w:val="en-US"/>
        </w:rPr>
        <w:t xml:space="preserve"> cases </w:t>
      </w:r>
      <w:r w:rsidR="00A113AB">
        <w:rPr>
          <w:rFonts w:ascii="Times New Roman" w:hAnsi="Times New Roman" w:cs="Times New Roman"/>
          <w:sz w:val="20"/>
          <w:szCs w:val="20"/>
          <w:lang w:val="en-US"/>
        </w:rPr>
        <w:t>with those of</w:t>
      </w:r>
      <w:r w:rsidR="00FD7205">
        <w:rPr>
          <w:rFonts w:ascii="Times New Roman" w:hAnsi="Times New Roman" w:cs="Times New Roman"/>
          <w:sz w:val="20"/>
          <w:szCs w:val="20"/>
          <w:lang w:val="en-US"/>
        </w:rPr>
        <w:t xml:space="preserve"> contemporary controls</w:t>
      </w:r>
      <w:r w:rsidR="00A113AB">
        <w:rPr>
          <w:rFonts w:ascii="Times New Roman" w:hAnsi="Times New Roman" w:cs="Times New Roman"/>
          <w:sz w:val="20"/>
          <w:szCs w:val="20"/>
          <w:lang w:val="en-US"/>
        </w:rPr>
        <w:t xml:space="preserve"> and </w:t>
      </w:r>
      <w:r w:rsidR="00C17E5F">
        <w:rPr>
          <w:rFonts w:ascii="Times New Roman" w:hAnsi="Times New Roman" w:cs="Times New Roman"/>
          <w:sz w:val="20"/>
          <w:szCs w:val="20"/>
          <w:lang w:val="en-US"/>
        </w:rPr>
        <w:t>adjust</w:t>
      </w:r>
      <w:r w:rsidR="001D791E">
        <w:rPr>
          <w:rFonts w:ascii="Times New Roman" w:hAnsi="Times New Roman" w:cs="Times New Roman"/>
          <w:sz w:val="20"/>
          <w:szCs w:val="20"/>
          <w:lang w:val="en-US"/>
        </w:rPr>
        <w:t xml:space="preserve"> for time </w:t>
      </w:r>
      <w:r w:rsidR="00EF5074">
        <w:rPr>
          <w:rFonts w:ascii="Times New Roman" w:hAnsi="Times New Roman" w:cs="Times New Roman"/>
          <w:sz w:val="20"/>
          <w:szCs w:val="20"/>
          <w:lang w:val="en-US"/>
        </w:rPr>
        <w:t xml:space="preserve">by </w:t>
      </w:r>
      <w:r w:rsidR="00C17E5F">
        <w:rPr>
          <w:rFonts w:ascii="Times New Roman" w:hAnsi="Times New Roman" w:cs="Times New Roman"/>
          <w:sz w:val="20"/>
          <w:szCs w:val="20"/>
          <w:lang w:val="en-US"/>
        </w:rPr>
        <w:t xml:space="preserve">applying a smoothing function to month of measure </w:t>
      </w:r>
      <w:r w:rsidR="008A06CC">
        <w:rPr>
          <w:rFonts w:ascii="Times New Roman" w:hAnsi="Times New Roman" w:cs="Times New Roman"/>
          <w:sz w:val="20"/>
          <w:szCs w:val="20"/>
          <w:lang w:val="en-US"/>
        </w:rPr>
        <w:t xml:space="preserve">indicator </w:t>
      </w:r>
      <w:r w:rsidR="00C17E5F">
        <w:rPr>
          <w:rFonts w:ascii="Times New Roman" w:hAnsi="Times New Roman" w:cs="Times New Roman"/>
          <w:sz w:val="20"/>
          <w:szCs w:val="20"/>
          <w:lang w:val="en-US"/>
        </w:rPr>
        <w:t xml:space="preserve">using generalized additive model </w:t>
      </w:r>
      <w:r w:rsidR="001D791E">
        <w:rPr>
          <w:rFonts w:ascii="Times New Roman" w:hAnsi="Times New Roman" w:cs="Times New Roman"/>
          <w:sz w:val="20"/>
          <w:szCs w:val="20"/>
          <w:lang w:val="en-US"/>
        </w:rPr>
        <w:t>(gam() and s()</w:t>
      </w:r>
      <w:r w:rsidR="00C17E5F">
        <w:rPr>
          <w:rFonts w:ascii="Times New Roman" w:hAnsi="Times New Roman" w:cs="Times New Roman"/>
          <w:sz w:val="20"/>
          <w:szCs w:val="20"/>
          <w:lang w:val="en-US"/>
        </w:rPr>
        <w:t xml:space="preserve"> </w:t>
      </w:r>
      <w:r w:rsidR="00A113AB">
        <w:rPr>
          <w:rFonts w:ascii="Times New Roman" w:hAnsi="Times New Roman" w:cs="Times New Roman"/>
          <w:sz w:val="20"/>
          <w:szCs w:val="20"/>
          <w:lang w:val="en-US"/>
        </w:rPr>
        <w:t xml:space="preserve">in </w:t>
      </w:r>
      <w:r w:rsidR="00C17E5F">
        <w:rPr>
          <w:rFonts w:ascii="Times New Roman" w:hAnsi="Times New Roman" w:cs="Times New Roman"/>
          <w:sz w:val="20"/>
          <w:szCs w:val="20"/>
          <w:lang w:val="en-US"/>
        </w:rPr>
        <w:t>R mcgv package</w:t>
      </w:r>
      <w:r w:rsidR="001C3AB2">
        <w:rPr>
          <w:rFonts w:ascii="Times New Roman" w:hAnsi="Times New Roman" w:cs="Times New Roman"/>
          <w:sz w:val="20"/>
          <w:szCs w:val="20"/>
          <w:lang w:val="en-US"/>
        </w:rPr>
        <w:t xml:space="preserve"> with smooth class = thin plate regression splines</w:t>
      </w:r>
      <w:r w:rsidR="00C17E5F">
        <w:rPr>
          <w:rFonts w:ascii="Times New Roman" w:hAnsi="Times New Roman" w:cs="Times New Roman"/>
          <w:sz w:val="20"/>
          <w:szCs w:val="20"/>
          <w:lang w:val="en-US"/>
        </w:rPr>
        <w:t>)</w:t>
      </w:r>
      <w:r w:rsidR="00A113AB">
        <w:rPr>
          <w:rFonts w:ascii="Times New Roman" w:hAnsi="Times New Roman" w:cs="Times New Roman"/>
          <w:sz w:val="20"/>
          <w:szCs w:val="20"/>
          <w:lang w:val="en-US"/>
        </w:rPr>
        <w:t>. The results</w:t>
      </w:r>
      <w:r w:rsidR="00737CA6">
        <w:rPr>
          <w:rFonts w:ascii="Times New Roman" w:hAnsi="Times New Roman" w:cs="Times New Roman"/>
          <w:sz w:val="20"/>
          <w:szCs w:val="20"/>
          <w:lang w:val="en-US"/>
        </w:rPr>
        <w:t xml:space="preserve"> </w:t>
      </w:r>
      <w:r w:rsidR="00A113AB">
        <w:rPr>
          <w:rFonts w:ascii="Times New Roman" w:hAnsi="Times New Roman" w:cs="Times New Roman"/>
          <w:sz w:val="20"/>
          <w:szCs w:val="20"/>
          <w:lang w:val="en-US"/>
        </w:rPr>
        <w:t xml:space="preserve">were robust to changing the functional form of time </w:t>
      </w:r>
      <w:r w:rsidR="004850ED">
        <w:rPr>
          <w:rFonts w:ascii="Times New Roman" w:hAnsi="Times New Roman" w:cs="Times New Roman"/>
          <w:sz w:val="20"/>
          <w:szCs w:val="20"/>
          <w:lang w:val="en-US"/>
        </w:rPr>
        <w:t xml:space="preserve">in the blood equations </w:t>
      </w:r>
      <w:r w:rsidR="00A113AB">
        <w:rPr>
          <w:rFonts w:ascii="Times New Roman" w:hAnsi="Times New Roman" w:cs="Times New Roman"/>
          <w:sz w:val="20"/>
          <w:szCs w:val="20"/>
          <w:lang w:val="en-US"/>
        </w:rPr>
        <w:t>to month</w:t>
      </w:r>
      <w:r w:rsidR="00EF5074">
        <w:rPr>
          <w:rFonts w:ascii="Times New Roman" w:hAnsi="Times New Roman" w:cs="Times New Roman"/>
          <w:sz w:val="20"/>
          <w:szCs w:val="20"/>
          <w:lang w:val="en-US"/>
        </w:rPr>
        <w:t xml:space="preserve"> or week</w:t>
      </w:r>
      <w:r w:rsidR="00A113AB">
        <w:rPr>
          <w:rFonts w:ascii="Times New Roman" w:hAnsi="Times New Roman" w:cs="Times New Roman"/>
          <w:sz w:val="20"/>
          <w:szCs w:val="20"/>
          <w:lang w:val="en-US"/>
        </w:rPr>
        <w:t xml:space="preserve"> indicators.</w:t>
      </w:r>
    </w:p>
    <w:p w14:paraId="1703F03C" w14:textId="3FE1B1DD" w:rsidR="00821C77" w:rsidRDefault="00821C77" w:rsidP="00D36B01">
      <w:pPr>
        <w:pStyle w:val="Style2"/>
      </w:pPr>
      <w:bookmarkStart w:id="37" w:name="_Toc100246252"/>
      <w:bookmarkEnd w:id="35"/>
      <w:r>
        <w:t xml:space="preserve">Association </w:t>
      </w:r>
      <w:r w:rsidR="004C4773">
        <w:t>analyses</w:t>
      </w:r>
      <w:bookmarkEnd w:id="37"/>
    </w:p>
    <w:p w14:paraId="50714CEB" w14:textId="2BC82740" w:rsidR="004C4773" w:rsidRDefault="004C4773" w:rsidP="00236491">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When testing for associ</w:t>
      </w:r>
      <w:r w:rsidR="00236491">
        <w:rPr>
          <w:rFonts w:ascii="Times New Roman" w:hAnsi="Times New Roman" w:cs="Times New Roman"/>
          <w:sz w:val="20"/>
          <w:szCs w:val="20"/>
          <w:lang w:val="en-US"/>
        </w:rPr>
        <w:t xml:space="preserve">ation between phenotypes </w:t>
      </w:r>
      <w:r>
        <w:rPr>
          <w:rFonts w:ascii="Times New Roman" w:hAnsi="Times New Roman" w:cs="Times New Roman"/>
          <w:sz w:val="20"/>
          <w:szCs w:val="20"/>
          <w:lang w:val="en-US"/>
        </w:rPr>
        <w:t xml:space="preserve">and </w:t>
      </w:r>
      <w:r w:rsidR="0008294F">
        <w:rPr>
          <w:rFonts w:ascii="Times New Roman" w:hAnsi="Times New Roman" w:cs="Times New Roman"/>
          <w:sz w:val="20"/>
          <w:szCs w:val="20"/>
          <w:lang w:val="en-US"/>
        </w:rPr>
        <w:t>SARS-CoV-2</w:t>
      </w:r>
      <w:r w:rsidR="00723A44">
        <w:rPr>
          <w:rFonts w:ascii="Times New Roman" w:hAnsi="Times New Roman" w:cs="Times New Roman"/>
          <w:sz w:val="20"/>
          <w:szCs w:val="20"/>
          <w:lang w:val="en-US"/>
        </w:rPr>
        <w:t xml:space="preserve"> infection</w:t>
      </w:r>
      <w:r>
        <w:rPr>
          <w:rFonts w:ascii="Times New Roman" w:hAnsi="Times New Roman" w:cs="Times New Roman"/>
          <w:sz w:val="20"/>
          <w:szCs w:val="20"/>
          <w:lang w:val="en-US"/>
        </w:rPr>
        <w:t xml:space="preserve">, a logistic regression was performed for binary traits and linear regression was performed for quantitative traits. The </w:t>
      </w:r>
      <w:r w:rsidR="004C6B71">
        <w:rPr>
          <w:rFonts w:ascii="Times New Roman" w:hAnsi="Times New Roman" w:cs="Times New Roman"/>
          <w:sz w:val="20"/>
          <w:szCs w:val="20"/>
          <w:lang w:val="en-US"/>
        </w:rPr>
        <w:t xml:space="preserve">physiological </w:t>
      </w:r>
      <w:r>
        <w:rPr>
          <w:rFonts w:ascii="Times New Roman" w:hAnsi="Times New Roman" w:cs="Times New Roman"/>
          <w:sz w:val="20"/>
          <w:szCs w:val="20"/>
          <w:lang w:val="en-US"/>
        </w:rPr>
        <w:t xml:space="preserve">traits were regressed </w:t>
      </w:r>
      <w:r w:rsidR="004C6B71">
        <w:rPr>
          <w:rFonts w:ascii="Times New Roman" w:hAnsi="Times New Roman" w:cs="Times New Roman"/>
          <w:sz w:val="20"/>
          <w:szCs w:val="20"/>
          <w:lang w:val="en-US"/>
        </w:rPr>
        <w:t xml:space="preserve">against </w:t>
      </w:r>
      <w:r w:rsidR="00335D0D">
        <w:rPr>
          <w:rFonts w:ascii="Times New Roman" w:hAnsi="Times New Roman" w:cs="Times New Roman"/>
          <w:sz w:val="20"/>
          <w:szCs w:val="20"/>
          <w:lang w:val="en-US"/>
        </w:rPr>
        <w:t xml:space="preserve">SARS-CoV-2 </w:t>
      </w:r>
      <w:r w:rsidR="004C6B71">
        <w:rPr>
          <w:rFonts w:ascii="Times New Roman" w:hAnsi="Times New Roman" w:cs="Times New Roman"/>
          <w:sz w:val="20"/>
          <w:szCs w:val="20"/>
          <w:lang w:val="en-US"/>
        </w:rPr>
        <w:t xml:space="preserve">status (1 for </w:t>
      </w:r>
      <w:r w:rsidR="00335D0D">
        <w:rPr>
          <w:rFonts w:ascii="Times New Roman" w:hAnsi="Times New Roman" w:cs="Times New Roman"/>
          <w:sz w:val="20"/>
          <w:szCs w:val="20"/>
          <w:lang w:val="en-US"/>
        </w:rPr>
        <w:t xml:space="preserve">SARS-CoV-2 </w:t>
      </w:r>
      <w:r w:rsidR="004C6B71">
        <w:rPr>
          <w:rFonts w:ascii="Times New Roman" w:hAnsi="Times New Roman" w:cs="Times New Roman"/>
          <w:sz w:val="20"/>
          <w:szCs w:val="20"/>
          <w:lang w:val="en-US"/>
        </w:rPr>
        <w:t>cases, 0 for controls), adjusting for age at time of measure and sex</w:t>
      </w:r>
      <w:r w:rsidR="00236491">
        <w:rPr>
          <w:rFonts w:ascii="Times New Roman" w:hAnsi="Times New Roman" w:cs="Times New Roman"/>
          <w:sz w:val="20"/>
          <w:szCs w:val="20"/>
          <w:lang w:val="en-US"/>
        </w:rPr>
        <w:t xml:space="preserve"> (Table S5)</w:t>
      </w:r>
      <w:r w:rsidR="004C6B71">
        <w:rPr>
          <w:rFonts w:ascii="Times New Roman" w:hAnsi="Times New Roman" w:cs="Times New Roman"/>
          <w:sz w:val="20"/>
          <w:szCs w:val="20"/>
          <w:lang w:val="en-US"/>
        </w:rPr>
        <w:t xml:space="preserve">. The cognitive traits were similarly regressed against </w:t>
      </w:r>
      <w:r w:rsidR="00335D0D">
        <w:rPr>
          <w:rFonts w:ascii="Times New Roman" w:hAnsi="Times New Roman" w:cs="Times New Roman"/>
          <w:sz w:val="20"/>
          <w:szCs w:val="20"/>
          <w:lang w:val="en-US"/>
        </w:rPr>
        <w:t xml:space="preserve">SARS-CoV-2 </w:t>
      </w:r>
      <w:r w:rsidR="004C6B71">
        <w:rPr>
          <w:rFonts w:ascii="Times New Roman" w:hAnsi="Times New Roman" w:cs="Times New Roman"/>
          <w:sz w:val="20"/>
          <w:szCs w:val="20"/>
          <w:lang w:val="en-US"/>
        </w:rPr>
        <w:t>status, adjusting for age at time of measure, sex and level of education obtained from the online questionnaire</w:t>
      </w:r>
      <w:r w:rsidR="00236491">
        <w:rPr>
          <w:rFonts w:ascii="Times New Roman" w:hAnsi="Times New Roman" w:cs="Times New Roman"/>
          <w:sz w:val="20"/>
          <w:szCs w:val="20"/>
          <w:lang w:val="en-US"/>
        </w:rPr>
        <w:t xml:space="preserve"> (Table S9)</w:t>
      </w:r>
      <w:r w:rsidR="004C6B71">
        <w:rPr>
          <w:rFonts w:ascii="Times New Roman" w:hAnsi="Times New Roman" w:cs="Times New Roman"/>
          <w:sz w:val="20"/>
          <w:szCs w:val="20"/>
          <w:lang w:val="en-US"/>
        </w:rPr>
        <w:t xml:space="preserve">. Level of education was defined as a quantitative variable ranging from 0-6 in the following manner: 0 for no education, 1 for primary school, 2 for high school, 3 for other secondary education, 4 for undergraduate university degree, 5 for Master’s degree and 6 for Doctorate degree. </w:t>
      </w:r>
      <w:r w:rsidR="00236491">
        <w:rPr>
          <w:rFonts w:ascii="Times New Roman" w:hAnsi="Times New Roman" w:cs="Times New Roman"/>
          <w:sz w:val="20"/>
          <w:szCs w:val="20"/>
          <w:lang w:val="en-US"/>
        </w:rPr>
        <w:t xml:space="preserve">When testing for association between phenotypes and severity of the acute infection, the traits were regressed against the severity scale. </w:t>
      </w:r>
      <w:r w:rsidRPr="004C4773">
        <w:rPr>
          <w:rFonts w:ascii="Times New Roman" w:hAnsi="Times New Roman" w:cs="Times New Roman"/>
          <w:sz w:val="20"/>
          <w:szCs w:val="20"/>
          <w:lang w:val="en-US"/>
        </w:rPr>
        <w:t>P-values</w:t>
      </w:r>
      <w:r w:rsidR="00236491">
        <w:rPr>
          <w:rFonts w:ascii="Times New Roman" w:hAnsi="Times New Roman" w:cs="Times New Roman"/>
          <w:sz w:val="20"/>
          <w:szCs w:val="20"/>
          <w:lang w:val="en-US"/>
        </w:rPr>
        <w:t xml:space="preserve"> for all regression analyses wer</w:t>
      </w:r>
      <w:r w:rsidRPr="004C4773">
        <w:rPr>
          <w:rFonts w:ascii="Times New Roman" w:hAnsi="Times New Roman" w:cs="Times New Roman"/>
          <w:sz w:val="20"/>
          <w:szCs w:val="20"/>
          <w:lang w:val="en-US"/>
        </w:rPr>
        <w:t xml:space="preserve">e obtained with a likelihood ratio </w:t>
      </w:r>
      <w:r w:rsidRPr="007E1E4D">
        <w:rPr>
          <w:rFonts w:ascii="Times New Roman" w:hAnsi="Times New Roman" w:cs="Times New Roman"/>
          <w:sz w:val="20"/>
          <w:szCs w:val="20"/>
          <w:lang w:val="en-US"/>
        </w:rPr>
        <w:t>test</w:t>
      </w:r>
      <w:r w:rsidR="00236491" w:rsidRPr="007E1E4D">
        <w:rPr>
          <w:rFonts w:ascii="Times New Roman" w:hAnsi="Times New Roman" w:cs="Times New Roman"/>
          <w:sz w:val="20"/>
          <w:szCs w:val="20"/>
          <w:lang w:val="en-US"/>
        </w:rPr>
        <w:t>.</w:t>
      </w:r>
      <w:r w:rsidR="004E66FE" w:rsidRPr="007E1E4D">
        <w:rPr>
          <w:rFonts w:ascii="Times New Roman" w:hAnsi="Times New Roman" w:cs="Times New Roman"/>
          <w:sz w:val="20"/>
          <w:szCs w:val="20"/>
          <w:lang w:val="en-US"/>
        </w:rPr>
        <w:t xml:space="preserve"> </w:t>
      </w:r>
      <w:r w:rsidR="004E66FE" w:rsidRPr="00B17BA4">
        <w:rPr>
          <w:rFonts w:ascii="Times New Roman" w:hAnsi="Times New Roman" w:cs="Times New Roman"/>
          <w:sz w:val="20"/>
          <w:szCs w:val="20"/>
          <w:lang w:val="en-US"/>
        </w:rPr>
        <w:t>Individuals with missing data were not used in association analyses.</w:t>
      </w:r>
      <w:r w:rsidR="003C6F2C" w:rsidRPr="00B17BA4">
        <w:rPr>
          <w:rFonts w:ascii="Times New Roman" w:hAnsi="Times New Roman" w:cs="Times New Roman"/>
          <w:sz w:val="20"/>
          <w:szCs w:val="20"/>
          <w:lang w:val="en-US"/>
        </w:rPr>
        <w:t xml:space="preserve"> To test for sensitivity of the results to comorbidity, we tested for association between phenotypes and </w:t>
      </w:r>
      <w:r w:rsidR="00335D0D">
        <w:rPr>
          <w:rFonts w:ascii="Times New Roman" w:hAnsi="Times New Roman" w:cs="Times New Roman"/>
          <w:sz w:val="20"/>
          <w:szCs w:val="20"/>
          <w:lang w:val="en-US"/>
        </w:rPr>
        <w:t xml:space="preserve">SARS-CoV-2 </w:t>
      </w:r>
      <w:r w:rsidR="003C6F2C" w:rsidRPr="00B17BA4">
        <w:rPr>
          <w:rFonts w:ascii="Times New Roman" w:hAnsi="Times New Roman" w:cs="Times New Roman"/>
          <w:sz w:val="20"/>
          <w:szCs w:val="20"/>
          <w:lang w:val="en-US"/>
        </w:rPr>
        <w:t xml:space="preserve">as described above with indicator variables added for obesity, coronary artery disease, type II diabetes, asthma, hypertension and cancer, restricting the data to nonmissing observations in the comorbidity </w:t>
      </w:r>
      <w:r w:rsidR="003C2DA7" w:rsidRPr="00B17BA4">
        <w:rPr>
          <w:rFonts w:ascii="Times New Roman" w:hAnsi="Times New Roman" w:cs="Times New Roman"/>
          <w:sz w:val="20"/>
          <w:szCs w:val="20"/>
          <w:lang w:val="en-US"/>
        </w:rPr>
        <w:t>indicator</w:t>
      </w:r>
      <w:r w:rsidR="00630FB2" w:rsidRPr="00B17BA4">
        <w:rPr>
          <w:rFonts w:ascii="Times New Roman" w:hAnsi="Times New Roman" w:cs="Times New Roman"/>
          <w:sz w:val="20"/>
          <w:szCs w:val="20"/>
          <w:lang w:val="en-US"/>
        </w:rPr>
        <w:t>s</w:t>
      </w:r>
      <w:r w:rsidR="00CB52A7" w:rsidRPr="00B17BA4">
        <w:rPr>
          <w:rFonts w:ascii="Times New Roman" w:hAnsi="Times New Roman" w:cs="Times New Roman"/>
          <w:sz w:val="20"/>
          <w:szCs w:val="20"/>
          <w:lang w:val="en-US"/>
        </w:rPr>
        <w:t>.</w:t>
      </w:r>
      <w:r w:rsidR="00236491">
        <w:rPr>
          <w:rFonts w:ascii="Times New Roman" w:hAnsi="Times New Roman" w:cs="Times New Roman"/>
          <w:sz w:val="20"/>
          <w:szCs w:val="20"/>
          <w:lang w:val="en-US"/>
        </w:rPr>
        <w:t>When c</w:t>
      </w:r>
      <w:r w:rsidR="00236491" w:rsidRPr="00236491">
        <w:rPr>
          <w:rFonts w:ascii="Times New Roman" w:hAnsi="Times New Roman" w:cs="Times New Roman"/>
          <w:sz w:val="20"/>
          <w:szCs w:val="20"/>
          <w:lang w:val="en-US"/>
        </w:rPr>
        <w:t xml:space="preserve">omparing measurements for individuals that participated in the deCODE </w:t>
      </w:r>
      <w:r w:rsidR="00F0267F">
        <w:rPr>
          <w:rFonts w:ascii="Times New Roman" w:hAnsi="Times New Roman" w:cs="Times New Roman"/>
          <w:sz w:val="20"/>
          <w:szCs w:val="20"/>
          <w:lang w:val="en-US"/>
        </w:rPr>
        <w:t>H</w:t>
      </w:r>
      <w:r w:rsidR="00236491" w:rsidRPr="00236491">
        <w:rPr>
          <w:rFonts w:ascii="Times New Roman" w:hAnsi="Times New Roman" w:cs="Times New Roman"/>
          <w:sz w:val="20"/>
          <w:szCs w:val="20"/>
          <w:lang w:val="en-US"/>
        </w:rPr>
        <w:t xml:space="preserve">ealth </w:t>
      </w:r>
      <w:r w:rsidR="00F0267F">
        <w:rPr>
          <w:rFonts w:ascii="Times New Roman" w:hAnsi="Times New Roman" w:cs="Times New Roman"/>
          <w:sz w:val="20"/>
          <w:szCs w:val="20"/>
          <w:lang w:val="en-US"/>
        </w:rPr>
        <w:t>S</w:t>
      </w:r>
      <w:r w:rsidR="00236491" w:rsidRPr="00236491">
        <w:rPr>
          <w:rFonts w:ascii="Times New Roman" w:hAnsi="Times New Roman" w:cs="Times New Roman"/>
          <w:sz w:val="20"/>
          <w:szCs w:val="20"/>
          <w:lang w:val="en-US"/>
        </w:rPr>
        <w:t>tudy both before and during the pandemic</w:t>
      </w:r>
      <w:r w:rsidR="00236491">
        <w:rPr>
          <w:rFonts w:ascii="Times New Roman" w:hAnsi="Times New Roman" w:cs="Times New Roman"/>
          <w:sz w:val="20"/>
          <w:szCs w:val="20"/>
          <w:lang w:val="en-US"/>
        </w:rPr>
        <w:t xml:space="preserve">, the difference </w:t>
      </w:r>
      <w:r w:rsidR="00236491" w:rsidRPr="00236491">
        <w:rPr>
          <w:rFonts w:ascii="Times New Roman" w:hAnsi="Times New Roman" w:cs="Times New Roman"/>
          <w:sz w:val="20"/>
          <w:szCs w:val="20"/>
          <w:lang w:val="en-US"/>
        </w:rPr>
        <w:t>between pandemic and pre-pandemic measurements</w:t>
      </w:r>
      <w:r w:rsidR="00236491">
        <w:rPr>
          <w:rFonts w:ascii="Times New Roman" w:hAnsi="Times New Roman" w:cs="Times New Roman"/>
          <w:sz w:val="20"/>
          <w:szCs w:val="20"/>
          <w:lang w:val="en-US"/>
        </w:rPr>
        <w:t xml:space="preserve"> were calculated for both cases and controls</w:t>
      </w:r>
      <w:r w:rsidR="00236491" w:rsidRPr="00236491">
        <w:rPr>
          <w:rFonts w:ascii="Times New Roman" w:hAnsi="Times New Roman" w:cs="Times New Roman"/>
          <w:sz w:val="20"/>
          <w:szCs w:val="20"/>
          <w:lang w:val="en-US"/>
        </w:rPr>
        <w:t xml:space="preserve">, </w:t>
      </w:r>
      <w:r w:rsidR="00236491">
        <w:rPr>
          <w:rFonts w:ascii="Times New Roman" w:hAnsi="Times New Roman" w:cs="Times New Roman"/>
          <w:sz w:val="20"/>
          <w:szCs w:val="20"/>
          <w:lang w:val="en-US"/>
        </w:rPr>
        <w:t xml:space="preserve">and regressed against </w:t>
      </w:r>
      <w:r w:rsidR="00335D0D">
        <w:rPr>
          <w:rFonts w:ascii="Times New Roman" w:hAnsi="Times New Roman" w:cs="Times New Roman"/>
          <w:sz w:val="20"/>
          <w:szCs w:val="20"/>
          <w:lang w:val="en-US"/>
        </w:rPr>
        <w:t xml:space="preserve">SARS-CoV-2 </w:t>
      </w:r>
      <w:r w:rsidR="00236491">
        <w:rPr>
          <w:rFonts w:ascii="Times New Roman" w:hAnsi="Times New Roman" w:cs="Times New Roman"/>
          <w:sz w:val="20"/>
          <w:szCs w:val="20"/>
          <w:lang w:val="en-US"/>
        </w:rPr>
        <w:t xml:space="preserve">status, </w:t>
      </w:r>
      <w:r w:rsidR="00236491" w:rsidRPr="00236491">
        <w:rPr>
          <w:rFonts w:ascii="Times New Roman" w:hAnsi="Times New Roman" w:cs="Times New Roman"/>
          <w:sz w:val="20"/>
          <w:szCs w:val="20"/>
          <w:lang w:val="en-US"/>
        </w:rPr>
        <w:t>adjusting for age, sex and time between measures</w:t>
      </w:r>
      <w:r w:rsidR="00236491">
        <w:rPr>
          <w:rFonts w:ascii="Times New Roman" w:hAnsi="Times New Roman" w:cs="Times New Roman"/>
          <w:sz w:val="20"/>
          <w:szCs w:val="20"/>
          <w:lang w:val="en-US"/>
        </w:rPr>
        <w:t xml:space="preserve"> using a </w:t>
      </w:r>
      <w:r w:rsidR="00236491" w:rsidRPr="00236491">
        <w:rPr>
          <w:rFonts w:ascii="Times New Roman" w:hAnsi="Times New Roman" w:cs="Times New Roman"/>
          <w:sz w:val="20"/>
          <w:szCs w:val="20"/>
          <w:lang w:val="en-US"/>
        </w:rPr>
        <w:t>linear regression</w:t>
      </w:r>
      <w:r w:rsidR="00236491">
        <w:rPr>
          <w:rFonts w:ascii="Times New Roman" w:hAnsi="Times New Roman" w:cs="Times New Roman"/>
          <w:sz w:val="20"/>
          <w:szCs w:val="20"/>
          <w:lang w:val="en-US"/>
        </w:rPr>
        <w:t xml:space="preserve"> (Table S6).</w:t>
      </w:r>
    </w:p>
    <w:p w14:paraId="74E34843" w14:textId="25705639" w:rsidR="00AD2CCA" w:rsidRDefault="00AD2CCA" w:rsidP="00AD2CCA">
      <w:pPr>
        <w:spacing w:after="240" w:line="360" w:lineRule="auto"/>
        <w:rPr>
          <w:rFonts w:ascii="Times New Roman" w:hAnsi="Times New Roman" w:cs="Times New Roman"/>
          <w:sz w:val="20"/>
          <w:szCs w:val="20"/>
          <w:lang w:val="en-US"/>
        </w:rPr>
      </w:pPr>
      <w:r w:rsidRPr="00AD2CCA">
        <w:rPr>
          <w:rFonts w:ascii="Times New Roman" w:hAnsi="Times New Roman" w:cs="Times New Roman"/>
          <w:sz w:val="20"/>
          <w:szCs w:val="20"/>
          <w:lang w:val="en-US"/>
        </w:rPr>
        <w:t>For two of the cognitive traits, TMT-A and TMT-B, we log-transformed the test scores because of right-skewness in their distributions. Test scores for each of the 12 cognitive traits were then adjusted for age, gender and education in a linear model prior to rank-based inverse normal transformation. The normalized and adjusted cognitive test scores were then used in association analyses to report effect estimates in SD units</w:t>
      </w:r>
      <w:r w:rsidR="00AE0AE8">
        <w:rPr>
          <w:rFonts w:ascii="Times New Roman" w:hAnsi="Times New Roman" w:cs="Times New Roman"/>
          <w:sz w:val="20"/>
          <w:szCs w:val="20"/>
          <w:lang w:val="en-US"/>
        </w:rPr>
        <w:t>.</w:t>
      </w:r>
    </w:p>
    <w:p w14:paraId="0D03FAEA" w14:textId="42DB5F49" w:rsidR="00AD2CCA" w:rsidRPr="00AD2CCA" w:rsidRDefault="006B08DC" w:rsidP="00AD2CCA">
      <w:pPr>
        <w:spacing w:after="240" w:line="360" w:lineRule="auto"/>
        <w:rPr>
          <w:rFonts w:ascii="Times New Roman" w:hAnsi="Times New Roman" w:cs="Times New Roman"/>
          <w:sz w:val="20"/>
          <w:szCs w:val="20"/>
          <w:lang w:val="en-US"/>
        </w:rPr>
      </w:pPr>
      <w:bookmarkStart w:id="38" w:name="_Hlk99875232"/>
      <w:r w:rsidRPr="00AD2CCA">
        <w:rPr>
          <w:rFonts w:ascii="Times New Roman" w:hAnsi="Times New Roman" w:cs="Times New Roman"/>
          <w:sz w:val="20"/>
          <w:szCs w:val="20"/>
          <w:lang w:val="en-US"/>
        </w:rPr>
        <w:t xml:space="preserve">We </w:t>
      </w:r>
      <w:r w:rsidR="00A1783D" w:rsidRPr="00AD2CCA">
        <w:rPr>
          <w:rFonts w:ascii="Times New Roman" w:hAnsi="Times New Roman" w:cs="Times New Roman"/>
          <w:sz w:val="20"/>
          <w:szCs w:val="20"/>
          <w:lang w:val="en-US"/>
        </w:rPr>
        <w:t>calculated the frequency</w:t>
      </w:r>
      <w:r w:rsidRPr="00AD2CCA">
        <w:rPr>
          <w:rFonts w:ascii="Times New Roman" w:hAnsi="Times New Roman" w:cs="Times New Roman"/>
          <w:sz w:val="20"/>
          <w:szCs w:val="20"/>
          <w:lang w:val="en-US"/>
        </w:rPr>
        <w:t xml:space="preserve"> of memory impairment</w:t>
      </w:r>
      <w:r w:rsidR="00BE105C" w:rsidRPr="00AD2CCA">
        <w:rPr>
          <w:rFonts w:ascii="Times New Roman" w:hAnsi="Times New Roman" w:cs="Times New Roman"/>
          <w:sz w:val="20"/>
          <w:szCs w:val="20"/>
          <w:lang w:val="en-US"/>
        </w:rPr>
        <w:t>, defined as z-score of less than or equal to -1.5</w:t>
      </w:r>
      <w:r w:rsidR="00DA3DC3" w:rsidRPr="00AD2CCA">
        <w:rPr>
          <w:rFonts w:ascii="Times New Roman" w:hAnsi="Times New Roman" w:cs="Times New Roman"/>
          <w:sz w:val="20"/>
          <w:szCs w:val="20"/>
          <w:lang w:val="en-US"/>
        </w:rPr>
        <w:t>,</w:t>
      </w:r>
      <w:r w:rsidR="00BE105C" w:rsidRPr="00AD2CCA">
        <w:rPr>
          <w:rFonts w:ascii="Times New Roman" w:hAnsi="Times New Roman" w:cs="Times New Roman"/>
          <w:sz w:val="20"/>
          <w:szCs w:val="20"/>
          <w:lang w:val="en-US"/>
        </w:rPr>
        <w:t xml:space="preserve"> </w:t>
      </w:r>
      <w:r w:rsidRPr="00AD2CCA">
        <w:rPr>
          <w:rFonts w:ascii="Times New Roman" w:hAnsi="Times New Roman" w:cs="Times New Roman"/>
          <w:sz w:val="20"/>
          <w:szCs w:val="20"/>
          <w:lang w:val="en-US"/>
        </w:rPr>
        <w:t>among cases and controls</w:t>
      </w:r>
      <w:r w:rsidR="00BE105C" w:rsidRPr="00AD2CCA">
        <w:rPr>
          <w:rFonts w:ascii="Times New Roman" w:hAnsi="Times New Roman" w:cs="Times New Roman"/>
          <w:sz w:val="20"/>
          <w:szCs w:val="20"/>
          <w:lang w:val="en-US"/>
        </w:rPr>
        <w:t xml:space="preserve"> for</w:t>
      </w:r>
      <w:r w:rsidR="004761B0" w:rsidRPr="00AD2CCA">
        <w:rPr>
          <w:rFonts w:ascii="Times New Roman" w:hAnsi="Times New Roman" w:cs="Times New Roman"/>
          <w:sz w:val="20"/>
          <w:szCs w:val="20"/>
          <w:lang w:val="en-US"/>
        </w:rPr>
        <w:t xml:space="preserve"> logical memory measures</w:t>
      </w:r>
      <w:r w:rsidR="00A1783D" w:rsidRPr="00AD2CCA">
        <w:rPr>
          <w:rFonts w:ascii="Times New Roman" w:hAnsi="Times New Roman" w:cs="Times New Roman"/>
          <w:sz w:val="20"/>
          <w:szCs w:val="20"/>
          <w:lang w:val="en-US"/>
        </w:rPr>
        <w:t>, adjusting for age, gender and educational level</w:t>
      </w:r>
      <w:bookmarkEnd w:id="38"/>
      <w:r w:rsidR="00BE105C" w:rsidRPr="00AD2CCA">
        <w:rPr>
          <w:rFonts w:ascii="Times New Roman" w:hAnsi="Times New Roman" w:cs="Times New Roman"/>
          <w:sz w:val="20"/>
          <w:szCs w:val="20"/>
          <w:lang w:val="en-US"/>
        </w:rPr>
        <w:t xml:space="preserve">. </w:t>
      </w:r>
      <w:r w:rsidR="00A1783D" w:rsidRPr="00AD2CCA">
        <w:rPr>
          <w:rFonts w:ascii="Times New Roman" w:hAnsi="Times New Roman" w:cs="Times New Roman"/>
          <w:sz w:val="20"/>
          <w:szCs w:val="20"/>
          <w:lang w:val="en-US"/>
        </w:rPr>
        <w:t>Since cases and controls are not perfectly matched on those three covariates, we estimated parameters for those covariates using the control data as training set</w:t>
      </w:r>
      <w:r w:rsidR="001E7F60" w:rsidRPr="00AD2CCA">
        <w:rPr>
          <w:rFonts w:ascii="Times New Roman" w:hAnsi="Times New Roman" w:cs="Times New Roman"/>
          <w:sz w:val="20"/>
          <w:szCs w:val="20"/>
          <w:lang w:val="en-US"/>
        </w:rPr>
        <w:t>,</w:t>
      </w:r>
      <w:r w:rsidR="00A1783D" w:rsidRPr="00AD2CCA">
        <w:rPr>
          <w:rFonts w:ascii="Times New Roman" w:hAnsi="Times New Roman" w:cs="Times New Roman"/>
          <w:sz w:val="20"/>
          <w:szCs w:val="20"/>
          <w:lang w:val="en-US"/>
        </w:rPr>
        <w:t xml:space="preserve"> applying the corresponding, measure-specific, parameters to create z-scores for cases and controls.</w:t>
      </w:r>
    </w:p>
    <w:p w14:paraId="3E4BDB5A" w14:textId="77777777" w:rsidR="00AD2CCA" w:rsidRPr="00AD2CCA" w:rsidRDefault="00AD2CCA" w:rsidP="00D36B01">
      <w:pPr>
        <w:pStyle w:val="Style2"/>
        <w:rPr>
          <w:rFonts w:ascii="Times New Roman" w:eastAsiaTheme="minorHAnsi" w:hAnsi="Times New Roman" w:cs="Times New Roman"/>
          <w:color w:val="auto"/>
          <w:sz w:val="20"/>
          <w:szCs w:val="20"/>
        </w:rPr>
      </w:pPr>
    </w:p>
    <w:p w14:paraId="1249FEBE" w14:textId="6CBD895E" w:rsidR="00B70D2C" w:rsidRDefault="00B70D2C" w:rsidP="00D36B01">
      <w:pPr>
        <w:pStyle w:val="Style2"/>
      </w:pPr>
      <w:bookmarkStart w:id="39" w:name="_Toc100246253"/>
      <w:r w:rsidRPr="00B70D2C">
        <w:t>Comorbidities</w:t>
      </w:r>
      <w:bookmarkEnd w:id="39"/>
    </w:p>
    <w:p w14:paraId="5A21AA77" w14:textId="58568121" w:rsidR="003B7FB1" w:rsidRDefault="003B7FB1" w:rsidP="002A051F">
      <w:pPr>
        <w:pStyle w:val="Style3"/>
      </w:pPr>
      <w:bookmarkStart w:id="40" w:name="_Toc100246254"/>
      <w:r>
        <w:t>Asthma</w:t>
      </w:r>
      <w:bookmarkEnd w:id="40"/>
    </w:p>
    <w:p w14:paraId="3A948CDC" w14:textId="58D55D2B" w:rsidR="00171FD7" w:rsidRDefault="00643ED3" w:rsidP="00BB4B40">
      <w:pPr>
        <w:spacing w:after="240" w:line="360" w:lineRule="auto"/>
        <w:rPr>
          <w:rFonts w:ascii="Times New Roman" w:hAnsi="Times New Roman" w:cs="Times New Roman"/>
          <w:sz w:val="20"/>
          <w:szCs w:val="20"/>
          <w:lang w:val="en-US"/>
        </w:rPr>
      </w:pPr>
      <w:r w:rsidRPr="00643ED3">
        <w:rPr>
          <w:rFonts w:ascii="Times New Roman" w:hAnsi="Times New Roman" w:cs="Times New Roman"/>
          <w:sz w:val="20"/>
          <w:szCs w:val="20"/>
          <w:lang w:val="en-US"/>
        </w:rPr>
        <w:t>Asthma diagnos</w:t>
      </w:r>
      <w:r>
        <w:rPr>
          <w:rFonts w:ascii="Times New Roman" w:hAnsi="Times New Roman" w:cs="Times New Roman"/>
          <w:sz w:val="20"/>
          <w:szCs w:val="20"/>
          <w:lang w:val="en-US"/>
        </w:rPr>
        <w:t>e</w:t>
      </w:r>
      <w:r w:rsidRPr="00643ED3">
        <w:rPr>
          <w:rFonts w:ascii="Times New Roman" w:hAnsi="Times New Roman" w:cs="Times New Roman"/>
          <w:sz w:val="20"/>
          <w:szCs w:val="20"/>
          <w:lang w:val="en-US"/>
        </w:rPr>
        <w:t xml:space="preserve">s </w:t>
      </w:r>
      <w:r>
        <w:rPr>
          <w:rFonts w:ascii="Times New Roman" w:hAnsi="Times New Roman" w:cs="Times New Roman"/>
          <w:sz w:val="20"/>
          <w:szCs w:val="20"/>
          <w:lang w:val="en-US"/>
        </w:rPr>
        <w:t>were</w:t>
      </w:r>
      <w:r w:rsidRPr="00643ED3">
        <w:rPr>
          <w:rFonts w:ascii="Times New Roman" w:hAnsi="Times New Roman" w:cs="Times New Roman"/>
          <w:sz w:val="20"/>
          <w:szCs w:val="20"/>
          <w:lang w:val="en-US"/>
        </w:rPr>
        <w:t xml:space="preserve"> based on a combination of physician’s diagnos</w:t>
      </w:r>
      <w:r>
        <w:rPr>
          <w:rFonts w:ascii="Times New Roman" w:hAnsi="Times New Roman" w:cs="Times New Roman"/>
          <w:sz w:val="20"/>
          <w:szCs w:val="20"/>
          <w:lang w:val="en-US"/>
        </w:rPr>
        <w:t>e</w:t>
      </w:r>
      <w:r w:rsidRPr="00643ED3">
        <w:rPr>
          <w:rFonts w:ascii="Times New Roman" w:hAnsi="Times New Roman" w:cs="Times New Roman"/>
          <w:sz w:val="20"/>
          <w:szCs w:val="20"/>
          <w:lang w:val="en-US"/>
        </w:rPr>
        <w:t>s and/or ICD</w:t>
      </w:r>
      <w:r>
        <w:rPr>
          <w:rFonts w:ascii="Times New Roman" w:hAnsi="Times New Roman" w:cs="Times New Roman"/>
          <w:sz w:val="20"/>
          <w:szCs w:val="20"/>
          <w:lang w:val="en-US"/>
        </w:rPr>
        <w:t>-</w:t>
      </w:r>
      <w:r w:rsidR="00171FD7">
        <w:rPr>
          <w:rFonts w:ascii="Times New Roman" w:hAnsi="Times New Roman" w:cs="Times New Roman"/>
          <w:sz w:val="20"/>
          <w:szCs w:val="20"/>
          <w:lang w:val="en-US"/>
        </w:rPr>
        <w:t>1</w:t>
      </w:r>
      <w:r w:rsidRPr="00643ED3">
        <w:rPr>
          <w:rFonts w:ascii="Times New Roman" w:hAnsi="Times New Roman" w:cs="Times New Roman"/>
          <w:sz w:val="20"/>
          <w:szCs w:val="20"/>
          <w:lang w:val="en-US"/>
        </w:rPr>
        <w:t>0 diagnos</w:t>
      </w:r>
      <w:r>
        <w:rPr>
          <w:rFonts w:ascii="Times New Roman" w:hAnsi="Times New Roman" w:cs="Times New Roman"/>
          <w:sz w:val="20"/>
          <w:szCs w:val="20"/>
          <w:lang w:val="en-US"/>
        </w:rPr>
        <w:t>e</w:t>
      </w:r>
      <w:r w:rsidRPr="00643ED3">
        <w:rPr>
          <w:rFonts w:ascii="Times New Roman" w:hAnsi="Times New Roman" w:cs="Times New Roman"/>
          <w:sz w:val="20"/>
          <w:szCs w:val="20"/>
          <w:lang w:val="en-US"/>
        </w:rPr>
        <w:t>s, including anyone of J45.0, J45.1, J45.8, J45.9, and J46 and/or self-reported by a positive reply to the question: has a doctor confirmed your asthma diagnosis</w:t>
      </w:r>
      <w:r w:rsidR="00171FD7">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{"citationID":"a22gkcfikab","properties":{"formattedCitation":"{\\rtf \\super 42\\nosupersub{}}","plainCitation":"42"},"citationItems":[{"id":464,"uris":["http://zotero.org/users/local/0NZqn2Xy/items/IM8W33MY"],"uri":["http://zotero.org/users/local/0NZqn2Xy/items/IM8W33MY"],"itemData":{"id":464,"type":"article-journal","title":"Eighty-eight variants highlight the role of T cell regulation and airway remodeling in asthma pathogenesis","container-title":"Nature Communications","page":"393","volume":"11","issue":"1","source":"PubMed","abstract":"Asthma is one of the most common chronic diseases affecting both children and adults. We report a genome-wide association meta-analysis of 69,189 cases and 702,199 controls from Iceland and UK biobank. We find 88 asthma risk variants at 56 loci, 19 previously unreported, and evaluate their effect on other asthma and allergic phenotypes. Of special interest are two low frequency variants associated with protection against asthma; a missense variant in TNFRSF8 and 3' UTR variant in TGFBR1. Functional studies show that the TNFRSF8 variant reduces TNFRSF8 expression both on cell surface and in soluble form, acting as loss of function. eQTL analysis suggests that the TGFBR1 variant acts through gain of function and together with an intronic variant in a downstream gene, SMAD3, points to defective TGFβR1 signaling as one of the biological perturbations increasing asthma risk. Our results increase the number of asthma variants and implicate genes with known role in T cell regulation, inflammation and airway remodeling in asthma pathogenesis.","DOI":"10.1038/s41467-019-14144-8","ISSN":"2041-1723","note":"PMID: 31959851\nPMCID: PMC6971247","journalAbbreviation":"Nat Commun","language":"eng","author":[{"family":"Olafsdottir","given":"Thorunn A."},{"family":"Theodors","given":"Fannar"},{"family":"Bjarnadottir","given":"Kristbjorg"},{"family":"Bjornsdottir","given":"Unnur Steina"},{"family":"Agustsdottir","given":"Arna B."},{"family":"Stefansson","given":"Olafur A."},{"family":"Ivarsdottir","given":"Erna V."},{"family":"Sigurdsson","given":"Jon K."},{"family":"Benonisdottir","given":"Stefania"},{"family":"Eyjolfsson","given":"Gudmundur I."},{"family":"Gislason","given":"David"},{"family":"Gislason","given":"Thorarinn"},{"family":"Guðmundsdóttir","given":"Steinunn"},{"family":"Gylfason","given":"Arnaldur"},{"family":"Halldorsson","given":"Bjarni V."},{"family":"Halldorsson","given":"Gisli H."},{"family":"Juliusdottir","given":"Thorhildur"},{"family":"Kristinsdottir","given":"Anna M."},{"family":"Ludviksdottir","given":"Dora"},{"family":"Ludviksson","given":"Bjorn R."},{"family":"Masson","given":"Gisli"},{"family":"Norland","given":"Kristjan"},{"family":"Onundarson","given":"Pall T."},{"family":"Olafsson","given":"Isleifur"},{"family":"Sigurdardottir","given":"Olof"},{"family":"Stefansdottir","given":"Lilja"},{"family":"Sveinbjornsson","given":"Gardar"},{"family":"Tragante","given":"Vinicius"},{"family":"Gudbjartsson","given":"Daniel F."},{"family":"Thorleifsson","given":"Gudmar"},{"family":"Sulem","given":"Patrick"},{"family":"Thorsteinsdottir","given":"Unnur"},{"family":"Norddahl","given":"Gudmundur L."},{"family":"Jonsdottir","given":"Ingileif"},{"family":"Stefansson","given":"Kari"}],"issued":{"date-parts":[["2020"]],"season":"20"}}}],"schema":"https://github.com/citation-style-language/schema/raw/master/csl-citation.json"} </w:instrText>
      </w:r>
      <w:r w:rsidR="00171FD7">
        <w:rPr>
          <w:rFonts w:ascii="Times New Roman" w:hAnsi="Times New Roman" w:cs="Times New Roman"/>
          <w:sz w:val="20"/>
          <w:szCs w:val="20"/>
          <w:lang w:val="en-US"/>
        </w:rPr>
        <w:fldChar w:fldCharType="separate"/>
      </w:r>
      <w:r w:rsidR="004964AA" w:rsidRPr="00084795">
        <w:rPr>
          <w:rFonts w:ascii="Times New Roman" w:hAnsi="Times New Roman" w:cs="Times New Roman"/>
          <w:sz w:val="20"/>
          <w:szCs w:val="20"/>
          <w:vertAlign w:val="superscript"/>
          <w:lang w:val="en-US"/>
        </w:rPr>
        <w:t>42</w:t>
      </w:r>
      <w:r w:rsidR="00171FD7">
        <w:rPr>
          <w:rFonts w:ascii="Times New Roman" w:hAnsi="Times New Roman" w:cs="Times New Roman"/>
          <w:sz w:val="20"/>
          <w:szCs w:val="20"/>
          <w:lang w:val="en-US"/>
        </w:rPr>
        <w:fldChar w:fldCharType="end"/>
      </w:r>
      <w:r w:rsidRPr="00643ED3">
        <w:rPr>
          <w:rFonts w:ascii="Times New Roman" w:hAnsi="Times New Roman" w:cs="Times New Roman"/>
          <w:sz w:val="20"/>
          <w:szCs w:val="20"/>
          <w:lang w:val="en-US"/>
        </w:rPr>
        <w:t xml:space="preserve">. </w:t>
      </w:r>
      <w:r>
        <w:rPr>
          <w:rFonts w:ascii="Times New Roman" w:hAnsi="Times New Roman" w:cs="Times New Roman"/>
          <w:sz w:val="20"/>
          <w:szCs w:val="20"/>
          <w:lang w:val="en-US"/>
        </w:rPr>
        <w:t>The data are derived from Landspitali - T</w:t>
      </w:r>
      <w:r w:rsidRPr="00643ED3">
        <w:rPr>
          <w:rFonts w:ascii="Times New Roman" w:hAnsi="Times New Roman" w:cs="Times New Roman"/>
          <w:sz w:val="20"/>
          <w:szCs w:val="20"/>
          <w:lang w:val="en-US"/>
        </w:rPr>
        <w:t>he National University Hospital of Iceland, the Icelandic Medical Center (Laeknasetrid)</w:t>
      </w:r>
      <w:r>
        <w:rPr>
          <w:rFonts w:ascii="Times New Roman" w:hAnsi="Times New Roman" w:cs="Times New Roman"/>
          <w:sz w:val="20"/>
          <w:szCs w:val="20"/>
          <w:lang w:val="en-US"/>
        </w:rPr>
        <w:t>,</w:t>
      </w:r>
      <w:r w:rsidRPr="00643ED3">
        <w:rPr>
          <w:rFonts w:ascii="Times New Roman" w:hAnsi="Times New Roman" w:cs="Times New Roman"/>
          <w:sz w:val="20"/>
          <w:szCs w:val="20"/>
          <w:lang w:val="en-US"/>
        </w:rPr>
        <w:t xml:space="preserve"> as well as Register of Contacts with Medical Specialists in Private Practice and those that had received two or more asthma diagnosis in the Register of Primary Health Care Contacts. Data was collected from the years 1977 to 2020</w:t>
      </w:r>
      <w:r w:rsidR="00171FD7">
        <w:rPr>
          <w:rFonts w:ascii="Times New Roman" w:hAnsi="Times New Roman" w:cs="Times New Roman"/>
          <w:sz w:val="20"/>
          <w:szCs w:val="20"/>
          <w:lang w:val="en-US"/>
        </w:rPr>
        <w:t>.</w:t>
      </w:r>
    </w:p>
    <w:p w14:paraId="22BD045A" w14:textId="5B617DC8" w:rsidR="002A051F" w:rsidRDefault="002A051F" w:rsidP="002A051F">
      <w:pPr>
        <w:pStyle w:val="Style3"/>
      </w:pPr>
      <w:bookmarkStart w:id="41" w:name="_Toc100246255"/>
      <w:r>
        <w:t>Cancer</w:t>
      </w:r>
      <w:bookmarkEnd w:id="41"/>
    </w:p>
    <w:p w14:paraId="2A5C2312" w14:textId="4487FEA2" w:rsidR="00171FD7" w:rsidRDefault="00171FD7" w:rsidP="00171FD7">
      <w:pPr>
        <w:spacing w:after="240" w:line="360" w:lineRule="auto"/>
        <w:rPr>
          <w:rFonts w:ascii="Times New Roman" w:hAnsi="Times New Roman" w:cs="Times New Roman"/>
          <w:sz w:val="20"/>
          <w:szCs w:val="20"/>
          <w:lang w:val="en-US"/>
        </w:rPr>
      </w:pPr>
      <w:r w:rsidRPr="00171FD7">
        <w:rPr>
          <w:rFonts w:ascii="Times New Roman" w:hAnsi="Times New Roman" w:cs="Times New Roman"/>
          <w:sz w:val="20"/>
          <w:szCs w:val="20"/>
          <w:lang w:val="en-US"/>
        </w:rPr>
        <w:t>Information on cancer in the study population comes from the Icelandic Cancer Registry (ICR), which registers all cancer diagnoses in the population using the ICD system.  The registry was used to identify cancer diagnoses in the study subjects, including ICD10 codes C00−C96 with the exception of ICD10 C44 (Non-melanoma skin cancer).</w:t>
      </w:r>
      <w:r>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{"citationID":"a2pmsok4eof","properties":{"formattedCitation":"{\\rtf \\super 43\\nosupersub{}}","plainCitation":"43"},"citationItems":[{"id":466,"uris":["http://zotero.org/users/local/0NZqn2Xy/items/259ADU4F"],"uri":["http://zotero.org/users/local/0NZqn2Xy/items/259ADU4F"],"itemData":{"id":466,"type":"article-journal","title":"Data quality at the Icelandic Cancer Registry: comparability, validity, timeliness and completeness","container-title":"Acta Oncologica (Stockholm, Sweden)","page":"880-889","volume":"51","issue":"7","source":"PubMed","abstract":"INTRODUCTION: The nationwide Icelandic Cancer Registry (ICR) was established in 1954 and has been extensively used for research from the outset although formal quality assessment of the registry database has not previously been undertaken. In this paper we report the first formal evaluation of the comparability, validity, timeliness and completeness of the ICR.\nMATERIAL AND METHODS: Data from the ICR for the period 1955-2009 (41 994 cancer diagnoses) were used, applying established quantitative and semi-quantitative methods. In order to evaluate the completeness of the ICR, record linkage was performed between the ICR and the population-based Hospital Discharge Registry to identify potential missing cases for tumour diagnoses in 2000 and 2001.\nRESULTS: The registration is in accordance with internationally accepted standards. It has high validity, but random variation in rates is prominent in this small population. Record linkage with the Hospital Discharge Registry revealed that in addition to the 2459 cancers registered in 2000-2001, 21 cases were missing, indicating 99.15% completeness. Tumours of the central nervous system constituted 71%, and haematological malignancies 19% of these missing entries.\nDISCUSSION: The ICR has high completeness, validity and timeliness and is comparable to the cancer registries of the other Nordic Countries. As cancer registries have many important roles, it is of great importance that their data are at all times as complete and valid as possible. Thus the ICR aims to constantly improve and update the data gathering process.","DOI":"10.3109/0284186X.2012.698751","ISSN":"1651-226X","note":"PMID: 22974093","shortTitle":"Data quality at the Icelandic Cancer Registry","journalAbbreviation":"Acta Oncol","language":"eng","author":[{"family":"Sigurdardottir","given":"Lara Gudrun"},{"family":"Jonasson","given":"Jon Gunnlaugur"},{"family":"Stefansdottir","given":"Sigrun"},{"family":"Jonsdottir","given":"Anna"},{"family":"Olafsdottir","given":"Gudridur Helga"},{"family":"Olafsdottir","given":"Elinborg Jona"},{"family":"Tryggvadottir","given":"Laufey"}],"issued":{"date-parts":[["2012",9]]}}}],"schema":"https://github.com/citation-style-language/schema/raw/master/csl-citation.json"} </w:instrText>
      </w:r>
      <w:r>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43</w:t>
      </w:r>
      <w:r>
        <w:rPr>
          <w:rFonts w:ascii="Times New Roman" w:hAnsi="Times New Roman" w:cs="Times New Roman"/>
          <w:sz w:val="20"/>
          <w:szCs w:val="20"/>
          <w:lang w:val="en-US"/>
        </w:rPr>
        <w:fldChar w:fldCharType="end"/>
      </w:r>
    </w:p>
    <w:p w14:paraId="5365E983" w14:textId="68060AD3" w:rsidR="002A051F" w:rsidRDefault="002A051F" w:rsidP="002A051F">
      <w:pPr>
        <w:pStyle w:val="Style3"/>
      </w:pPr>
      <w:bookmarkStart w:id="42" w:name="_Toc100246256"/>
      <w:r>
        <w:t>Coronary artery disease</w:t>
      </w:r>
      <w:bookmarkEnd w:id="42"/>
    </w:p>
    <w:p w14:paraId="0A75492C" w14:textId="74C6AA3A" w:rsidR="00643ED3" w:rsidRDefault="00171FD7" w:rsidP="002509B6">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Coronary artery disease diagnoses were</w:t>
      </w:r>
      <w:r w:rsidRPr="00171FD7">
        <w:rPr>
          <w:rFonts w:ascii="Times New Roman" w:hAnsi="Times New Roman" w:cs="Times New Roman"/>
          <w:sz w:val="20"/>
          <w:szCs w:val="20"/>
          <w:lang w:val="en-US"/>
        </w:rPr>
        <w:t xml:space="preserve"> based on discharge diagnoses from Landspitali – The National Uni</w:t>
      </w:r>
      <w:r>
        <w:rPr>
          <w:rFonts w:ascii="Times New Roman" w:hAnsi="Times New Roman" w:cs="Times New Roman"/>
          <w:sz w:val="20"/>
          <w:szCs w:val="20"/>
          <w:lang w:val="en-US"/>
        </w:rPr>
        <w:t>versity Hospital of Iceland</w:t>
      </w:r>
      <w:r w:rsidRPr="00171FD7">
        <w:rPr>
          <w:rFonts w:ascii="Times New Roman" w:hAnsi="Times New Roman" w:cs="Times New Roman"/>
          <w:sz w:val="20"/>
          <w:szCs w:val="20"/>
          <w:lang w:val="en-US"/>
        </w:rPr>
        <w:t>, the only tertiary care center in Iceland</w:t>
      </w:r>
      <w:r>
        <w:rPr>
          <w:rFonts w:ascii="Times New Roman" w:hAnsi="Times New Roman" w:cs="Times New Roman"/>
          <w:sz w:val="20"/>
          <w:szCs w:val="20"/>
          <w:lang w:val="en-US"/>
        </w:rPr>
        <w:t>, and data from the Icelandic Causes of Death Re</w:t>
      </w:r>
      <w:r w:rsidR="00354491">
        <w:rPr>
          <w:rFonts w:ascii="Times New Roman" w:hAnsi="Times New Roman" w:cs="Times New Roman"/>
          <w:sz w:val="20"/>
          <w:szCs w:val="20"/>
          <w:lang w:val="en-US"/>
        </w:rPr>
        <w:t>g</w:t>
      </w:r>
      <w:r w:rsidR="002509B6">
        <w:rPr>
          <w:rFonts w:ascii="Times New Roman" w:hAnsi="Times New Roman" w:cs="Times New Roman"/>
          <w:sz w:val="20"/>
          <w:szCs w:val="20"/>
          <w:lang w:val="en-US"/>
        </w:rPr>
        <w:t>ister, as previously described.</w:t>
      </w:r>
      <w:r w:rsidR="002509B6">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{"citationID":"a5m6tailg8","properties":{"formattedCitation":"{\\rtf \\super 44\\nosupersub{}}","plainCitation":"44"},"citationItems":[{"id":"ITEM-1","uris":["http://www.mendeley.com/documents/?uuid=5bc4e83e-64f4-40cc-b9ad-7bc80543ffd6"],"uri":["http://www.mendeley.com/documents/?uuid=5bc4e83e-64f4-40cc-b9ad-7bc80543ffd6"],"itemData":{"DOI":"10.1038/ng.3561","ISSN":"1546-1718","abstract":"Sequence variants affecting blood lipids and coronary artery disease (CAD) may enhance understanding of the atherogenicity of lipid fractions. Using a large resource of whole-genome sequence data, we examined rare and low-frequency variants for association with non-HDL cholesterol, HDL cholesterol, LDL cholesterol, and triglycerides in up to 119,146 Icelanders. We discovered 13 variants with large effects (within ANGPTL3, APOB, ABCA1, NR1H3, APOA1, LIPC, CETP, LDLR, and APOC1) and replicated 14 variants. Five variants within PCSK9, APOA1, ANGPTL4, and LDLR associate with CAD (33,090 cases and 236,254 controls). We used genetic risk scores for the lipid fractions to examine their causal relationship with CAD. The non-HDL cholesterol genetic risk score associates most strongly with CAD (P = 2.7 × 10(-28)), and no other genetic risk score associates with CAD after accounting for non-HDL cholesterol. The genetic risk score for non-HDL cholesterol confers CAD risk beyond that of LDL cholesterol (P = 5.5 × 10(-8)), suggesting that targeting atherogenic remnant cholesterol may reduce cardiovascular risk.","author":[{"dropping-particle":"","family":"Helgadottir","given":"Anna","non-dropping-particle":"","parse-names":false,"suffix":""},{"dropping-particle":"","family":"Gretarsdottir","given":"Solveig","non-dropping-particle":"","parse-names":false,"suffix":""},{"dropping-particle":"","family":"Thorleifsson","given":"Gudmar","non-dropping-particle":"","parse-names":false,"suffix":""},{"dropping-particle":"","family":"Hjartarson","given":"Eirikur","non-dropping-particle":"","parse-names":false,"suffix":""},{"dropping-particle":"","family":"Sigurdsson","given":"Asgeir","non-dropping-particle":"","parse-names":false,"suffix":""},{"dropping-particle":"","family":"Magnusdottir","given":"Audur","non-dropping-particle":"","parse-names":false,"suffix":""},{"dropping-particle":"","family":"Jonasdottir","given":"Aslaug","non-dropping-particle":"","parse-names":false,"suffix":""},{"dropping-particle":"","family":"Kristjansson","given":"Helgi","non-dropping-particle":"","parse-names":false,"suffix":""},{"dropping-particle":"","family":"Sulem","given":"Patrick","non-dropping-particle":"","parse-names":false,"suffix":""},{"dropping-particle":"","family":"Oddsson","given":"Asmundur","non-dropping-particle":"","parse-names":false,"suffix":""},{"dropping-particle":"","family":"Sveinbjornsson","given":"Gardar","non-dropping-particle":"","parse-names":false,"suffix":""},{"dropping-particle":"","family":"Steinthorsdottir","given":"Valgerdur","non-dropping-particle":"","parse-names":false,"suffix":""},{"dropping-particle":"","family":"Rafnar","given":"Thorunn","non-dropping-particle":"","parse-names":false,"suffix":""},{"dropping-particle":"","family":"Masson","given":"Gisli","non-dropping-particle":"","parse-names":false,"suffix":""},{"dropping-particle":"","family":"Jonsdottir","given":"Ingileif","non-dropping-particle":"","parse-names":false,"suffix":""},{"dropping-particle":"","family":"Olafsson","given":"Isleifur","non-dropping-particle":"","parse-names":false,"suffix":""},{"dropping-particle":"","family":"Eyjolfsson","given":"Gudmundur I.","non-dropping-particle":"","parse-names":false,"suffix":""},{"dropping-particle":"","family":"Sigurdardottir","given":"Olof","non-dropping-particle":"","parse-names":false,"suffix":""},{"dropping-particle":"","family":"Daneshpour","given":"Maryam S.","non-dropping-particle":"","parse-names":false,"suffix":""},{"dropping-particle":"","family":"Khalili","given":"Davood","non-dropping-particle":"","parse-names":false,"suffix":""},{"dropping-particle":"","family":"Azizi","given":"Fereidoun","non-dropping-particle":"","parse-names":false,"suffix":""},{"dropping-particle":"","family":"Swinkels","given":"Dorine W.","non-dropping-particle":"","parse-names":false,"suffix":""},{"dropping-particle":"","family":"Kiemeney","given":"Lambertus","non-dropping-particle":"","parse-names":false,"suffix":""},{"dropping-particle":"","family":"Quyyumi","given":"Arshed A.","non-dropping-particle":"","parse-names":false,"suffix":""},{"dropping-particle":"","family":"Levey","given":"Allan I.","non-dropping-particle":"","parse-names":false,"suffix":""},{"dropping-particle":"","family":"Patel","given":"Riyaz S.","non-dropping-particle":"","parse-names":false,"suffix":""},{"dropping-particle":"","family":"Hayek","given":"Salim S.","non-dropping-particle":"","parse-names":false,"suffix":""},{"dropping-particle":"","family":"Gudmundsdottir","given":"Ingibjorg J.","non-dropping-particle":"","parse-names":false,"suffix":""},{"dropping-particle":"","family":"Thorgeirsson","given":"Gudmundur","non-dropping-particle":"","parse-names":false,"suffix":""},{"dropping-particle":"","family":"Thorsteinsdottir","given":"Unnur","non-dropping-particle":"","parse-names":false,"suffix":""},{"dropping-particle":"","family":"Gudbjartsson","given":"Daniel F.","non-dropping-particle":"","parse-names":false,"suffix":""},{"dropping-particle":"","family":"Holm","given":"Hilma","non-dropping-particle":"","parse-names":false,"suffix":""},{"dropping-particle":"","family":"Stefansson","given":"Kari","non-dropping-particle":"","parse-names":false,"suffix":""}],"container-title":"Nature Genetics","id":"ITEM-1","issue":"6","issued":{"date-parts":[["2016","6"]]},"language":"eng","page":"634-639","title":"Variants with large effects on blood lipids and the role of cholesterol and triglycerides in coronary disease","type":"article-journal","volume":"48"}}],"schema":"https://github.com/citation-style-language/schema/raw/master/csl-citation.json"} </w:instrText>
      </w:r>
      <w:r w:rsidR="002509B6">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44</w:t>
      </w:r>
      <w:r w:rsidR="002509B6">
        <w:rPr>
          <w:rFonts w:ascii="Times New Roman" w:hAnsi="Times New Roman" w:cs="Times New Roman"/>
          <w:sz w:val="20"/>
          <w:szCs w:val="20"/>
          <w:lang w:val="en-US"/>
        </w:rPr>
        <w:fldChar w:fldCharType="end"/>
      </w:r>
      <w:r w:rsidR="002509B6">
        <w:rPr>
          <w:rFonts w:ascii="Times New Roman" w:hAnsi="Times New Roman" w:cs="Times New Roman"/>
          <w:sz w:val="20"/>
          <w:szCs w:val="20"/>
          <w:lang w:val="en-US"/>
        </w:rPr>
        <w:t xml:space="preserve"> </w:t>
      </w:r>
      <w:r w:rsidR="007C2B61">
        <w:rPr>
          <w:rFonts w:ascii="Times New Roman" w:hAnsi="Times New Roman" w:cs="Times New Roman"/>
          <w:sz w:val="20"/>
          <w:szCs w:val="20"/>
          <w:lang w:val="en-US"/>
        </w:rPr>
        <w:t xml:space="preserve">Coronary artery diseases </w:t>
      </w:r>
      <w:r w:rsidR="002509B6">
        <w:rPr>
          <w:rFonts w:ascii="Times New Roman" w:hAnsi="Times New Roman" w:cs="Times New Roman"/>
          <w:sz w:val="20"/>
          <w:szCs w:val="20"/>
          <w:lang w:val="en-US"/>
        </w:rPr>
        <w:t>c</w:t>
      </w:r>
      <w:r w:rsidRPr="00171FD7">
        <w:rPr>
          <w:rFonts w:ascii="Times New Roman" w:hAnsi="Times New Roman" w:cs="Times New Roman"/>
          <w:sz w:val="20"/>
          <w:szCs w:val="20"/>
          <w:lang w:val="en-US"/>
        </w:rPr>
        <w:t xml:space="preserve">ase status was assigned based on </w:t>
      </w:r>
      <w:r w:rsidR="002509B6">
        <w:rPr>
          <w:rFonts w:ascii="Times New Roman" w:hAnsi="Times New Roman" w:cs="Times New Roman"/>
          <w:sz w:val="20"/>
          <w:szCs w:val="20"/>
          <w:lang w:val="en-US"/>
        </w:rPr>
        <w:t>ICD-</w:t>
      </w:r>
      <w:r w:rsidRPr="00171FD7">
        <w:rPr>
          <w:rFonts w:ascii="Times New Roman" w:hAnsi="Times New Roman" w:cs="Times New Roman"/>
          <w:sz w:val="20"/>
          <w:szCs w:val="20"/>
          <w:lang w:val="en-US"/>
        </w:rPr>
        <w:t xml:space="preserve">10 codes (or comparable ICD-9 codes) indicative of CAD (ICD-10: I20.0, </w:t>
      </w:r>
      <w:r w:rsidR="002509B6">
        <w:rPr>
          <w:rFonts w:ascii="Times New Roman" w:hAnsi="Times New Roman" w:cs="Times New Roman"/>
          <w:sz w:val="20"/>
          <w:szCs w:val="20"/>
          <w:lang w:val="en-US"/>
        </w:rPr>
        <w:t>I21.x, I22.x, I24.x, or I25.x).</w:t>
      </w:r>
      <w:r w:rsidR="002A051F">
        <w:rPr>
          <w:rFonts w:ascii="Times New Roman" w:hAnsi="Times New Roman" w:cs="Times New Roman"/>
          <w:sz w:val="20"/>
          <w:szCs w:val="20"/>
          <w:lang w:val="en-US"/>
        </w:rPr>
        <w:t xml:space="preserve"> Data </w:t>
      </w:r>
      <w:r w:rsidR="007C2B61">
        <w:rPr>
          <w:rFonts w:ascii="Times New Roman" w:hAnsi="Times New Roman" w:cs="Times New Roman"/>
          <w:sz w:val="20"/>
          <w:szCs w:val="20"/>
          <w:lang w:val="en-US"/>
        </w:rPr>
        <w:t>were</w:t>
      </w:r>
      <w:r w:rsidR="002A051F">
        <w:rPr>
          <w:rFonts w:ascii="Times New Roman" w:hAnsi="Times New Roman" w:cs="Times New Roman"/>
          <w:sz w:val="20"/>
          <w:szCs w:val="20"/>
          <w:lang w:val="en-US"/>
        </w:rPr>
        <w:t xml:space="preserve"> collected from 1987 to 2020.</w:t>
      </w:r>
    </w:p>
    <w:p w14:paraId="3016D8D4" w14:textId="3FAB7DD1" w:rsidR="002A051F" w:rsidRDefault="002A051F" w:rsidP="002A051F">
      <w:pPr>
        <w:pStyle w:val="Style3"/>
        <w:rPr>
          <w:lang w:val="en-US"/>
        </w:rPr>
      </w:pPr>
      <w:bookmarkStart w:id="43" w:name="_Toc100246257"/>
      <w:r>
        <w:rPr>
          <w:lang w:val="en-US"/>
        </w:rPr>
        <w:t>Hypertension</w:t>
      </w:r>
      <w:bookmarkEnd w:id="43"/>
    </w:p>
    <w:p w14:paraId="0FDB1537" w14:textId="34E22674" w:rsidR="002509B6" w:rsidRDefault="00944B14" w:rsidP="002509B6">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Persons with hypertension were identified as those that had been given the diagnosis by ICD-code and those that had used antihypertensives continuously for more than one year (C02*). </w:t>
      </w:r>
      <w:r w:rsidR="002509B6">
        <w:rPr>
          <w:rFonts w:ascii="Times New Roman" w:hAnsi="Times New Roman" w:cs="Times New Roman"/>
          <w:sz w:val="20"/>
          <w:szCs w:val="20"/>
          <w:lang w:val="en-US"/>
        </w:rPr>
        <w:t>Information</w:t>
      </w:r>
      <w:r w:rsidR="002509B6" w:rsidRPr="002509B6">
        <w:rPr>
          <w:rFonts w:ascii="Times New Roman" w:hAnsi="Times New Roman" w:cs="Times New Roman"/>
          <w:sz w:val="20"/>
          <w:szCs w:val="20"/>
          <w:lang w:val="en-US"/>
        </w:rPr>
        <w:t xml:space="preserve"> about hypertension diagnoses </w:t>
      </w:r>
      <w:r w:rsidR="002509B6">
        <w:rPr>
          <w:rFonts w:ascii="Times New Roman" w:hAnsi="Times New Roman" w:cs="Times New Roman"/>
          <w:sz w:val="20"/>
          <w:szCs w:val="20"/>
          <w:lang w:val="en-US"/>
        </w:rPr>
        <w:t xml:space="preserve">were obtained </w:t>
      </w:r>
      <w:r w:rsidR="002509B6" w:rsidRPr="002509B6">
        <w:rPr>
          <w:rFonts w:ascii="Times New Roman" w:hAnsi="Times New Roman" w:cs="Times New Roman"/>
          <w:sz w:val="20"/>
          <w:szCs w:val="20"/>
          <w:lang w:val="en-US"/>
        </w:rPr>
        <w:t>from Landspitali - the National University Ho</w:t>
      </w:r>
      <w:r w:rsidR="002509B6">
        <w:rPr>
          <w:rFonts w:ascii="Times New Roman" w:hAnsi="Times New Roman" w:cs="Times New Roman"/>
          <w:sz w:val="20"/>
          <w:szCs w:val="20"/>
          <w:lang w:val="en-US"/>
        </w:rPr>
        <w:t>spital of Iceland in Reykjavik</w:t>
      </w:r>
      <w:r w:rsidR="002A051F">
        <w:rPr>
          <w:rFonts w:ascii="Times New Roman" w:hAnsi="Times New Roman" w:cs="Times New Roman"/>
          <w:sz w:val="20"/>
          <w:szCs w:val="20"/>
          <w:lang w:val="en-US"/>
        </w:rPr>
        <w:t xml:space="preserve">, </w:t>
      </w:r>
      <w:r w:rsidR="002509B6" w:rsidRPr="002509B6">
        <w:rPr>
          <w:rFonts w:ascii="Times New Roman" w:hAnsi="Times New Roman" w:cs="Times New Roman"/>
          <w:sz w:val="20"/>
          <w:szCs w:val="20"/>
          <w:lang w:val="en-US"/>
        </w:rPr>
        <w:t>the Primary Health Car</w:t>
      </w:r>
      <w:r w:rsidR="002509B6">
        <w:rPr>
          <w:rFonts w:ascii="Times New Roman" w:hAnsi="Times New Roman" w:cs="Times New Roman"/>
          <w:sz w:val="20"/>
          <w:szCs w:val="20"/>
          <w:lang w:val="en-US"/>
        </w:rPr>
        <w:t>e Clinics of the Reykjavik area</w:t>
      </w:r>
      <w:r w:rsidR="002A051F">
        <w:rPr>
          <w:rFonts w:ascii="Times New Roman" w:hAnsi="Times New Roman" w:cs="Times New Roman"/>
          <w:sz w:val="20"/>
          <w:szCs w:val="20"/>
          <w:lang w:val="en-US"/>
        </w:rPr>
        <w:t xml:space="preserve">, the </w:t>
      </w:r>
      <w:r w:rsidR="002A051F" w:rsidRPr="00643ED3">
        <w:rPr>
          <w:rFonts w:ascii="Times New Roman" w:hAnsi="Times New Roman" w:cs="Times New Roman"/>
          <w:sz w:val="20"/>
          <w:szCs w:val="20"/>
          <w:lang w:val="en-US"/>
        </w:rPr>
        <w:t>Register of Contacts with Medical Specialists in Private Practice and the Register of Primary Health Care Contacts</w:t>
      </w:r>
      <w:r w:rsidR="002A051F">
        <w:rPr>
          <w:rFonts w:ascii="Times New Roman" w:hAnsi="Times New Roman" w:cs="Times New Roman"/>
          <w:sz w:val="20"/>
          <w:szCs w:val="20"/>
          <w:lang w:val="en-US"/>
        </w:rPr>
        <w:t xml:space="preserve"> both kept by the Directorate of health, </w:t>
      </w:r>
      <w:r w:rsidR="002509B6">
        <w:rPr>
          <w:rFonts w:ascii="Times New Roman" w:hAnsi="Times New Roman" w:cs="Times New Roman"/>
          <w:sz w:val="20"/>
          <w:szCs w:val="20"/>
          <w:lang w:val="en-US"/>
        </w:rPr>
        <w:t>using ICD-10 code I10 and ICD-9 code 401.</w:t>
      </w:r>
      <w:r w:rsidR="002A051F">
        <w:rPr>
          <w:rFonts w:ascii="Times New Roman" w:hAnsi="Times New Roman" w:cs="Times New Roman"/>
          <w:sz w:val="20"/>
          <w:szCs w:val="20"/>
          <w:lang w:val="en-US"/>
        </w:rPr>
        <w:t xml:space="preserve"> Data was collected from 1987 to 2020.</w:t>
      </w:r>
      <w:r w:rsidR="000A36DC">
        <w:rPr>
          <w:rFonts w:ascii="Times New Roman" w:hAnsi="Times New Roman" w:cs="Times New Roman"/>
          <w:sz w:val="20"/>
          <w:szCs w:val="20"/>
          <w:lang w:val="en-US"/>
        </w:rPr>
        <w:t xml:space="preserve"> </w:t>
      </w:r>
      <w:r w:rsidR="00FD2A09">
        <w:rPr>
          <w:rFonts w:ascii="Times New Roman" w:hAnsi="Times New Roman" w:cs="Times New Roman"/>
          <w:sz w:val="20"/>
          <w:szCs w:val="20"/>
          <w:lang w:val="en-US"/>
        </w:rPr>
        <w:t>The drug data originates</w:t>
      </w:r>
      <w:r w:rsidR="000A36DC">
        <w:rPr>
          <w:rFonts w:ascii="Times New Roman" w:hAnsi="Times New Roman" w:cs="Times New Roman"/>
          <w:sz w:val="20"/>
          <w:szCs w:val="20"/>
          <w:lang w:val="en-US"/>
        </w:rPr>
        <w:t xml:space="preserve"> from the </w:t>
      </w:r>
      <w:r w:rsidR="000A36DC" w:rsidRPr="002A051F">
        <w:rPr>
          <w:rFonts w:ascii="Times New Roman" w:hAnsi="Times New Roman" w:cs="Times New Roman"/>
          <w:sz w:val="20"/>
          <w:szCs w:val="20"/>
          <w:lang w:val="en-US"/>
        </w:rPr>
        <w:t>Prescription Medicines Register</w:t>
      </w:r>
      <w:r w:rsidR="000A36DC">
        <w:rPr>
          <w:rFonts w:ascii="Times New Roman" w:hAnsi="Times New Roman" w:cs="Times New Roman"/>
          <w:sz w:val="20"/>
          <w:szCs w:val="20"/>
          <w:lang w:val="en-US"/>
        </w:rPr>
        <w:t xml:space="preserve"> organized and maintained by the Directorate of Health since 2001.</w:t>
      </w:r>
    </w:p>
    <w:p w14:paraId="619D765E" w14:textId="58EFC52F" w:rsidR="002A051F" w:rsidRDefault="002A051F" w:rsidP="002A051F">
      <w:pPr>
        <w:pStyle w:val="Style3"/>
        <w:rPr>
          <w:lang w:val="en-US"/>
        </w:rPr>
      </w:pPr>
      <w:bookmarkStart w:id="44" w:name="_Toc100246258"/>
      <w:r>
        <w:rPr>
          <w:lang w:val="en-US"/>
        </w:rPr>
        <w:t>Immunocompromised state</w:t>
      </w:r>
      <w:bookmarkEnd w:id="44"/>
    </w:p>
    <w:p w14:paraId="270EF181" w14:textId="289B2373" w:rsidR="00A422D0" w:rsidRDefault="002509B6" w:rsidP="00C40178">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Immunocompromosed state was defined as immunocompromised from solid organ transplant, </w:t>
      </w:r>
      <w:r w:rsidRPr="002509B6">
        <w:rPr>
          <w:rFonts w:ascii="Times New Roman" w:hAnsi="Times New Roman" w:cs="Times New Roman"/>
          <w:sz w:val="20"/>
          <w:szCs w:val="20"/>
          <w:lang w:val="en-US"/>
        </w:rPr>
        <w:t>blood or bone marrow transplant, immune deficiencies, HIV, use of corticosteroids, or use of other immune weakening medicines</w:t>
      </w:r>
      <w:r w:rsidR="00F96C96">
        <w:rPr>
          <w:rFonts w:ascii="Times New Roman" w:hAnsi="Times New Roman" w:cs="Times New Roman"/>
          <w:sz w:val="20"/>
          <w:szCs w:val="20"/>
          <w:lang w:val="en-US"/>
        </w:rPr>
        <w:t xml:space="preserve">. The phenotype was based on the following ICD-10 codes (and comparable ICD-9 codes): Z94.0, </w:t>
      </w:r>
      <w:r w:rsidR="00F96C96" w:rsidRPr="00F96C96">
        <w:rPr>
          <w:rFonts w:ascii="Times New Roman" w:hAnsi="Times New Roman" w:cs="Times New Roman"/>
          <w:sz w:val="20"/>
          <w:szCs w:val="20"/>
          <w:lang w:val="en-US"/>
        </w:rPr>
        <w:t>Z94</w:t>
      </w:r>
      <w:r w:rsidR="00F96C96">
        <w:rPr>
          <w:rFonts w:ascii="Times New Roman" w:hAnsi="Times New Roman" w:cs="Times New Roman"/>
          <w:sz w:val="20"/>
          <w:szCs w:val="20"/>
          <w:lang w:val="en-US"/>
        </w:rPr>
        <w:t xml:space="preserve">.1, Z94.2, Z94.3, Z94.4, Z94.82, </w:t>
      </w:r>
      <w:r w:rsidR="00F96C96" w:rsidRPr="00F96C96">
        <w:rPr>
          <w:rFonts w:ascii="Times New Roman" w:hAnsi="Times New Roman" w:cs="Times New Roman"/>
          <w:sz w:val="20"/>
          <w:szCs w:val="20"/>
          <w:lang w:val="en-US"/>
        </w:rPr>
        <w:t>Z</w:t>
      </w:r>
      <w:r w:rsidR="00F96C96">
        <w:rPr>
          <w:rFonts w:ascii="Times New Roman" w:hAnsi="Times New Roman" w:cs="Times New Roman"/>
          <w:sz w:val="20"/>
          <w:szCs w:val="20"/>
          <w:lang w:val="en-US"/>
        </w:rPr>
        <w:t xml:space="preserve">94.83, Z94.81, </w:t>
      </w:r>
      <w:r w:rsidR="00F96C96" w:rsidRPr="00F96C96">
        <w:rPr>
          <w:rFonts w:ascii="Times New Roman" w:hAnsi="Times New Roman" w:cs="Times New Roman"/>
          <w:sz w:val="20"/>
          <w:szCs w:val="20"/>
          <w:lang w:val="en-US"/>
        </w:rPr>
        <w:t>Z94.84</w:t>
      </w:r>
      <w:r w:rsidR="00F96C96">
        <w:rPr>
          <w:rFonts w:ascii="Times New Roman" w:hAnsi="Times New Roman" w:cs="Times New Roman"/>
          <w:sz w:val="20"/>
          <w:szCs w:val="20"/>
          <w:lang w:val="en-US"/>
        </w:rPr>
        <w:t xml:space="preserve">, B20, D80, D81, D82, D83, D84, D86 or the use of the following drugs: </w:t>
      </w:r>
      <w:r w:rsidR="00F96C96" w:rsidRPr="00F96C96">
        <w:rPr>
          <w:rFonts w:ascii="Times New Roman" w:hAnsi="Times New Roman" w:cs="Times New Roman"/>
          <w:sz w:val="20"/>
          <w:szCs w:val="20"/>
          <w:lang w:val="en-US"/>
        </w:rPr>
        <w:t xml:space="preserve">H02A* </w:t>
      </w:r>
      <w:r w:rsidR="00F96C96">
        <w:rPr>
          <w:rFonts w:ascii="Times New Roman" w:hAnsi="Times New Roman" w:cs="Times New Roman"/>
          <w:sz w:val="20"/>
          <w:szCs w:val="20"/>
          <w:lang w:val="en-US"/>
        </w:rPr>
        <w:t xml:space="preserve">corticosteroids for systemic use, plain, </w:t>
      </w:r>
      <w:r w:rsidR="00F96C96" w:rsidRPr="00F96C96">
        <w:rPr>
          <w:rFonts w:ascii="Times New Roman" w:hAnsi="Times New Roman" w:cs="Times New Roman"/>
          <w:sz w:val="20"/>
          <w:szCs w:val="20"/>
          <w:lang w:val="en-US"/>
        </w:rPr>
        <w:t xml:space="preserve">H02B* </w:t>
      </w:r>
      <w:r w:rsidR="00F96C96">
        <w:rPr>
          <w:rFonts w:ascii="Times New Roman" w:hAnsi="Times New Roman" w:cs="Times New Roman"/>
          <w:sz w:val="20"/>
          <w:szCs w:val="20"/>
          <w:lang w:val="en-US"/>
        </w:rPr>
        <w:t xml:space="preserve">corticosteroids for systemic use, combinations, </w:t>
      </w:r>
      <w:r w:rsidR="00F96C96" w:rsidRPr="00F96C96">
        <w:rPr>
          <w:rFonts w:ascii="Times New Roman" w:hAnsi="Times New Roman" w:cs="Times New Roman"/>
          <w:sz w:val="20"/>
          <w:szCs w:val="20"/>
          <w:lang w:val="en-US"/>
        </w:rPr>
        <w:t xml:space="preserve">L04A* </w:t>
      </w:r>
      <w:r w:rsidR="00F96C96">
        <w:rPr>
          <w:rFonts w:ascii="Times New Roman" w:hAnsi="Times New Roman" w:cs="Times New Roman"/>
          <w:sz w:val="20"/>
          <w:szCs w:val="20"/>
          <w:lang w:val="en-US"/>
        </w:rPr>
        <w:t>immunosuppresants, requiring two prescriptions in the two years prior to study participation.</w:t>
      </w:r>
      <w:r w:rsidR="002A051F">
        <w:rPr>
          <w:rFonts w:ascii="Times New Roman" w:hAnsi="Times New Roman" w:cs="Times New Roman"/>
          <w:sz w:val="20"/>
          <w:szCs w:val="20"/>
          <w:lang w:val="en-US"/>
        </w:rPr>
        <w:t xml:space="preserve"> The ICD codes originated from </w:t>
      </w:r>
      <w:r w:rsidR="002A051F" w:rsidRPr="002509B6">
        <w:rPr>
          <w:rFonts w:ascii="Times New Roman" w:hAnsi="Times New Roman" w:cs="Times New Roman"/>
          <w:sz w:val="20"/>
          <w:szCs w:val="20"/>
          <w:lang w:val="en-US"/>
        </w:rPr>
        <w:t>Landspitali - the National University Ho</w:t>
      </w:r>
      <w:r w:rsidR="002A051F">
        <w:rPr>
          <w:rFonts w:ascii="Times New Roman" w:hAnsi="Times New Roman" w:cs="Times New Roman"/>
          <w:sz w:val="20"/>
          <w:szCs w:val="20"/>
          <w:lang w:val="en-US"/>
        </w:rPr>
        <w:t xml:space="preserve">spital of Iceland in Reykjavik, the </w:t>
      </w:r>
      <w:r w:rsidR="002A051F" w:rsidRPr="00643ED3">
        <w:rPr>
          <w:rFonts w:ascii="Times New Roman" w:hAnsi="Times New Roman" w:cs="Times New Roman"/>
          <w:sz w:val="20"/>
          <w:szCs w:val="20"/>
          <w:lang w:val="en-US"/>
        </w:rPr>
        <w:t xml:space="preserve">Register of Contacts with Medical Specialists in Private Practice and the Register of Primary </w:t>
      </w:r>
      <w:r w:rsidR="002A051F" w:rsidRPr="00643ED3">
        <w:rPr>
          <w:rFonts w:ascii="Times New Roman" w:hAnsi="Times New Roman" w:cs="Times New Roman"/>
          <w:sz w:val="20"/>
          <w:szCs w:val="20"/>
          <w:lang w:val="en-US"/>
        </w:rPr>
        <w:lastRenderedPageBreak/>
        <w:t>Health Care Contacts</w:t>
      </w:r>
      <w:r w:rsidR="002A051F">
        <w:rPr>
          <w:rFonts w:ascii="Times New Roman" w:hAnsi="Times New Roman" w:cs="Times New Roman"/>
          <w:sz w:val="20"/>
          <w:szCs w:val="20"/>
          <w:lang w:val="en-US"/>
        </w:rPr>
        <w:t xml:space="preserve"> in Ice</w:t>
      </w:r>
      <w:r w:rsidR="00FD2A09">
        <w:rPr>
          <w:rFonts w:ascii="Times New Roman" w:hAnsi="Times New Roman" w:cs="Times New Roman"/>
          <w:sz w:val="20"/>
          <w:szCs w:val="20"/>
          <w:lang w:val="en-US"/>
        </w:rPr>
        <w:t>land. The drug data originates</w:t>
      </w:r>
      <w:r w:rsidR="002A051F">
        <w:rPr>
          <w:rFonts w:ascii="Times New Roman" w:hAnsi="Times New Roman" w:cs="Times New Roman"/>
          <w:sz w:val="20"/>
          <w:szCs w:val="20"/>
          <w:lang w:val="en-US"/>
        </w:rPr>
        <w:t xml:space="preserve"> from </w:t>
      </w:r>
      <w:r w:rsidR="002A051F" w:rsidRPr="002509B6">
        <w:rPr>
          <w:rFonts w:ascii="Times New Roman" w:hAnsi="Times New Roman" w:cs="Times New Roman"/>
          <w:sz w:val="20"/>
          <w:szCs w:val="20"/>
          <w:lang w:val="en-US"/>
        </w:rPr>
        <w:t>Landspitali - the National University Ho</w:t>
      </w:r>
      <w:r w:rsidR="002A051F">
        <w:rPr>
          <w:rFonts w:ascii="Times New Roman" w:hAnsi="Times New Roman" w:cs="Times New Roman"/>
          <w:sz w:val="20"/>
          <w:szCs w:val="20"/>
          <w:lang w:val="en-US"/>
        </w:rPr>
        <w:t xml:space="preserve">spital of Iceland and the </w:t>
      </w:r>
      <w:r w:rsidR="002A051F" w:rsidRPr="002A051F">
        <w:rPr>
          <w:rFonts w:ascii="Times New Roman" w:hAnsi="Times New Roman" w:cs="Times New Roman"/>
          <w:sz w:val="20"/>
          <w:szCs w:val="20"/>
          <w:lang w:val="en-US"/>
        </w:rPr>
        <w:t>Prescription Medicines Register</w:t>
      </w:r>
      <w:r w:rsidR="002A051F">
        <w:rPr>
          <w:rFonts w:ascii="Times New Roman" w:hAnsi="Times New Roman" w:cs="Times New Roman"/>
          <w:sz w:val="20"/>
          <w:szCs w:val="20"/>
          <w:lang w:val="en-US"/>
        </w:rPr>
        <w:t xml:space="preserve"> organized and maintained by the Directorate of Health.</w:t>
      </w:r>
    </w:p>
    <w:p w14:paraId="43269422" w14:textId="07B75779" w:rsidR="00C40178" w:rsidRDefault="00C40178" w:rsidP="00DA295B">
      <w:pPr>
        <w:pStyle w:val="Style3"/>
      </w:pPr>
      <w:bookmarkStart w:id="45" w:name="_Toc100246259"/>
      <w:r>
        <w:t>Type 2 Diabetes</w:t>
      </w:r>
      <w:bookmarkEnd w:id="45"/>
    </w:p>
    <w:p w14:paraId="1FA373BB" w14:textId="602CD42B" w:rsidR="00C40178" w:rsidRDefault="00C40178" w:rsidP="00C40178">
      <w:pPr>
        <w:spacing w:after="240" w:line="360" w:lineRule="auto"/>
        <w:rPr>
          <w:rFonts w:ascii="Times New Roman" w:hAnsi="Times New Roman" w:cs="Times New Roman"/>
          <w:sz w:val="20"/>
          <w:szCs w:val="20"/>
          <w:lang w:val="en-US"/>
        </w:rPr>
      </w:pPr>
      <w:r w:rsidRPr="00C40178">
        <w:rPr>
          <w:rFonts w:ascii="Times New Roman" w:hAnsi="Times New Roman" w:cs="Times New Roman"/>
          <w:sz w:val="20"/>
          <w:szCs w:val="20"/>
          <w:lang w:val="en-US"/>
        </w:rPr>
        <w:t>Type 2 diabetes cases were identified based on ICD</w:t>
      </w:r>
      <w:r w:rsidR="00FD2A09">
        <w:rPr>
          <w:rFonts w:ascii="Times New Roman" w:hAnsi="Times New Roman" w:cs="Times New Roman"/>
          <w:sz w:val="20"/>
          <w:szCs w:val="20"/>
          <w:lang w:val="en-US"/>
        </w:rPr>
        <w:t>-</w:t>
      </w:r>
      <w:r w:rsidRPr="00C40178">
        <w:rPr>
          <w:rFonts w:ascii="Times New Roman" w:hAnsi="Times New Roman" w:cs="Times New Roman"/>
          <w:sz w:val="20"/>
          <w:szCs w:val="20"/>
          <w:lang w:val="en-US"/>
        </w:rPr>
        <w:t>10 code E11</w:t>
      </w:r>
      <w:r>
        <w:rPr>
          <w:rFonts w:ascii="Times New Roman" w:hAnsi="Times New Roman" w:cs="Times New Roman"/>
          <w:sz w:val="20"/>
          <w:szCs w:val="20"/>
          <w:lang w:val="en-US"/>
        </w:rPr>
        <w:t xml:space="preserve">, </w:t>
      </w:r>
      <w:r w:rsidRPr="00C40178">
        <w:rPr>
          <w:rFonts w:ascii="Times New Roman" w:hAnsi="Times New Roman" w:cs="Times New Roman"/>
          <w:sz w:val="20"/>
          <w:szCs w:val="20"/>
          <w:lang w:val="en-US"/>
        </w:rPr>
        <w:t>use of oral</w:t>
      </w:r>
      <w:r>
        <w:rPr>
          <w:rFonts w:ascii="Times New Roman" w:hAnsi="Times New Roman" w:cs="Times New Roman"/>
          <w:sz w:val="20"/>
          <w:szCs w:val="20"/>
          <w:lang w:val="en-US"/>
        </w:rPr>
        <w:t xml:space="preserve"> diabetes medication (ATC A10B)</w:t>
      </w:r>
      <w:r w:rsidRPr="00C40178">
        <w:rPr>
          <w:rFonts w:ascii="Times New Roman" w:hAnsi="Times New Roman" w:cs="Times New Roman"/>
          <w:sz w:val="20"/>
          <w:szCs w:val="20"/>
          <w:lang w:val="en-US"/>
        </w:rPr>
        <w:t>, HbA1C &gt; 6.5</w:t>
      </w:r>
      <w:r>
        <w:rPr>
          <w:rFonts w:ascii="Times New Roman" w:hAnsi="Times New Roman" w:cs="Times New Roman"/>
          <w:sz w:val="20"/>
          <w:szCs w:val="20"/>
          <w:lang w:val="en-US"/>
        </w:rPr>
        <w:t>,</w:t>
      </w:r>
      <w:r w:rsidRPr="00C40178">
        <w:rPr>
          <w:rFonts w:ascii="Times New Roman" w:hAnsi="Times New Roman" w:cs="Times New Roman"/>
          <w:sz w:val="20"/>
          <w:szCs w:val="20"/>
          <w:lang w:val="en-US"/>
        </w:rPr>
        <w:t xml:space="preserve"> or self-reported history of type 2 diabetes. Individuals with type 1 diabetes (ICD10 E10</w:t>
      </w:r>
      <w:r>
        <w:rPr>
          <w:rFonts w:ascii="Times New Roman" w:hAnsi="Times New Roman" w:cs="Times New Roman"/>
          <w:sz w:val="20"/>
          <w:szCs w:val="20"/>
          <w:lang w:val="en-US"/>
        </w:rPr>
        <w:t>) were excluded as cases.</w:t>
      </w:r>
      <w:r>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{"citationID":"atc41ivt65","properties":{"formattedCitation":"{\\rtf \\super 45\\nosupersub{}}","plainCitation":"45"},"citationItems":[{"id":475,"uris":["http://zotero.org/users/local/0NZqn2Xy/items/ETNJGQDG"],"uri":["http://zotero.org/users/local/0NZqn2Xy/items/ETNJGQDG"],"itemData":{"id":475,"type":"article-journal","title":"Identification of low-frequency and rare sequence variants associated with elevated or reduced risk of type 2 diabetes","container-title":"Nature Genetics","page":"294-298","volume":"46","issue":"3","source":"PubMed","abstract":"Through whole-genome sequencing of 2,630 Icelanders and imputation into 11,114 Icelandic cases and 267,140 controls followed by testing in Danish and Iranian samples, we discovered 4 previously unreported variants affecting risk of type 2 diabetes (T2D). A low-frequency (1.47%) variant in intron 1 of CCND2, rs76895963[G], reduces risk of T2D by half (odds ratio (OR) = 0.53, P = 5.0 × 10(-21)) and is correlated with increased CCND2 expression. Notably, this variant is also associated with both greater height and higher body mass index (1.17 cm per allele, P = 5.5 × 10(-12) and 0.56 kg/m(2) per allele, P = 6.5 × 10(-7), respectively). In addition, two missense variants in PAM, encoding p.Asp563Gly (frequency of 4.98%) and p.Ser539Trp (frequency of 0.65%), confer moderately higher risk of T2D (OR = 1.23, P = 3.9 × 10(-10) and OR = 1.47, P = 1.7 × 10(-5), respectively), and a rare (0.20%) frameshift variant in PDX1, encoding p.Gly218Alafs*12, associates with high risk of T2D (OR = 2.27, P = 7.3 × 10(-7)).","DOI":"10.1038/ng.2882","ISSN":"1546-1718","note":"PMID: 24464100","journalAbbreviation":"Nat Genet","language":"eng","author":[{"family":"Steinthorsdottir","given":"Valgerdur"},{"family":"Thorleifsson","given":"Gudmar"},{"family":"Sulem","given":"Patrick"},{"family":"Helgason","given":"Hannes"},{"family":"Grarup","given":"Niels"},{"family":"Sigurdsson","given":"Asgeir"},{"family":"Helgadottir","given":"Hafdis T."},{"family":"Johannsdottir","given":"Hrefna"},{"family":"Magnusson","given":"Olafur T."},{"family":"Gudjonsson","given":"Sigurjon A."},{"family":"Justesen","given":"Johanne M."},{"family":"Harder","given":"Marie N."},{"family":"Jørgensen","given":"Marit E."},{"family":"Christensen","given":"Cramer"},{"family":"Brandslund","given":"Ivan"},{"family":"Sandbæk","given":"Annelli"},{"family":"Lauritzen","given":"Torsten"},{"family":"Vestergaard","given":"Henrik"},{"family":"Linneberg","given":"Allan"},{"family":"Jørgensen","given":"Torben"},{"family":"Hansen","given":"Torben"},{"family":"Daneshpour","given":"Maryam S."},{"family":"Fallah","given":"Mohammad-Sadegh"},{"family":"Hreidarsson","given":"Astradur B."},{"family":"Sigurdsson","given":"Gunnar"},{"family":"Azizi","given":"Fereidoun"},{"family":"Benediktsson","given":"Rafn"},{"family":"Masson","given":"Gisli"},{"family":"Helgason","given":"Agnar"},{"family":"Kong","given":"Augustine"},{"family":"Gudbjartsson","given":"Daniel F."},{"family":"Pedersen","given":"Oluf"},{"family":"Thorsteinsdottir","given":"Unnur"},{"family":"Stefansson","given":"Kari"}],"issued":{"date-parts":[["2014",3]]}}}],"schema":"https://github.com/citation-style-language/schema/raw/master/csl-citation.json"} </w:instrText>
      </w:r>
      <w:r>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45</w:t>
      </w:r>
      <w:r>
        <w:rPr>
          <w:rFonts w:ascii="Times New Roman" w:hAnsi="Times New Roman" w:cs="Times New Roman"/>
          <w:sz w:val="20"/>
          <w:szCs w:val="20"/>
          <w:lang w:val="en-US"/>
        </w:rPr>
        <w:fldChar w:fldCharType="end"/>
      </w:r>
      <w:r w:rsidR="00FD2A09">
        <w:rPr>
          <w:rFonts w:ascii="Times New Roman" w:hAnsi="Times New Roman" w:cs="Times New Roman"/>
          <w:sz w:val="20"/>
          <w:szCs w:val="20"/>
          <w:lang w:val="en-US"/>
        </w:rPr>
        <w:t xml:space="preserve"> The ICD codes originate from the </w:t>
      </w:r>
      <w:r w:rsidR="00FD2A09" w:rsidRPr="00171FD7">
        <w:rPr>
          <w:rFonts w:ascii="Times New Roman" w:hAnsi="Times New Roman" w:cs="Times New Roman"/>
          <w:sz w:val="20"/>
          <w:szCs w:val="20"/>
          <w:lang w:val="en-US"/>
        </w:rPr>
        <w:t>Landspitali – The National Uni</w:t>
      </w:r>
      <w:r w:rsidR="00FD2A09">
        <w:rPr>
          <w:rFonts w:ascii="Times New Roman" w:hAnsi="Times New Roman" w:cs="Times New Roman"/>
          <w:sz w:val="20"/>
          <w:szCs w:val="20"/>
          <w:lang w:val="en-US"/>
        </w:rPr>
        <w:t>versity Hospital of Iceland</w:t>
      </w:r>
      <w:r w:rsidR="00FD2A09" w:rsidRPr="00171FD7">
        <w:rPr>
          <w:rFonts w:ascii="Times New Roman" w:hAnsi="Times New Roman" w:cs="Times New Roman"/>
          <w:sz w:val="20"/>
          <w:szCs w:val="20"/>
          <w:lang w:val="en-US"/>
        </w:rPr>
        <w:t xml:space="preserve">, </w:t>
      </w:r>
      <w:r w:rsidR="00FD2A09">
        <w:rPr>
          <w:rFonts w:ascii="Times New Roman" w:hAnsi="Times New Roman" w:cs="Times New Roman"/>
          <w:sz w:val="20"/>
          <w:szCs w:val="20"/>
          <w:lang w:val="en-US"/>
        </w:rPr>
        <w:t xml:space="preserve">and the </w:t>
      </w:r>
      <w:r w:rsidR="00FD2A09" w:rsidRPr="00643ED3">
        <w:rPr>
          <w:rFonts w:ascii="Times New Roman" w:hAnsi="Times New Roman" w:cs="Times New Roman"/>
          <w:sz w:val="20"/>
          <w:szCs w:val="20"/>
          <w:lang w:val="en-US"/>
        </w:rPr>
        <w:t>Register of Contacts with Medical Specialists in Private Practice and the Register of Primary Health Care Contacts</w:t>
      </w:r>
      <w:r w:rsidR="00FD2A09">
        <w:rPr>
          <w:rFonts w:ascii="Times New Roman" w:hAnsi="Times New Roman" w:cs="Times New Roman"/>
          <w:sz w:val="20"/>
          <w:szCs w:val="20"/>
          <w:lang w:val="en-US"/>
        </w:rPr>
        <w:t xml:space="preserve">, both kept by the Directorate of health. The drug data originates from the </w:t>
      </w:r>
      <w:r w:rsidR="00FD2A09" w:rsidRPr="002A051F">
        <w:rPr>
          <w:rFonts w:ascii="Times New Roman" w:hAnsi="Times New Roman" w:cs="Times New Roman"/>
          <w:sz w:val="20"/>
          <w:szCs w:val="20"/>
          <w:lang w:val="en-US"/>
        </w:rPr>
        <w:t>Prescription Medicines Register</w:t>
      </w:r>
      <w:r w:rsidR="00FD2A09">
        <w:rPr>
          <w:rFonts w:ascii="Times New Roman" w:hAnsi="Times New Roman" w:cs="Times New Roman"/>
          <w:sz w:val="20"/>
          <w:szCs w:val="20"/>
          <w:lang w:val="en-US"/>
        </w:rPr>
        <w:t xml:space="preserve"> organized and maintained by the Directorate of Health since 2001.</w:t>
      </w:r>
    </w:p>
    <w:p w14:paraId="734C8CBE" w14:textId="2FFA2EE2" w:rsidR="008C5280" w:rsidRDefault="008C5280" w:rsidP="00AD03A9">
      <w:pPr>
        <w:pStyle w:val="Style3"/>
        <w:rPr>
          <w:lang w:val="en-US"/>
        </w:rPr>
      </w:pPr>
      <w:bookmarkStart w:id="46" w:name="_Toc100246260"/>
      <w:r>
        <w:rPr>
          <w:lang w:val="en-US"/>
        </w:rPr>
        <w:t>Chronic kidney disease</w:t>
      </w:r>
      <w:bookmarkEnd w:id="46"/>
    </w:p>
    <w:p w14:paraId="2BE56540" w14:textId="0D78507E" w:rsidR="008C5280" w:rsidRDefault="008C5280" w:rsidP="00C40178">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Chronic kidney disease</w:t>
      </w:r>
      <w:r w:rsidRPr="008C5280">
        <w:rPr>
          <w:rFonts w:ascii="Times New Roman" w:hAnsi="Times New Roman" w:cs="Times New Roman"/>
          <w:sz w:val="20"/>
          <w:szCs w:val="20"/>
          <w:lang w:val="en-US"/>
        </w:rPr>
        <w:t xml:space="preserve"> was defined as ICD code for stage 3-5 chronic kidney disease (ICD</w:t>
      </w:r>
      <w:r>
        <w:rPr>
          <w:rFonts w:ascii="Times New Roman" w:hAnsi="Times New Roman" w:cs="Times New Roman"/>
          <w:sz w:val="20"/>
          <w:szCs w:val="20"/>
          <w:lang w:val="en-US"/>
        </w:rPr>
        <w:t>-</w:t>
      </w:r>
      <w:r w:rsidRPr="008C5280">
        <w:rPr>
          <w:rFonts w:ascii="Times New Roman" w:hAnsi="Times New Roman" w:cs="Times New Roman"/>
          <w:sz w:val="20"/>
          <w:szCs w:val="20"/>
          <w:lang w:val="en-US"/>
        </w:rPr>
        <w:t>10 N18.3-5</w:t>
      </w:r>
      <w:r>
        <w:rPr>
          <w:rFonts w:ascii="Times New Roman" w:hAnsi="Times New Roman" w:cs="Times New Roman"/>
          <w:sz w:val="20"/>
          <w:szCs w:val="20"/>
          <w:lang w:val="en-US"/>
        </w:rPr>
        <w:t xml:space="preserve"> and comparable ICD-9 code</w:t>
      </w:r>
      <w:r w:rsidRPr="008C5280">
        <w:rPr>
          <w:rFonts w:ascii="Times New Roman" w:hAnsi="Times New Roman" w:cs="Times New Roman"/>
          <w:sz w:val="20"/>
          <w:szCs w:val="20"/>
          <w:lang w:val="en-US"/>
        </w:rPr>
        <w:t>) or estimated glomerular filtration rate (eGFR) &lt;60 ml/min/1.73 m</w:t>
      </w:r>
      <w:r w:rsidRPr="008C5280">
        <w:rPr>
          <w:rFonts w:ascii="Times New Roman" w:hAnsi="Times New Roman" w:cs="Times New Roman"/>
          <w:sz w:val="20"/>
          <w:szCs w:val="20"/>
          <w:vertAlign w:val="superscript"/>
          <w:lang w:val="en-US"/>
        </w:rPr>
        <w:t>2</w:t>
      </w:r>
      <w:r w:rsidRPr="008C5280">
        <w:rPr>
          <w:rFonts w:ascii="Times New Roman" w:hAnsi="Times New Roman" w:cs="Times New Roman"/>
          <w:sz w:val="20"/>
          <w:szCs w:val="20"/>
          <w:lang w:val="en-US"/>
        </w:rPr>
        <w:t xml:space="preserve"> as for </w:t>
      </w:r>
      <w:r>
        <w:rPr>
          <w:rFonts w:ascii="Times New Roman" w:hAnsi="Times New Roman" w:cs="Times New Roman"/>
          <w:sz w:val="20"/>
          <w:szCs w:val="20"/>
          <w:lang w:val="en-US"/>
        </w:rPr>
        <w:t>at least three</w:t>
      </w:r>
      <w:r w:rsidRPr="008C5280">
        <w:rPr>
          <w:rFonts w:ascii="Times New Roman" w:hAnsi="Times New Roman" w:cs="Times New Roman"/>
          <w:sz w:val="20"/>
          <w:szCs w:val="20"/>
          <w:lang w:val="en-US"/>
        </w:rPr>
        <w:t xml:space="preserve"> months.</w:t>
      </w:r>
      <w:r w:rsidR="00AD03A9">
        <w:rPr>
          <w:rFonts w:ascii="Times New Roman" w:hAnsi="Times New Roman" w:cs="Times New Roman"/>
          <w:sz w:val="20"/>
          <w:szCs w:val="20"/>
          <w:lang w:val="en-US"/>
        </w:rPr>
        <w:fldChar w:fldCharType="begin" w:fldLock="1"/>
      </w:r>
      <w:r w:rsidR="004964AA">
        <w:rPr>
          <w:rFonts w:ascii="Times New Roman" w:hAnsi="Times New Roman" w:cs="Times New Roman"/>
          <w:sz w:val="20"/>
          <w:szCs w:val="20"/>
          <w:lang w:val="en-US"/>
        </w:rPr>
        <w:instrText xml:space="preserve"> ADDIN ZOTERO_ITEM CSL_CITATION {"citationID":"o4aeN5Jy","properties":{"formattedCitation":"{\\rtf \\super 46,47\\nosupersub{}}","plainCitation":"46,47"},"citationItems":[{"id":477,"uris":["http://zotero.org/users/local/0NZqn2Xy/items/SEFYY5KC"],"uri":["http://zotero.org/users/local/0NZqn2Xy/items/SEFYY5KC"],"itemData":{"id":477,"type":"article-journal","title":"Rare mutations associating with serum creatinine and chronic kidney disease","container-title":"Human Molecular Genetics","page":"6935-6943","volume":"23","issue":"25","source":"PubMed","abstract":"Chronic kidney disease (CKD) is a complex disorder with a strong genetic component. A number of common sequence variants have been found to associate with serum creatinine (SCr), estimated glomerular filtration rate (eGFR) and/or CKD. We imputed 24 million single-nucleotide polymorphisms and insertions/deletions identified by whole-genome sequencing of 2230 Icelanders into 81 656 chip-typed individuals and 112 630 relatives of genotyped individuals over the age of 18 with SCr measurements. The large set of sequenced individuals allowed accurate imputation of variants to a minor allele frequency (MAF) of 0.1%. We tested the imputed variants for association with SCr. In addition to replicating established loci, we discovered missense and loss-of-function variants associating with SCr in three solute carriers (SLC6A19, SLC25A45 and SLC47A1) and two E3 ubiquitin ligases (RNF186 and RNF128). All the variants are within coding sequences and all but one are rare (MAF &lt;2%) with SCr effects between 0.085 and 0.129 standard deviations. These rare variants have a larger effect on SCr than previously reported common variants, explaining 0.5% of the variability of SCr in Icelanders in addition to the 1% already accounted for. We tested the five variants associating with SCr for association with CKD in an Icelandic sample of 15 594 cases and 291 428 controls. Three of the variants also associated with CKD. These variants may either affect kidney function or creatinine synthesis and excretion. Of note were four mutations in SLC6A19 that associate with reduced SCr, three of which have been shown to cause Hartnup disease.","DOI":"10.1093/hmg/ddu399","ISSN":"1460-2083","note":"PMID: 25082825","journalAbbreviation":"Hum Mol Genet","language":"eng","author":[{"family":"Sveinbjornsson","given":"Gardar"},{"family":"Mikaelsdottir","given":"Evgenia"},{"family":"Palsson","given":"Runolfur"},{"family":"Indridason","given":"Olafur S."},{"family":"Holm","given":"Hilma"},{"family":"Jonasdottir","given":"Aslaug"},{"family":"Helgason","given":"Agnar"},{"family":"Sigurdsson","given":"Snaevar"},{"family":"Jonasdottir","given":"Adalbjorg"},{"family":"Sigurdsson","given":"Asgeir"},{"family":"Eyjolfsson","given":"Gudmundur Ingi"},{"family":"Sigurdardottir","given":"Olof"},{"family":"Magnusson","given":"Olafur Th"},{"family":"Kong","given":"Augustine"},{"family":"Masson","given":"Gisli"},{"family":"Sulem","given":"Patrick"},{"family":"Olafsson","given":"Isleifur"},{"family":"Thorsteinsdottir","given":"Unnur"},{"family":"Gudbjartsson","given":"Daniel F."},{"family":"Stefansson","given":"Kari"}],"issued":{"date-parts":[["2014",12,20]]}}},{"id":479,"uris":["http://zotero.org/users/local/0NZqn2Xy/items/44VCS8FB"],"uri":["http://zotero.org/users/local/0NZqn2Xy/items/44VCS8FB"],"itemData":{"id":479,"type":"article-journal","title":"Association of variants at UMOD with chronic kidney disease and kidney stones-role of age and comorbid diseases","container-title":"PLoS genetics","page":"e1001039","volume":"6","issue":"7","source":"PubMed","abstract":"Chronic kidney disease (CKD) is a worldwide public health problem that is associated with substantial morbidity and mortality. To search for sequence variants that associate with CKD, we conducted a genome-wide association study (GWAS) that included a total of 3,203 Icelandic cases and 38,782 controls. We observed an association between CKD and a variant with 80% population frequency, rs4293393-T, positioned next to the UMOD gene (GeneID: 7369) on chromosome 16p12 (OR = 1.25, P = 4.1x10(-10)). This gene encodes uromodulin (Tamm-Horsfall protein), the most abundant protein in mammalian urine. The variant also associates significantly with serum creatinine concentration (SCr) in Icelandic subjects (N = 24,635, P = 1.3 x 10(-23)) but not in a smaller set of healthy Dutch controls (N = 1,819, P = 0.39). Our findings validate the association between the UMOD variant and both CKD and SCr recently discovered in a large GWAS. In the Icelandic dataset, we demonstrate that the effect on SCr increases substantially with both age (P = 3.0 x 10(-17)) and number of comorbid diseases (P = 0.008). The association with CKD is also stronger in the older age groups. These results suggest that the UMOD variant may influence the adaptation of the kidney to age-related risk factors of kidney disease such as hypertension and diabetes. The variant also associates with serum urea (P = 1.0 x 10(-6)), uric acid (P = 0.0064), and suggestively with gout. In contrast to CKD, the UMOD variant confers protection against kidney stones when studied in 3,617 Icelandic and Dutch kidney stone cases and 43,201 controls (OR = 0.88, P = 5.7 x 10(-5)).","DOI":"10.1371/journal.pgen.1001039","ISSN":"1553-7404","note":"PMID: 20686651\nPMCID: PMC2912386","journalAbbreviation":"PLoS Genet","language":"eng","author":[{"family":"Gudbjartsson","given":"Daniel F."},{"family":"Holm","given":"Hilma"},{"family":"Indridason","given":"Olafur S."},{"family":"Thorleifsson","given":"Gudmar"},{"family":"Edvardsson","given":"Vidar"},{"family":"Sulem","given":"Patrick"},{"family":"Vegt","given":"Femmie","non-dropping-particle":"de"},{"family":"Ancona","given":"Frank C. H.","non-dropping-particle":"d'"},{"family":"Heijer","given":"Martin","non-dropping-particle":"den"},{"family":"Wetzels","given":"Jack F. M."},{"family":"Franzson","given":"Leifur"},{"family":"Rafnar","given":"Thorunn"},{"family":"Kristjansson","given":"Kristleifur"},{"family":"Bjornsdottir","given":"Unnur S."},{"family":"Eyjolfsson","given":"Gudmundur I."},{"family":"Kiemeney","given":"Lambertus A."},{"family":"Kong","given":"Augustine"},{"family":"Palsson","given":"Runolfur"},{"family":"Thorsteinsdottir","given":"Unnur"},{"family":"Stefansson","given":"Kari"}],"issued":{"date-parts":[["2010",7,29]]}}}],"schema":"https://github.com/citation-style-language/schema/raw/master/csl-citation.json"} </w:instrText>
      </w:r>
      <w:r w:rsidR="00AD03A9">
        <w:rPr>
          <w:rFonts w:ascii="Times New Roman" w:hAnsi="Times New Roman" w:cs="Times New Roman"/>
          <w:sz w:val="20"/>
          <w:szCs w:val="20"/>
          <w:lang w:val="en-US"/>
        </w:rPr>
        <w:fldChar w:fldCharType="separate"/>
      </w:r>
      <w:r w:rsidR="004964AA" w:rsidRPr="004964AA">
        <w:rPr>
          <w:rFonts w:ascii="Times New Roman" w:hAnsi="Times New Roman" w:cs="Times New Roman"/>
          <w:sz w:val="20"/>
          <w:szCs w:val="24"/>
          <w:vertAlign w:val="superscript"/>
        </w:rPr>
        <w:t>46,47</w:t>
      </w:r>
      <w:r w:rsidR="00AD03A9">
        <w:rPr>
          <w:rFonts w:ascii="Times New Roman" w:hAnsi="Times New Roman" w:cs="Times New Roman"/>
          <w:sz w:val="20"/>
          <w:szCs w:val="20"/>
          <w:lang w:val="en-US"/>
        </w:rPr>
        <w:fldChar w:fldCharType="end"/>
      </w:r>
      <w:r w:rsidRPr="008C5280">
        <w:rPr>
          <w:rFonts w:ascii="Times New Roman" w:hAnsi="Times New Roman" w:cs="Times New Roman"/>
          <w:sz w:val="20"/>
          <w:szCs w:val="20"/>
          <w:lang w:val="en-US"/>
        </w:rPr>
        <w:t xml:space="preserve"> When defining </w:t>
      </w:r>
      <w:r w:rsidR="007C2B61">
        <w:rPr>
          <w:rFonts w:ascii="Times New Roman" w:hAnsi="Times New Roman" w:cs="Times New Roman"/>
          <w:sz w:val="20"/>
          <w:szCs w:val="20"/>
          <w:lang w:val="en-US"/>
        </w:rPr>
        <w:t>c</w:t>
      </w:r>
      <w:r w:rsidR="007C2B61">
        <w:rPr>
          <w:rFonts w:ascii="Times New Roman" w:hAnsi="Times New Roman" w:cs="Times New Roman"/>
          <w:sz w:val="20"/>
          <w:szCs w:val="20"/>
          <w:lang w:val="en-US"/>
        </w:rPr>
        <w:t>hronic kidney disease</w:t>
      </w:r>
      <w:r w:rsidRPr="008C5280">
        <w:rPr>
          <w:rFonts w:ascii="Times New Roman" w:hAnsi="Times New Roman" w:cs="Times New Roman"/>
          <w:sz w:val="20"/>
          <w:szCs w:val="20"/>
          <w:lang w:val="en-US"/>
        </w:rPr>
        <w:t xml:space="preserve">, all </w:t>
      </w:r>
      <w:r>
        <w:rPr>
          <w:rFonts w:ascii="Times New Roman" w:hAnsi="Times New Roman" w:cs="Times New Roman"/>
          <w:sz w:val="20"/>
          <w:szCs w:val="20"/>
          <w:lang w:val="en-US"/>
        </w:rPr>
        <w:t>serum creatinine</w:t>
      </w:r>
      <w:r w:rsidRPr="008C5280">
        <w:rPr>
          <w:rFonts w:ascii="Times New Roman" w:hAnsi="Times New Roman" w:cs="Times New Roman"/>
          <w:sz w:val="20"/>
          <w:szCs w:val="20"/>
          <w:lang w:val="en-US"/>
        </w:rPr>
        <w:t xml:space="preserve"> measurements obtained during an episode of acute kidney injury were excluded and individuals who had eGFR &lt;60 ml/min/1.73 m</w:t>
      </w:r>
      <w:r w:rsidRPr="008C5280">
        <w:rPr>
          <w:rFonts w:ascii="Times New Roman" w:hAnsi="Times New Roman" w:cs="Times New Roman"/>
          <w:sz w:val="20"/>
          <w:szCs w:val="20"/>
          <w:vertAlign w:val="superscript"/>
          <w:lang w:val="en-US"/>
        </w:rPr>
        <w:t>2</w:t>
      </w:r>
      <w:r w:rsidRPr="008C5280">
        <w:rPr>
          <w:rFonts w:ascii="Times New Roman" w:hAnsi="Times New Roman" w:cs="Times New Roman"/>
          <w:sz w:val="20"/>
          <w:szCs w:val="20"/>
          <w:lang w:val="en-US"/>
        </w:rPr>
        <w:t xml:space="preserve"> for &lt;3 months duration were excluded from the </w:t>
      </w:r>
      <w:r w:rsidR="007C2B61">
        <w:rPr>
          <w:rFonts w:ascii="Times New Roman" w:hAnsi="Times New Roman" w:cs="Times New Roman"/>
          <w:sz w:val="20"/>
          <w:szCs w:val="20"/>
          <w:lang w:val="en-US"/>
        </w:rPr>
        <w:t>chronic kidney disease</w:t>
      </w:r>
      <w:r w:rsidR="007C2B61" w:rsidRPr="008C5280">
        <w:rPr>
          <w:rFonts w:ascii="Times New Roman" w:hAnsi="Times New Roman" w:cs="Times New Roman"/>
          <w:sz w:val="20"/>
          <w:szCs w:val="20"/>
          <w:lang w:val="en-US"/>
        </w:rPr>
        <w:t xml:space="preserve"> </w:t>
      </w:r>
      <w:r w:rsidRPr="008C5280">
        <w:rPr>
          <w:rFonts w:ascii="Times New Roman" w:hAnsi="Times New Roman" w:cs="Times New Roman"/>
          <w:sz w:val="20"/>
          <w:szCs w:val="20"/>
          <w:lang w:val="en-US"/>
        </w:rPr>
        <w:t>sample set.</w:t>
      </w:r>
      <w:r w:rsidR="00AD03A9">
        <w:rPr>
          <w:rFonts w:ascii="Times New Roman" w:hAnsi="Times New Roman" w:cs="Times New Roman"/>
          <w:sz w:val="20"/>
          <w:szCs w:val="20"/>
          <w:lang w:val="en-US"/>
        </w:rPr>
        <w:t xml:space="preserve"> The ICD codes originated mainly from </w:t>
      </w:r>
      <w:r w:rsidR="00AD03A9" w:rsidRPr="002509B6">
        <w:rPr>
          <w:rFonts w:ascii="Times New Roman" w:hAnsi="Times New Roman" w:cs="Times New Roman"/>
          <w:sz w:val="20"/>
          <w:szCs w:val="20"/>
          <w:lang w:val="en-US"/>
        </w:rPr>
        <w:t>Landspitali - the National University Ho</w:t>
      </w:r>
      <w:r w:rsidR="00AD03A9">
        <w:rPr>
          <w:rFonts w:ascii="Times New Roman" w:hAnsi="Times New Roman" w:cs="Times New Roman"/>
          <w:sz w:val="20"/>
          <w:szCs w:val="20"/>
          <w:lang w:val="en-US"/>
        </w:rPr>
        <w:t xml:space="preserve">spital of Iceland in Reykjavik. </w:t>
      </w:r>
    </w:p>
    <w:p w14:paraId="32CB05CA" w14:textId="70559B7F" w:rsidR="006F5DC4" w:rsidRDefault="006F5DC4" w:rsidP="006F5DC4">
      <w:pPr>
        <w:pStyle w:val="Style3"/>
        <w:rPr>
          <w:lang w:val="en-US"/>
        </w:rPr>
      </w:pPr>
      <w:bookmarkStart w:id="47" w:name="_Toc100246261"/>
      <w:r>
        <w:rPr>
          <w:lang w:val="en-US"/>
        </w:rPr>
        <w:t>Liver disease</w:t>
      </w:r>
      <w:bookmarkEnd w:id="47"/>
    </w:p>
    <w:p w14:paraId="1F3B4B34" w14:textId="3EDD9B46" w:rsidR="006F5DC4" w:rsidRDefault="006F5DC4" w:rsidP="00C40178">
      <w:pPr>
        <w:spacing w:after="240" w:line="360" w:lineRule="auto"/>
        <w:rPr>
          <w:rFonts w:ascii="Times New Roman" w:hAnsi="Times New Roman" w:cs="Times New Roman"/>
          <w:sz w:val="20"/>
          <w:szCs w:val="20"/>
          <w:lang w:val="en-US"/>
        </w:rPr>
      </w:pPr>
      <w:r>
        <w:rPr>
          <w:rFonts w:ascii="Times New Roman" w:hAnsi="Times New Roman" w:cs="Times New Roman"/>
          <w:sz w:val="20"/>
          <w:szCs w:val="20"/>
          <w:lang w:val="en-US"/>
        </w:rPr>
        <w:t>We used the following ICD codes to define diseases of liver</w:t>
      </w:r>
      <w:r w:rsidRPr="006F5DC4">
        <w:rPr>
          <w:rFonts w:ascii="Times New Roman" w:hAnsi="Times New Roman" w:cs="Times New Roman"/>
          <w:sz w:val="20"/>
          <w:szCs w:val="20"/>
          <w:lang w:val="en-US"/>
        </w:rPr>
        <w:t>: ICD</w:t>
      </w:r>
      <w:r>
        <w:rPr>
          <w:rFonts w:ascii="Times New Roman" w:hAnsi="Times New Roman" w:cs="Times New Roman"/>
          <w:sz w:val="20"/>
          <w:szCs w:val="20"/>
          <w:lang w:val="en-US"/>
        </w:rPr>
        <w:t>-10 K70-77 and</w:t>
      </w:r>
      <w:r w:rsidRPr="006F5DC4">
        <w:rPr>
          <w:rFonts w:ascii="Times New Roman" w:hAnsi="Times New Roman" w:cs="Times New Roman"/>
          <w:sz w:val="20"/>
          <w:szCs w:val="20"/>
          <w:lang w:val="en-US"/>
        </w:rPr>
        <w:t xml:space="preserve"> ICD</w:t>
      </w:r>
      <w:r>
        <w:rPr>
          <w:rFonts w:ascii="Times New Roman" w:hAnsi="Times New Roman" w:cs="Times New Roman"/>
          <w:sz w:val="20"/>
          <w:szCs w:val="20"/>
          <w:lang w:val="en-US"/>
        </w:rPr>
        <w:t>-</w:t>
      </w:r>
      <w:r w:rsidRPr="006F5DC4">
        <w:rPr>
          <w:rFonts w:ascii="Times New Roman" w:hAnsi="Times New Roman" w:cs="Times New Roman"/>
          <w:sz w:val="20"/>
          <w:szCs w:val="20"/>
          <w:lang w:val="en-US"/>
        </w:rPr>
        <w:t>9 570-573</w:t>
      </w:r>
      <w:r>
        <w:rPr>
          <w:rFonts w:ascii="Times New Roman" w:hAnsi="Times New Roman" w:cs="Times New Roman"/>
          <w:sz w:val="20"/>
          <w:szCs w:val="20"/>
          <w:lang w:val="en-US"/>
        </w:rPr>
        <w:t xml:space="preserve">. The ICD codes originate from the </w:t>
      </w:r>
      <w:r w:rsidRPr="00171FD7">
        <w:rPr>
          <w:rFonts w:ascii="Times New Roman" w:hAnsi="Times New Roman" w:cs="Times New Roman"/>
          <w:sz w:val="20"/>
          <w:szCs w:val="20"/>
          <w:lang w:val="en-US"/>
        </w:rPr>
        <w:t>Landspitali – The National Uni</w:t>
      </w:r>
      <w:r>
        <w:rPr>
          <w:rFonts w:ascii="Times New Roman" w:hAnsi="Times New Roman" w:cs="Times New Roman"/>
          <w:sz w:val="20"/>
          <w:szCs w:val="20"/>
          <w:lang w:val="en-US"/>
        </w:rPr>
        <w:t>versity Hospital of Iceland</w:t>
      </w:r>
      <w:r w:rsidRPr="00171FD7">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and the </w:t>
      </w:r>
      <w:r w:rsidRPr="00643ED3">
        <w:rPr>
          <w:rFonts w:ascii="Times New Roman" w:hAnsi="Times New Roman" w:cs="Times New Roman"/>
          <w:sz w:val="20"/>
          <w:szCs w:val="20"/>
          <w:lang w:val="en-US"/>
        </w:rPr>
        <w:t>Register of Contacts with Medical Specialists in Private Practice and the Register of Primary Health Care Contacts</w:t>
      </w:r>
      <w:r>
        <w:rPr>
          <w:rFonts w:ascii="Times New Roman" w:hAnsi="Times New Roman" w:cs="Times New Roman"/>
          <w:sz w:val="20"/>
          <w:szCs w:val="20"/>
          <w:lang w:val="en-US"/>
        </w:rPr>
        <w:t xml:space="preserve">, both kept by the Directorate of </w:t>
      </w:r>
      <w:r w:rsidR="007C2B61">
        <w:rPr>
          <w:rFonts w:ascii="Times New Roman" w:hAnsi="Times New Roman" w:cs="Times New Roman"/>
          <w:sz w:val="20"/>
          <w:szCs w:val="20"/>
          <w:lang w:val="en-US"/>
        </w:rPr>
        <w:t>H</w:t>
      </w:r>
      <w:r>
        <w:rPr>
          <w:rFonts w:ascii="Times New Roman" w:hAnsi="Times New Roman" w:cs="Times New Roman"/>
          <w:sz w:val="20"/>
          <w:szCs w:val="20"/>
          <w:lang w:val="en-US"/>
        </w:rPr>
        <w:t>ealth.</w:t>
      </w:r>
    </w:p>
    <w:p w14:paraId="58C399C5" w14:textId="77777777" w:rsidR="006F5DC4" w:rsidRDefault="006F5DC4" w:rsidP="00C40178">
      <w:pPr>
        <w:spacing w:after="240" w:line="360" w:lineRule="auto"/>
        <w:rPr>
          <w:rFonts w:ascii="Times New Roman" w:hAnsi="Times New Roman" w:cs="Times New Roman"/>
          <w:sz w:val="20"/>
          <w:szCs w:val="20"/>
          <w:lang w:val="en-US"/>
        </w:rPr>
      </w:pPr>
    </w:p>
    <w:p w14:paraId="7A338B8E" w14:textId="77777777" w:rsidR="00C40178" w:rsidRDefault="00C40178">
      <w:pPr>
        <w:rPr>
          <w:rFonts w:asciiTheme="majorHAnsi" w:eastAsiaTheme="majorEastAsia" w:hAnsiTheme="majorHAnsi" w:cstheme="majorBidi"/>
          <w:color w:val="000000" w:themeColor="text1"/>
          <w:sz w:val="32"/>
          <w:szCs w:val="32"/>
          <w:lang w:val="en-US"/>
        </w:rPr>
      </w:pPr>
      <w:r>
        <w:br w:type="page"/>
      </w:r>
    </w:p>
    <w:p w14:paraId="07814CD2" w14:textId="41A31F48" w:rsidR="00A422D0" w:rsidRDefault="00A422D0" w:rsidP="00D36B01">
      <w:pPr>
        <w:pStyle w:val="Style1"/>
      </w:pPr>
      <w:bookmarkStart w:id="48" w:name="_Toc100246262"/>
      <w:r w:rsidRPr="00A422D0">
        <w:lastRenderedPageBreak/>
        <w:t>Supplementary Figures</w:t>
      </w:r>
      <w:bookmarkEnd w:id="48"/>
    </w:p>
    <w:p w14:paraId="7A0B852D" w14:textId="51EBDCB0" w:rsidR="00A37CC9" w:rsidRDefault="00A37CC9" w:rsidP="00A37CC9">
      <w:pPr>
        <w:pStyle w:val="Style2"/>
      </w:pPr>
      <w:bookmarkStart w:id="49" w:name="_Toc100246263"/>
      <w:r w:rsidRPr="00A422D0">
        <w:t>Figure S</w:t>
      </w:r>
      <w:r>
        <w:t>1</w:t>
      </w:r>
      <w:r w:rsidRPr="00A422D0">
        <w:t>. Antibody levels and severity categories</w:t>
      </w:r>
      <w:bookmarkEnd w:id="49"/>
    </w:p>
    <w:p w14:paraId="27011073" w14:textId="77777777" w:rsidR="00A37CC9" w:rsidRPr="00A422D0" w:rsidRDefault="00A37CC9" w:rsidP="00A37CC9">
      <w:pPr>
        <w:rPr>
          <w:rFonts w:ascii="Times New Roman" w:hAnsi="Times New Roman" w:cs="Times New Roman"/>
          <w:sz w:val="20"/>
          <w:szCs w:val="20"/>
          <w:lang w:val="en-US"/>
        </w:rPr>
      </w:pPr>
      <w:r w:rsidRPr="00A422D0">
        <w:rPr>
          <w:rFonts w:ascii="Times New Roman" w:hAnsi="Times New Roman" w:cs="Times New Roman"/>
          <w:sz w:val="20"/>
          <w:szCs w:val="20"/>
          <w:lang w:val="en-US"/>
        </w:rPr>
        <w:t>The mean</w:t>
      </w:r>
      <w:r w:rsidRPr="00A422D0">
        <w:rPr>
          <w:sz w:val="20"/>
          <w:szCs w:val="20"/>
          <w:lang w:val="en-US"/>
        </w:rPr>
        <w:t xml:space="preserve"> </w:t>
      </w:r>
      <w:r w:rsidRPr="00A422D0">
        <w:rPr>
          <w:rFonts w:ascii="Times New Roman" w:hAnsi="Times New Roman" w:cs="Times New Roman"/>
          <w:sz w:val="20"/>
          <w:szCs w:val="20"/>
          <w:lang w:val="en-US"/>
        </w:rPr>
        <w:t xml:space="preserve">SARS-CoV-2–specific antibody levels among individuals in each severity category is shown using two different pan-Ig antibody assays, from </w:t>
      </w:r>
      <w:r w:rsidRPr="00814633">
        <w:rPr>
          <w:rFonts w:ascii="Times New Roman" w:hAnsi="Times New Roman" w:cs="Times New Roman"/>
          <w:b/>
          <w:sz w:val="20"/>
          <w:szCs w:val="20"/>
          <w:lang w:val="en-US"/>
        </w:rPr>
        <w:t>a)</w:t>
      </w:r>
      <w:r>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 xml:space="preserve">Roche and from </w:t>
      </w:r>
      <w:r w:rsidRPr="00814633">
        <w:rPr>
          <w:rFonts w:ascii="Times New Roman" w:hAnsi="Times New Roman" w:cs="Times New Roman"/>
          <w:b/>
          <w:sz w:val="20"/>
          <w:szCs w:val="20"/>
          <w:lang w:val="en-US"/>
        </w:rPr>
        <w:t>b)</w:t>
      </w:r>
      <w:r>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Wantai</w:t>
      </w:r>
      <w:r>
        <w:rPr>
          <w:rFonts w:ascii="Times New Roman" w:hAnsi="Times New Roman" w:cs="Times New Roman"/>
          <w:sz w:val="20"/>
          <w:szCs w:val="20"/>
          <w:lang w:val="en-US"/>
        </w:rPr>
        <w:t xml:space="preserve">. </w:t>
      </w:r>
      <w:r w:rsidRPr="00A422D0">
        <w:rPr>
          <w:rFonts w:ascii="Times New Roman" w:hAnsi="Times New Roman" w:cs="Times New Roman"/>
          <w:sz w:val="20"/>
          <w:szCs w:val="20"/>
          <w:lang w:val="en-US"/>
        </w:rPr>
        <w:t>The error bars represent 95% confidence intervals.</w:t>
      </w:r>
    </w:p>
    <w:p w14:paraId="6EE0E46A" w14:textId="77777777" w:rsidR="00A37CC9" w:rsidRPr="00A422D0" w:rsidRDefault="00A37CC9" w:rsidP="00A37CC9">
      <w:pPr>
        <w:rPr>
          <w:rFonts w:ascii="Times New Roman" w:hAnsi="Times New Roman" w:cs="Times New Roman"/>
          <w:b/>
          <w:sz w:val="20"/>
          <w:szCs w:val="20"/>
          <w:lang w:val="en-US"/>
        </w:rPr>
      </w:pPr>
      <w:r w:rsidRPr="00A422D0">
        <w:rPr>
          <w:rFonts w:ascii="Times New Roman" w:hAnsi="Times New Roman" w:cs="Times New Roman"/>
          <w:b/>
          <w:sz w:val="20"/>
          <w:szCs w:val="20"/>
          <w:lang w:val="en-US"/>
        </w:rPr>
        <w:t>a)</w:t>
      </w:r>
    </w:p>
    <w:p w14:paraId="44A7B224" w14:textId="77777777" w:rsidR="00A37CC9" w:rsidRPr="00A422D0" w:rsidRDefault="00A37CC9" w:rsidP="00A37CC9">
      <w:pPr>
        <w:rPr>
          <w:rFonts w:ascii="Times New Roman" w:hAnsi="Times New Roman" w:cs="Times New Roman"/>
          <w:b/>
          <w:sz w:val="20"/>
          <w:szCs w:val="20"/>
          <w:lang w:val="en-US"/>
        </w:rPr>
      </w:pPr>
      <w:r>
        <w:rPr>
          <w:rFonts w:ascii="Times New Roman" w:hAnsi="Times New Roman" w:cs="Times New Roman"/>
          <w:b/>
          <w:noProof/>
          <w:sz w:val="20"/>
          <w:szCs w:val="20"/>
          <w:lang w:val="en-US"/>
        </w:rPr>
        <w:drawing>
          <wp:inline distT="0" distB="0" distL="0" distR="0" wp14:anchorId="6791B4B7" wp14:editId="4867575F">
            <wp:extent cx="3307278" cy="3307278"/>
            <wp:effectExtent l="0" t="0" r="762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11080" cy="3311080"/>
                    </a:xfrm>
                    <a:prstGeom prst="rect">
                      <a:avLst/>
                    </a:prstGeom>
                  </pic:spPr>
                </pic:pic>
              </a:graphicData>
            </a:graphic>
          </wp:inline>
        </w:drawing>
      </w:r>
    </w:p>
    <w:p w14:paraId="7069DDD3" w14:textId="77777777" w:rsidR="00A37CC9" w:rsidRPr="00A422D0" w:rsidRDefault="00A37CC9" w:rsidP="00A37CC9">
      <w:pPr>
        <w:rPr>
          <w:rFonts w:ascii="Times New Roman" w:hAnsi="Times New Roman" w:cs="Times New Roman"/>
          <w:b/>
          <w:sz w:val="20"/>
          <w:szCs w:val="20"/>
          <w:lang w:val="en-US"/>
        </w:rPr>
      </w:pPr>
      <w:r w:rsidRPr="00A422D0">
        <w:rPr>
          <w:rFonts w:ascii="Times New Roman" w:hAnsi="Times New Roman" w:cs="Times New Roman"/>
          <w:b/>
          <w:sz w:val="20"/>
          <w:szCs w:val="20"/>
          <w:lang w:val="en-US"/>
        </w:rPr>
        <w:t>b)</w:t>
      </w:r>
    </w:p>
    <w:p w14:paraId="286FE42F" w14:textId="77777777" w:rsidR="00A37CC9" w:rsidRPr="00A422D0" w:rsidRDefault="00A37CC9" w:rsidP="00A37CC9">
      <w:pPr>
        <w:rPr>
          <w:rFonts w:ascii="Times New Roman" w:hAnsi="Times New Roman" w:cs="Times New Roman"/>
          <w:b/>
          <w:sz w:val="20"/>
          <w:szCs w:val="20"/>
          <w:lang w:val="en-US"/>
        </w:rPr>
      </w:pPr>
      <w:r>
        <w:rPr>
          <w:rFonts w:ascii="Times New Roman" w:hAnsi="Times New Roman" w:cs="Times New Roman"/>
          <w:b/>
          <w:noProof/>
          <w:sz w:val="20"/>
          <w:szCs w:val="20"/>
          <w:lang w:val="en-US"/>
        </w:rPr>
        <w:drawing>
          <wp:inline distT="0" distB="0" distL="0" distR="0" wp14:anchorId="25F254BA" wp14:editId="47D20F19">
            <wp:extent cx="3414156" cy="341415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7252" cy="3417252"/>
                    </a:xfrm>
                    <a:prstGeom prst="rect">
                      <a:avLst/>
                    </a:prstGeom>
                    <a:noFill/>
                    <a:ln>
                      <a:noFill/>
                    </a:ln>
                  </pic:spPr>
                </pic:pic>
              </a:graphicData>
            </a:graphic>
          </wp:inline>
        </w:drawing>
      </w:r>
    </w:p>
    <w:p w14:paraId="29F3EC64" w14:textId="77777777" w:rsidR="00A37CC9" w:rsidRPr="00A422D0" w:rsidRDefault="00A37CC9" w:rsidP="00D36B01">
      <w:pPr>
        <w:pStyle w:val="Style1"/>
      </w:pPr>
    </w:p>
    <w:p w14:paraId="066CC958" w14:textId="77777777" w:rsidR="00A422D0" w:rsidRPr="00A422D0" w:rsidRDefault="00A422D0" w:rsidP="00A422D0">
      <w:pPr>
        <w:rPr>
          <w:rFonts w:ascii="Times New Roman" w:hAnsi="Times New Roman" w:cs="Times New Roman"/>
          <w:b/>
          <w:sz w:val="20"/>
          <w:szCs w:val="20"/>
          <w:lang w:val="en-US"/>
        </w:rPr>
      </w:pPr>
    </w:p>
    <w:p w14:paraId="4AD0E525" w14:textId="0BC55228" w:rsidR="00A37CC9" w:rsidRDefault="00A37CC9" w:rsidP="00A37CC9">
      <w:pPr>
        <w:pStyle w:val="Style2"/>
      </w:pPr>
      <w:bookmarkStart w:id="50" w:name="_Toc100246264"/>
      <w:r w:rsidRPr="00A422D0">
        <w:t>Figure S</w:t>
      </w:r>
      <w:r>
        <w:t>2</w:t>
      </w:r>
      <w:r w:rsidRPr="00A422D0">
        <w:t xml:space="preserve">. Days from diagnosis of </w:t>
      </w:r>
      <w:r w:rsidR="00335D0D" w:rsidRPr="00335D0D">
        <w:t xml:space="preserve">SARS-CoV-2 </w:t>
      </w:r>
      <w:r w:rsidRPr="00A422D0">
        <w:t xml:space="preserve">to visit at the deCODE </w:t>
      </w:r>
      <w:r>
        <w:t>H</w:t>
      </w:r>
      <w:r w:rsidRPr="00A422D0">
        <w:t xml:space="preserve">ealth </w:t>
      </w:r>
      <w:r>
        <w:t>S</w:t>
      </w:r>
      <w:r w:rsidRPr="00A422D0">
        <w:t>tudy</w:t>
      </w:r>
      <w:bookmarkEnd w:id="50"/>
    </w:p>
    <w:p w14:paraId="4AF38D97" w14:textId="0495E26D" w:rsidR="00A37CC9" w:rsidRPr="00A422D0" w:rsidRDefault="00A37CC9" w:rsidP="00A37CC9">
      <w:pPr>
        <w:rPr>
          <w:rFonts w:ascii="Times New Roman" w:hAnsi="Times New Roman" w:cs="Times New Roman"/>
          <w:sz w:val="20"/>
          <w:szCs w:val="20"/>
          <w:lang w:val="en-US"/>
        </w:rPr>
      </w:pPr>
      <w:r w:rsidRPr="009D42EC">
        <w:rPr>
          <w:rFonts w:ascii="Times New Roman" w:hAnsi="Times New Roman" w:cs="Times New Roman"/>
          <w:sz w:val="20"/>
          <w:szCs w:val="20"/>
          <w:lang w:val="en-US"/>
        </w:rPr>
        <w:t xml:space="preserve">A histogram that shows the distribution of days from diagnosis for the </w:t>
      </w:r>
      <w:r w:rsidR="00335D0D">
        <w:rPr>
          <w:rFonts w:ascii="Times New Roman" w:hAnsi="Times New Roman" w:cs="Times New Roman"/>
          <w:sz w:val="20"/>
          <w:szCs w:val="20"/>
          <w:lang w:val="en-US"/>
        </w:rPr>
        <w:t xml:space="preserve">SARS-CoV-2 </w:t>
      </w:r>
      <w:r w:rsidRPr="009D42EC">
        <w:rPr>
          <w:rFonts w:ascii="Times New Roman" w:hAnsi="Times New Roman" w:cs="Times New Roman"/>
          <w:sz w:val="20"/>
          <w:szCs w:val="20"/>
          <w:lang w:val="en-US"/>
        </w:rPr>
        <w:t>cases participants.</w:t>
      </w:r>
    </w:p>
    <w:p w14:paraId="7C8BA8D4" w14:textId="77777777" w:rsidR="00A37CC9" w:rsidRPr="00A422D0" w:rsidRDefault="00A37CC9" w:rsidP="00A37CC9">
      <w:pPr>
        <w:jc w:val="center"/>
        <w:rPr>
          <w:rFonts w:ascii="Times New Roman" w:hAnsi="Times New Roman" w:cs="Times New Roman"/>
          <w:b/>
          <w:sz w:val="20"/>
          <w:szCs w:val="20"/>
          <w:lang w:val="en-US"/>
        </w:rPr>
      </w:pPr>
      <w:r>
        <w:rPr>
          <w:rFonts w:ascii="Times New Roman" w:hAnsi="Times New Roman" w:cs="Times New Roman"/>
          <w:b/>
          <w:noProof/>
          <w:sz w:val="20"/>
          <w:szCs w:val="20"/>
          <w:lang w:eastAsia="is-IS"/>
        </w:rPr>
        <w:drawing>
          <wp:inline distT="0" distB="0" distL="0" distR="0" wp14:anchorId="14D8B817" wp14:editId="591B138F">
            <wp:extent cx="3234690" cy="3234690"/>
            <wp:effectExtent l="0" t="0" r="3810"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34690" cy="3234690"/>
                    </a:xfrm>
                    <a:prstGeom prst="rect">
                      <a:avLst/>
                    </a:prstGeom>
                    <a:noFill/>
                    <a:ln>
                      <a:noFill/>
                    </a:ln>
                  </pic:spPr>
                </pic:pic>
              </a:graphicData>
            </a:graphic>
          </wp:inline>
        </w:drawing>
      </w:r>
    </w:p>
    <w:p w14:paraId="301B0E68" w14:textId="77777777" w:rsidR="00A37CC9" w:rsidRDefault="00A37CC9">
      <w:pPr>
        <w:rPr>
          <w:rFonts w:asciiTheme="majorHAnsi" w:eastAsiaTheme="majorEastAsia" w:hAnsiTheme="majorHAnsi" w:cstheme="majorBidi"/>
          <w:color w:val="000000" w:themeColor="text1"/>
          <w:sz w:val="26"/>
          <w:szCs w:val="26"/>
          <w:lang w:val="en-US"/>
        </w:rPr>
      </w:pPr>
      <w:r>
        <w:br w:type="page"/>
      </w:r>
    </w:p>
    <w:p w14:paraId="25EE1D26" w14:textId="0C5FEC1B" w:rsidR="00AA529C" w:rsidRDefault="00AA529C" w:rsidP="00AA529C">
      <w:pPr>
        <w:pStyle w:val="Style2"/>
      </w:pPr>
      <w:bookmarkStart w:id="51" w:name="_Toc100246265"/>
      <w:r w:rsidRPr="00A422D0">
        <w:lastRenderedPageBreak/>
        <w:t>Figure S</w:t>
      </w:r>
      <w:r>
        <w:t>3</w:t>
      </w:r>
      <w:r w:rsidRPr="00A422D0">
        <w:t>. The correlation matrix for recent symptoms obtained from the C19</w:t>
      </w:r>
      <w:r w:rsidR="00CC41A8">
        <w:t>Q</w:t>
      </w:r>
      <w:r w:rsidRPr="00A422D0">
        <w:t xml:space="preserve"> questionnaire</w:t>
      </w:r>
      <w:bookmarkEnd w:id="51"/>
    </w:p>
    <w:p w14:paraId="3AE0F373" w14:textId="2496F4C6" w:rsidR="00AA529C" w:rsidRPr="00A422D0" w:rsidRDefault="00AA529C" w:rsidP="00AA529C">
      <w:pPr>
        <w:rPr>
          <w:rFonts w:ascii="Times New Roman" w:hAnsi="Times New Roman" w:cs="Times New Roman"/>
          <w:sz w:val="20"/>
          <w:szCs w:val="20"/>
          <w:lang w:val="en-US"/>
        </w:rPr>
      </w:pPr>
      <w:r w:rsidRPr="00AA529C">
        <w:rPr>
          <w:rFonts w:ascii="Times New Roman" w:hAnsi="Times New Roman" w:cs="Times New Roman"/>
          <w:sz w:val="20"/>
          <w:szCs w:val="20"/>
          <w:lang w:val="en-US"/>
        </w:rPr>
        <w:t xml:space="preserve">The correlation matrix is shown for the recent symptoms that associate most significantly with </w:t>
      </w:r>
      <w:r w:rsidR="00335D0D">
        <w:rPr>
          <w:rFonts w:ascii="Times New Roman" w:hAnsi="Times New Roman" w:cs="Times New Roman"/>
          <w:sz w:val="20"/>
          <w:szCs w:val="20"/>
          <w:lang w:val="en-US"/>
        </w:rPr>
        <w:t xml:space="preserve">SARS-CoV-2 </w:t>
      </w:r>
      <w:r w:rsidRPr="00AA529C">
        <w:rPr>
          <w:rFonts w:ascii="Times New Roman" w:hAnsi="Times New Roman" w:cs="Times New Roman"/>
          <w:sz w:val="20"/>
          <w:szCs w:val="20"/>
          <w:lang w:val="en-US"/>
        </w:rPr>
        <w:t>status (P &lt; 1.0·10</w:t>
      </w:r>
      <w:r w:rsidRPr="00AA529C">
        <w:rPr>
          <w:rFonts w:ascii="Times New Roman" w:hAnsi="Times New Roman" w:cs="Times New Roman"/>
          <w:sz w:val="20"/>
          <w:szCs w:val="20"/>
          <w:vertAlign w:val="superscript"/>
          <w:lang w:val="en-US"/>
        </w:rPr>
        <w:t>-6</w:t>
      </w:r>
      <w:r w:rsidRPr="00AA529C">
        <w:rPr>
          <w:rFonts w:ascii="Times New Roman" w:hAnsi="Times New Roman" w:cs="Times New Roman"/>
          <w:sz w:val="20"/>
          <w:szCs w:val="20"/>
          <w:lang w:val="en-US"/>
        </w:rPr>
        <w:t>). The recent symptoms are ordered using a hierarchical clustering order.</w:t>
      </w:r>
    </w:p>
    <w:p w14:paraId="62E868E7" w14:textId="77777777" w:rsidR="00AA529C" w:rsidRPr="00A422D0" w:rsidRDefault="00AA529C" w:rsidP="00AA529C">
      <w:pPr>
        <w:rPr>
          <w:rFonts w:ascii="Times New Roman" w:hAnsi="Times New Roman" w:cs="Times New Roman"/>
          <w:sz w:val="20"/>
          <w:szCs w:val="20"/>
          <w:lang w:val="en-US"/>
        </w:rPr>
      </w:pPr>
    </w:p>
    <w:p w14:paraId="090D55DD" w14:textId="77777777" w:rsidR="00AA529C" w:rsidRPr="00A422D0" w:rsidRDefault="00AA529C" w:rsidP="00AA529C">
      <w:pPr>
        <w:rPr>
          <w:rFonts w:ascii="Times New Roman" w:hAnsi="Times New Roman" w:cs="Times New Roman"/>
          <w:b/>
          <w:sz w:val="20"/>
          <w:szCs w:val="20"/>
          <w:lang w:val="en-US"/>
        </w:rPr>
      </w:pPr>
      <w:r>
        <w:rPr>
          <w:rFonts w:ascii="Times New Roman" w:hAnsi="Times New Roman" w:cs="Times New Roman"/>
          <w:b/>
          <w:noProof/>
          <w:sz w:val="20"/>
          <w:szCs w:val="20"/>
          <w:lang w:val="en-US"/>
        </w:rPr>
        <w:drawing>
          <wp:inline distT="0" distB="0" distL="0" distR="0" wp14:anchorId="5FA3C0FF" wp14:editId="282FDBF1">
            <wp:extent cx="5756275" cy="57562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6275" cy="5756275"/>
                    </a:xfrm>
                    <a:prstGeom prst="rect">
                      <a:avLst/>
                    </a:prstGeom>
                    <a:noFill/>
                    <a:ln>
                      <a:noFill/>
                    </a:ln>
                  </pic:spPr>
                </pic:pic>
              </a:graphicData>
            </a:graphic>
          </wp:inline>
        </w:drawing>
      </w:r>
    </w:p>
    <w:p w14:paraId="056497F0" w14:textId="77777777" w:rsidR="00AA529C" w:rsidRDefault="00AA529C">
      <w:pPr>
        <w:rPr>
          <w:rFonts w:asciiTheme="majorHAnsi" w:eastAsiaTheme="majorEastAsia" w:hAnsiTheme="majorHAnsi" w:cstheme="majorBidi"/>
          <w:color w:val="000000" w:themeColor="text1"/>
          <w:sz w:val="26"/>
          <w:szCs w:val="26"/>
          <w:lang w:val="en-US"/>
        </w:rPr>
      </w:pPr>
      <w:r>
        <w:br w:type="page"/>
      </w:r>
    </w:p>
    <w:p w14:paraId="68CC55EF" w14:textId="65F16D21" w:rsidR="00D36B01" w:rsidRDefault="00A422D0" w:rsidP="00D36B01">
      <w:pPr>
        <w:pStyle w:val="Style2"/>
      </w:pPr>
      <w:bookmarkStart w:id="52" w:name="_Toc100246266"/>
      <w:r w:rsidRPr="00A422D0">
        <w:lastRenderedPageBreak/>
        <w:t>Figure S</w:t>
      </w:r>
      <w:r w:rsidR="00AA529C">
        <w:t>4</w:t>
      </w:r>
      <w:r w:rsidRPr="00A422D0">
        <w:t>. Time trends in physiological measures</w:t>
      </w:r>
      <w:bookmarkEnd w:id="52"/>
    </w:p>
    <w:p w14:paraId="1674D929" w14:textId="398C502C" w:rsidR="00A422D0" w:rsidRPr="00A422D0" w:rsidRDefault="00A422D0" w:rsidP="00A422D0">
      <w:pPr>
        <w:rPr>
          <w:rFonts w:ascii="Times New Roman" w:hAnsi="Times New Roman" w:cs="Times New Roman"/>
          <w:sz w:val="20"/>
          <w:szCs w:val="20"/>
          <w:lang w:val="en-US"/>
        </w:rPr>
      </w:pPr>
      <w:r w:rsidRPr="00A422D0">
        <w:rPr>
          <w:rFonts w:ascii="Times New Roman" w:hAnsi="Times New Roman" w:cs="Times New Roman"/>
          <w:sz w:val="20"/>
          <w:szCs w:val="20"/>
          <w:lang w:val="en-US"/>
        </w:rPr>
        <w:t xml:space="preserve">The figures show boxplots for each month during the time the measurements were collected. Time trends were observed for </w:t>
      </w:r>
      <w:r w:rsidRPr="00A422D0">
        <w:rPr>
          <w:rFonts w:ascii="Times New Roman" w:hAnsi="Times New Roman" w:cs="Times New Roman"/>
          <w:b/>
          <w:sz w:val="20"/>
          <w:szCs w:val="20"/>
          <w:lang w:val="en-US"/>
        </w:rPr>
        <w:t>a)</w:t>
      </w:r>
      <w:r w:rsidRPr="00A422D0">
        <w:rPr>
          <w:rFonts w:ascii="Times New Roman" w:hAnsi="Times New Roman" w:cs="Times New Roman"/>
          <w:sz w:val="20"/>
          <w:szCs w:val="20"/>
          <w:lang w:val="en-US"/>
        </w:rPr>
        <w:t xml:space="preserve"> pure tone average (PTA) hearing thresholds from the hearing test, </w:t>
      </w:r>
      <w:r w:rsidRPr="00A422D0">
        <w:rPr>
          <w:rFonts w:ascii="Times New Roman" w:hAnsi="Times New Roman" w:cs="Times New Roman"/>
          <w:b/>
          <w:sz w:val="20"/>
          <w:szCs w:val="20"/>
          <w:lang w:val="en-US"/>
        </w:rPr>
        <w:t>b)</w:t>
      </w:r>
      <w:r w:rsidRPr="00A422D0">
        <w:rPr>
          <w:rFonts w:ascii="Times New Roman" w:hAnsi="Times New Roman" w:cs="Times New Roman"/>
          <w:sz w:val="20"/>
          <w:szCs w:val="20"/>
          <w:lang w:val="en-US"/>
        </w:rPr>
        <w:t xml:space="preserve"> oxygen saturation (SpO2), </w:t>
      </w:r>
      <w:r w:rsidRPr="00A422D0">
        <w:rPr>
          <w:rFonts w:ascii="Times New Roman" w:hAnsi="Times New Roman" w:cs="Times New Roman"/>
          <w:b/>
          <w:sz w:val="20"/>
          <w:szCs w:val="20"/>
          <w:lang w:val="en-US"/>
        </w:rPr>
        <w:t>c)</w:t>
      </w:r>
      <w:r w:rsidRPr="00A422D0">
        <w:rPr>
          <w:rFonts w:ascii="Times New Roman" w:hAnsi="Times New Roman" w:cs="Times New Roman"/>
          <w:sz w:val="20"/>
          <w:szCs w:val="20"/>
          <w:lang w:val="en-US"/>
        </w:rPr>
        <w:t xml:space="preserve"> </w:t>
      </w:r>
      <w:r w:rsidR="004964AA" w:rsidRPr="00A422D0">
        <w:rPr>
          <w:rFonts w:ascii="Times New Roman" w:hAnsi="Times New Roman" w:cs="Times New Roman"/>
          <w:sz w:val="20"/>
          <w:szCs w:val="20"/>
          <w:lang w:val="en-US"/>
        </w:rPr>
        <w:t xml:space="preserve">grip strength. </w:t>
      </w:r>
      <w:r w:rsidRPr="00A422D0">
        <w:rPr>
          <w:rFonts w:ascii="Times New Roman" w:hAnsi="Times New Roman" w:cs="Times New Roman"/>
          <w:sz w:val="20"/>
          <w:szCs w:val="20"/>
          <w:lang w:val="en-US"/>
        </w:rPr>
        <w:t xml:space="preserve"> </w:t>
      </w:r>
    </w:p>
    <w:p w14:paraId="1BBBC979" w14:textId="77777777" w:rsidR="00A422D0" w:rsidRPr="00A422D0" w:rsidRDefault="00A422D0" w:rsidP="00A422D0">
      <w:pPr>
        <w:rPr>
          <w:rFonts w:ascii="Times New Roman" w:hAnsi="Times New Roman" w:cs="Times New Roman"/>
          <w:sz w:val="20"/>
          <w:szCs w:val="20"/>
          <w:lang w:val="en-US"/>
        </w:rPr>
      </w:pPr>
    </w:p>
    <w:p w14:paraId="0E2CD6B1" w14:textId="77777777"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sz w:val="20"/>
          <w:szCs w:val="20"/>
          <w:lang w:val="en-US"/>
        </w:rPr>
        <w:t>a)</w:t>
      </w:r>
    </w:p>
    <w:p w14:paraId="6934EC76" w14:textId="6DFEE5BB" w:rsidR="00A422D0" w:rsidRPr="00A422D0" w:rsidRDefault="00B72B3C" w:rsidP="00A422D0">
      <w:pPr>
        <w:rPr>
          <w:rFonts w:ascii="Times New Roman" w:hAnsi="Times New Roman" w:cs="Times New Roman"/>
          <w:b/>
          <w:sz w:val="20"/>
          <w:szCs w:val="20"/>
          <w:lang w:val="en-US"/>
        </w:rPr>
      </w:pPr>
      <w:r>
        <w:rPr>
          <w:rFonts w:ascii="Times New Roman" w:hAnsi="Times New Roman" w:cs="Times New Roman"/>
          <w:b/>
          <w:noProof/>
          <w:sz w:val="20"/>
          <w:szCs w:val="20"/>
          <w:lang w:val="en-US"/>
        </w:rPr>
        <w:drawing>
          <wp:inline distT="0" distB="0" distL="0" distR="0" wp14:anchorId="66C01EB5" wp14:editId="53F2EF12">
            <wp:extent cx="5760720" cy="2617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617470"/>
                    </a:xfrm>
                    <a:prstGeom prst="rect">
                      <a:avLst/>
                    </a:prstGeom>
                  </pic:spPr>
                </pic:pic>
              </a:graphicData>
            </a:graphic>
          </wp:inline>
        </w:drawing>
      </w:r>
    </w:p>
    <w:p w14:paraId="2E60527F" w14:textId="77777777"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sz w:val="20"/>
          <w:szCs w:val="20"/>
          <w:lang w:val="en-US"/>
        </w:rPr>
        <w:t>b)</w:t>
      </w:r>
    </w:p>
    <w:p w14:paraId="40498DA1" w14:textId="768D6B37"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noProof/>
          <w:sz w:val="20"/>
          <w:szCs w:val="20"/>
          <w:lang w:val="en-US"/>
        </w:rPr>
        <w:t xml:space="preserve"> </w:t>
      </w:r>
      <w:r w:rsidR="00B72B3C">
        <w:rPr>
          <w:rFonts w:ascii="Times New Roman" w:hAnsi="Times New Roman" w:cs="Times New Roman"/>
          <w:b/>
          <w:noProof/>
          <w:sz w:val="20"/>
          <w:szCs w:val="20"/>
          <w:lang w:val="en-US"/>
        </w:rPr>
        <w:drawing>
          <wp:inline distT="0" distB="0" distL="0" distR="0" wp14:anchorId="2A570B80" wp14:editId="5E56FF8E">
            <wp:extent cx="5760720" cy="26174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617470"/>
                    </a:xfrm>
                    <a:prstGeom prst="rect">
                      <a:avLst/>
                    </a:prstGeom>
                  </pic:spPr>
                </pic:pic>
              </a:graphicData>
            </a:graphic>
          </wp:inline>
        </w:drawing>
      </w:r>
    </w:p>
    <w:p w14:paraId="60CB3BDE" w14:textId="77777777"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sz w:val="20"/>
          <w:szCs w:val="20"/>
          <w:lang w:val="en-US"/>
        </w:rPr>
        <w:br w:type="page"/>
      </w:r>
    </w:p>
    <w:p w14:paraId="6FC4A071" w14:textId="77777777"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sz w:val="20"/>
          <w:szCs w:val="20"/>
          <w:lang w:val="en-US"/>
        </w:rPr>
        <w:lastRenderedPageBreak/>
        <w:t>c)</w:t>
      </w:r>
    </w:p>
    <w:p w14:paraId="654C055C" w14:textId="088C94A0"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noProof/>
          <w:sz w:val="20"/>
          <w:szCs w:val="20"/>
          <w:lang w:val="en-US"/>
        </w:rPr>
        <w:t xml:space="preserve"> </w:t>
      </w:r>
      <w:r w:rsidR="004964AA">
        <w:rPr>
          <w:rFonts w:ascii="Times New Roman" w:hAnsi="Times New Roman" w:cs="Times New Roman"/>
          <w:b/>
          <w:noProof/>
          <w:sz w:val="20"/>
          <w:szCs w:val="20"/>
          <w:lang w:val="en-US"/>
        </w:rPr>
        <w:drawing>
          <wp:inline distT="0" distB="0" distL="0" distR="0" wp14:anchorId="142E8430" wp14:editId="59C56697">
            <wp:extent cx="5760720" cy="26174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617470"/>
                    </a:xfrm>
                    <a:prstGeom prst="rect">
                      <a:avLst/>
                    </a:prstGeom>
                  </pic:spPr>
                </pic:pic>
              </a:graphicData>
            </a:graphic>
          </wp:inline>
        </w:drawing>
      </w:r>
    </w:p>
    <w:p w14:paraId="3076936F" w14:textId="77777777" w:rsidR="00A422D0" w:rsidRPr="00A422D0" w:rsidRDefault="00A422D0" w:rsidP="00A422D0">
      <w:pPr>
        <w:rPr>
          <w:rFonts w:ascii="Times New Roman" w:hAnsi="Times New Roman" w:cs="Times New Roman"/>
          <w:b/>
          <w:sz w:val="20"/>
          <w:szCs w:val="20"/>
          <w:lang w:val="en-US"/>
        </w:rPr>
      </w:pPr>
    </w:p>
    <w:p w14:paraId="5002CA36" w14:textId="4B17C37F" w:rsidR="00A422D0" w:rsidRPr="00A422D0" w:rsidRDefault="00A422D0" w:rsidP="00A422D0">
      <w:pPr>
        <w:rPr>
          <w:rFonts w:ascii="Times New Roman" w:hAnsi="Times New Roman" w:cs="Times New Roman"/>
          <w:b/>
          <w:sz w:val="20"/>
          <w:szCs w:val="20"/>
          <w:lang w:val="en-US"/>
        </w:rPr>
      </w:pPr>
    </w:p>
    <w:p w14:paraId="16145F00" w14:textId="21AB20B4" w:rsidR="00A422D0" w:rsidRPr="00A422D0" w:rsidRDefault="00A422D0" w:rsidP="00A422D0">
      <w:pPr>
        <w:rPr>
          <w:rFonts w:ascii="Times New Roman" w:hAnsi="Times New Roman" w:cs="Times New Roman"/>
          <w:b/>
          <w:sz w:val="20"/>
          <w:szCs w:val="20"/>
          <w:lang w:val="en-US"/>
        </w:rPr>
      </w:pPr>
    </w:p>
    <w:p w14:paraId="268D2D43" w14:textId="2DC96C22" w:rsidR="00A422D0" w:rsidRPr="00A422D0" w:rsidRDefault="00A422D0" w:rsidP="00A422D0">
      <w:pPr>
        <w:rPr>
          <w:rFonts w:ascii="Times New Roman" w:hAnsi="Times New Roman" w:cs="Times New Roman"/>
          <w:b/>
          <w:sz w:val="20"/>
          <w:szCs w:val="20"/>
          <w:lang w:val="en-US"/>
        </w:rPr>
      </w:pPr>
    </w:p>
    <w:p w14:paraId="110E27E7" w14:textId="1AC166AC" w:rsidR="00A422D0" w:rsidRPr="00A422D0" w:rsidRDefault="00A422D0" w:rsidP="00A422D0">
      <w:pPr>
        <w:rPr>
          <w:rFonts w:ascii="Times New Roman" w:hAnsi="Times New Roman" w:cs="Times New Roman"/>
          <w:b/>
          <w:sz w:val="20"/>
          <w:szCs w:val="20"/>
          <w:lang w:val="en-US"/>
        </w:rPr>
      </w:pPr>
      <w:r w:rsidRPr="00A422D0">
        <w:rPr>
          <w:rFonts w:ascii="Times New Roman" w:hAnsi="Times New Roman" w:cs="Times New Roman"/>
          <w:b/>
          <w:noProof/>
          <w:sz w:val="20"/>
          <w:szCs w:val="20"/>
          <w:lang w:val="en-US"/>
        </w:rPr>
        <w:t xml:space="preserve"> </w:t>
      </w:r>
    </w:p>
    <w:p w14:paraId="671D841C" w14:textId="77777777" w:rsidR="00A422D0" w:rsidRPr="00A422D0" w:rsidRDefault="00A422D0" w:rsidP="00A422D0">
      <w:pPr>
        <w:rPr>
          <w:rFonts w:ascii="Times New Roman" w:hAnsi="Times New Roman" w:cs="Times New Roman"/>
          <w:b/>
          <w:sz w:val="20"/>
          <w:szCs w:val="20"/>
          <w:lang w:val="en-US"/>
        </w:rPr>
      </w:pPr>
    </w:p>
    <w:p w14:paraId="549E4DC2" w14:textId="43D63BC6" w:rsidR="00A422D0" w:rsidRPr="00A422D0" w:rsidRDefault="00A422D0" w:rsidP="00A37CC9">
      <w:pPr>
        <w:pStyle w:val="Style2"/>
        <w:rPr>
          <w:rFonts w:ascii="Times New Roman" w:hAnsi="Times New Roman" w:cs="Times New Roman"/>
          <w:b/>
          <w:sz w:val="20"/>
          <w:szCs w:val="20"/>
        </w:rPr>
      </w:pPr>
      <w:r w:rsidRPr="00A422D0">
        <w:br w:type="page"/>
      </w:r>
    </w:p>
    <w:p w14:paraId="5E92F8FF" w14:textId="08AA5BCC" w:rsidR="0054521F" w:rsidRPr="00A422D0" w:rsidRDefault="0054521F" w:rsidP="00266003">
      <w:pPr>
        <w:pStyle w:val="Style1"/>
      </w:pPr>
      <w:bookmarkStart w:id="53" w:name="_Toc100246267"/>
      <w:r w:rsidRPr="00A422D0">
        <w:lastRenderedPageBreak/>
        <w:t>References</w:t>
      </w:r>
      <w:bookmarkEnd w:id="53"/>
    </w:p>
    <w:p w14:paraId="4F0FEB2E" w14:textId="77777777" w:rsidR="004964AA" w:rsidRPr="004964AA" w:rsidRDefault="0069471C" w:rsidP="004964AA">
      <w:pPr>
        <w:pStyle w:val="Bibliography"/>
        <w:rPr>
          <w:rFonts w:ascii="Calibri" w:hAnsi="Calibri" w:cs="Calibri"/>
          <w:sz w:val="20"/>
        </w:rPr>
      </w:pPr>
      <w:r>
        <w:rPr>
          <w:sz w:val="20"/>
          <w:szCs w:val="20"/>
          <w:lang w:val="en-US"/>
        </w:rPr>
        <w:fldChar w:fldCharType="begin" w:fldLock="1"/>
      </w:r>
      <w:r w:rsidR="004964AA">
        <w:rPr>
          <w:sz w:val="20"/>
          <w:szCs w:val="20"/>
          <w:lang w:val="en-US"/>
        </w:rPr>
        <w:instrText xml:space="preserve"> ADDIN ZOTERO_BIBL {"custom":[]} CSL_BIBLIOGRAPHY </w:instrText>
      </w:r>
      <w:r>
        <w:rPr>
          <w:sz w:val="20"/>
          <w:szCs w:val="20"/>
          <w:lang w:val="en-US"/>
        </w:rPr>
        <w:fldChar w:fldCharType="separate"/>
      </w:r>
      <w:r w:rsidR="004964AA" w:rsidRPr="004964AA">
        <w:rPr>
          <w:rFonts w:ascii="Calibri" w:hAnsi="Calibri" w:cs="Calibri"/>
          <w:sz w:val="20"/>
        </w:rPr>
        <w:t>1.</w:t>
      </w:r>
      <w:r w:rsidR="004964AA" w:rsidRPr="004964AA">
        <w:rPr>
          <w:rFonts w:ascii="Calibri" w:hAnsi="Calibri" w:cs="Calibri"/>
          <w:sz w:val="20"/>
        </w:rPr>
        <w:tab/>
        <w:t xml:space="preserve">Ivarsdottir, E. V. </w:t>
      </w:r>
      <w:r w:rsidR="004964AA" w:rsidRPr="004964AA">
        <w:rPr>
          <w:rFonts w:ascii="Calibri" w:hAnsi="Calibri" w:cs="Calibri"/>
          <w:i/>
          <w:iCs/>
          <w:sz w:val="20"/>
        </w:rPr>
        <w:t>et al.</w:t>
      </w:r>
      <w:r w:rsidR="004964AA" w:rsidRPr="004964AA">
        <w:rPr>
          <w:rFonts w:ascii="Calibri" w:hAnsi="Calibri" w:cs="Calibri"/>
          <w:sz w:val="20"/>
        </w:rPr>
        <w:t xml:space="preserve"> Sequence variation at ANAPC1 accounts for 24% of the variability in corneal endothelial cell density. </w:t>
      </w:r>
      <w:r w:rsidR="004964AA" w:rsidRPr="004964AA">
        <w:rPr>
          <w:rFonts w:ascii="Calibri" w:hAnsi="Calibri" w:cs="Calibri"/>
          <w:i/>
          <w:iCs/>
          <w:sz w:val="20"/>
        </w:rPr>
        <w:t>Nat. Commun.</w:t>
      </w:r>
      <w:r w:rsidR="004964AA" w:rsidRPr="004964AA">
        <w:rPr>
          <w:rFonts w:ascii="Calibri" w:hAnsi="Calibri" w:cs="Calibri"/>
          <w:sz w:val="20"/>
        </w:rPr>
        <w:t xml:space="preserve"> </w:t>
      </w:r>
      <w:r w:rsidR="004964AA" w:rsidRPr="004964AA">
        <w:rPr>
          <w:rFonts w:ascii="Calibri" w:hAnsi="Calibri" w:cs="Calibri"/>
          <w:b/>
          <w:bCs/>
          <w:sz w:val="20"/>
        </w:rPr>
        <w:t>10,</w:t>
      </w:r>
      <w:r w:rsidR="004964AA" w:rsidRPr="004964AA">
        <w:rPr>
          <w:rFonts w:ascii="Calibri" w:hAnsi="Calibri" w:cs="Calibri"/>
          <w:sz w:val="20"/>
        </w:rPr>
        <w:t xml:space="preserve"> 1284 (2019).</w:t>
      </w:r>
    </w:p>
    <w:p w14:paraId="30BE2E7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w:t>
      </w:r>
      <w:r w:rsidRPr="004964AA">
        <w:rPr>
          <w:rFonts w:ascii="Calibri" w:hAnsi="Calibri" w:cs="Calibri"/>
          <w:sz w:val="20"/>
        </w:rPr>
        <w:tab/>
        <w:t xml:space="preserve">Spitzer, R. L., Kroenke, K., Williams, J. B. W. &amp; Löwe, B. A brief measure for assessing generalized anxiety disorder: the GAD-7. </w:t>
      </w:r>
      <w:r w:rsidRPr="004964AA">
        <w:rPr>
          <w:rFonts w:ascii="Calibri" w:hAnsi="Calibri" w:cs="Calibri"/>
          <w:i/>
          <w:iCs/>
          <w:sz w:val="20"/>
        </w:rPr>
        <w:t>Arch. Intern. Med.</w:t>
      </w:r>
      <w:r w:rsidRPr="004964AA">
        <w:rPr>
          <w:rFonts w:ascii="Calibri" w:hAnsi="Calibri" w:cs="Calibri"/>
          <w:sz w:val="20"/>
        </w:rPr>
        <w:t xml:space="preserve"> </w:t>
      </w:r>
      <w:r w:rsidRPr="004964AA">
        <w:rPr>
          <w:rFonts w:ascii="Calibri" w:hAnsi="Calibri" w:cs="Calibri"/>
          <w:b/>
          <w:bCs/>
          <w:sz w:val="20"/>
        </w:rPr>
        <w:t>166,</w:t>
      </w:r>
      <w:r w:rsidRPr="004964AA">
        <w:rPr>
          <w:rFonts w:ascii="Calibri" w:hAnsi="Calibri" w:cs="Calibri"/>
          <w:sz w:val="20"/>
        </w:rPr>
        <w:t xml:space="preserve"> 1092–1097 (2006).</w:t>
      </w:r>
    </w:p>
    <w:p w14:paraId="0B0A1EA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w:t>
      </w:r>
      <w:r w:rsidRPr="004964AA">
        <w:rPr>
          <w:rFonts w:ascii="Calibri" w:hAnsi="Calibri" w:cs="Calibri"/>
          <w:sz w:val="20"/>
        </w:rPr>
        <w:tab/>
        <w:t xml:space="preserve">Kroenke, K., Spitzer, R. L. &amp; Williams, J. B. The PHQ-9: validity of a brief depression severity measure. </w:t>
      </w:r>
      <w:r w:rsidRPr="004964AA">
        <w:rPr>
          <w:rFonts w:ascii="Calibri" w:hAnsi="Calibri" w:cs="Calibri"/>
          <w:i/>
          <w:iCs/>
          <w:sz w:val="20"/>
        </w:rPr>
        <w:t>J. Gen. Intern. Med.</w:t>
      </w:r>
      <w:r w:rsidRPr="004964AA">
        <w:rPr>
          <w:rFonts w:ascii="Calibri" w:hAnsi="Calibri" w:cs="Calibri"/>
          <w:sz w:val="20"/>
        </w:rPr>
        <w:t xml:space="preserve"> </w:t>
      </w:r>
      <w:r w:rsidRPr="004964AA">
        <w:rPr>
          <w:rFonts w:ascii="Calibri" w:hAnsi="Calibri" w:cs="Calibri"/>
          <w:b/>
          <w:bCs/>
          <w:sz w:val="20"/>
        </w:rPr>
        <w:t>16,</w:t>
      </w:r>
      <w:r w:rsidRPr="004964AA">
        <w:rPr>
          <w:rFonts w:ascii="Calibri" w:hAnsi="Calibri" w:cs="Calibri"/>
          <w:sz w:val="20"/>
        </w:rPr>
        <w:t xml:space="preserve"> 606–613 (2001).</w:t>
      </w:r>
    </w:p>
    <w:p w14:paraId="1E4754E0"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w:t>
      </w:r>
      <w:r w:rsidRPr="004964AA">
        <w:rPr>
          <w:rFonts w:ascii="Calibri" w:hAnsi="Calibri" w:cs="Calibri"/>
          <w:sz w:val="20"/>
        </w:rPr>
        <w:tab/>
        <w:t xml:space="preserve">Cohen, S., Kamarck, T. &amp; Mermelstein, R. A global measure of perceived stress. </w:t>
      </w:r>
      <w:r w:rsidRPr="004964AA">
        <w:rPr>
          <w:rFonts w:ascii="Calibri" w:hAnsi="Calibri" w:cs="Calibri"/>
          <w:i/>
          <w:iCs/>
          <w:sz w:val="20"/>
        </w:rPr>
        <w:t>J. Health Soc. Behav.</w:t>
      </w:r>
      <w:r w:rsidRPr="004964AA">
        <w:rPr>
          <w:rFonts w:ascii="Calibri" w:hAnsi="Calibri" w:cs="Calibri"/>
          <w:sz w:val="20"/>
        </w:rPr>
        <w:t xml:space="preserve"> </w:t>
      </w:r>
      <w:r w:rsidRPr="004964AA">
        <w:rPr>
          <w:rFonts w:ascii="Calibri" w:hAnsi="Calibri" w:cs="Calibri"/>
          <w:b/>
          <w:bCs/>
          <w:sz w:val="20"/>
        </w:rPr>
        <w:t>24,</w:t>
      </w:r>
      <w:r w:rsidRPr="004964AA">
        <w:rPr>
          <w:rFonts w:ascii="Calibri" w:hAnsi="Calibri" w:cs="Calibri"/>
          <w:sz w:val="20"/>
        </w:rPr>
        <w:t xml:space="preserve"> 385–396 (1983).</w:t>
      </w:r>
    </w:p>
    <w:p w14:paraId="318FC52E"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5.</w:t>
      </w:r>
      <w:r w:rsidRPr="004964AA">
        <w:rPr>
          <w:rFonts w:ascii="Calibri" w:hAnsi="Calibri" w:cs="Calibri"/>
          <w:sz w:val="20"/>
        </w:rPr>
        <w:tab/>
        <w:t xml:space="preserve">Salkovskis, P. M., Rimes, K. A., Warwick, H. M. C. &amp; Clark, D. M. The Health Anxiety Inventory: development and validation of scales for the measurement of health anxiety and hypochondriasis. </w:t>
      </w:r>
      <w:r w:rsidRPr="004964AA">
        <w:rPr>
          <w:rFonts w:ascii="Calibri" w:hAnsi="Calibri" w:cs="Calibri"/>
          <w:i/>
          <w:iCs/>
          <w:sz w:val="20"/>
        </w:rPr>
        <w:t>Psychol. Med.</w:t>
      </w:r>
      <w:r w:rsidRPr="004964AA">
        <w:rPr>
          <w:rFonts w:ascii="Calibri" w:hAnsi="Calibri" w:cs="Calibri"/>
          <w:sz w:val="20"/>
        </w:rPr>
        <w:t xml:space="preserve"> </w:t>
      </w:r>
      <w:r w:rsidRPr="004964AA">
        <w:rPr>
          <w:rFonts w:ascii="Calibri" w:hAnsi="Calibri" w:cs="Calibri"/>
          <w:b/>
          <w:bCs/>
          <w:sz w:val="20"/>
        </w:rPr>
        <w:t>32,</w:t>
      </w:r>
      <w:r w:rsidRPr="004964AA">
        <w:rPr>
          <w:rFonts w:ascii="Calibri" w:hAnsi="Calibri" w:cs="Calibri"/>
          <w:sz w:val="20"/>
        </w:rPr>
        <w:t xml:space="preserve"> 843–853 (2002).</w:t>
      </w:r>
    </w:p>
    <w:p w14:paraId="738C4B34"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6.</w:t>
      </w:r>
      <w:r w:rsidRPr="004964AA">
        <w:rPr>
          <w:rFonts w:ascii="Calibri" w:hAnsi="Calibri" w:cs="Calibri"/>
          <w:sz w:val="20"/>
        </w:rPr>
        <w:tab/>
        <w:t xml:space="preserve">Ware, J. E. &amp; Sherbourne, C. D. The MOS 36-item short-form health survey (SF-36). I. Conceptual framework and item selection. </w:t>
      </w:r>
      <w:r w:rsidRPr="004964AA">
        <w:rPr>
          <w:rFonts w:ascii="Calibri" w:hAnsi="Calibri" w:cs="Calibri"/>
          <w:i/>
          <w:iCs/>
          <w:sz w:val="20"/>
        </w:rPr>
        <w:t>Med. Care</w:t>
      </w:r>
      <w:r w:rsidRPr="004964AA">
        <w:rPr>
          <w:rFonts w:ascii="Calibri" w:hAnsi="Calibri" w:cs="Calibri"/>
          <w:sz w:val="20"/>
        </w:rPr>
        <w:t xml:space="preserve"> </w:t>
      </w:r>
      <w:r w:rsidRPr="004964AA">
        <w:rPr>
          <w:rFonts w:ascii="Calibri" w:hAnsi="Calibri" w:cs="Calibri"/>
          <w:b/>
          <w:bCs/>
          <w:sz w:val="20"/>
        </w:rPr>
        <w:t>30,</w:t>
      </w:r>
      <w:r w:rsidRPr="004964AA">
        <w:rPr>
          <w:rFonts w:ascii="Calibri" w:hAnsi="Calibri" w:cs="Calibri"/>
          <w:sz w:val="20"/>
        </w:rPr>
        <w:t xml:space="preserve"> 473–483 (1992).</w:t>
      </w:r>
    </w:p>
    <w:p w14:paraId="682DED65"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7.</w:t>
      </w:r>
      <w:r w:rsidRPr="004964AA">
        <w:rPr>
          <w:rFonts w:ascii="Calibri" w:hAnsi="Calibri" w:cs="Calibri"/>
          <w:sz w:val="20"/>
        </w:rPr>
        <w:tab/>
        <w:t xml:space="preserve">Löwe, B. </w:t>
      </w:r>
      <w:r w:rsidRPr="004964AA">
        <w:rPr>
          <w:rFonts w:ascii="Calibri" w:hAnsi="Calibri" w:cs="Calibri"/>
          <w:i/>
          <w:iCs/>
          <w:sz w:val="20"/>
        </w:rPr>
        <w:t>et al.</w:t>
      </w:r>
      <w:r w:rsidRPr="004964AA">
        <w:rPr>
          <w:rFonts w:ascii="Calibri" w:hAnsi="Calibri" w:cs="Calibri"/>
          <w:sz w:val="20"/>
        </w:rPr>
        <w:t xml:space="preserve"> Validation and standardization of the Generalized Anxiety Disorder Screener (GAD-7) in the general population. </w:t>
      </w:r>
      <w:r w:rsidRPr="004964AA">
        <w:rPr>
          <w:rFonts w:ascii="Calibri" w:hAnsi="Calibri" w:cs="Calibri"/>
          <w:i/>
          <w:iCs/>
          <w:sz w:val="20"/>
        </w:rPr>
        <w:t>Med. Care</w:t>
      </w:r>
      <w:r w:rsidRPr="004964AA">
        <w:rPr>
          <w:rFonts w:ascii="Calibri" w:hAnsi="Calibri" w:cs="Calibri"/>
          <w:sz w:val="20"/>
        </w:rPr>
        <w:t xml:space="preserve"> </w:t>
      </w:r>
      <w:r w:rsidRPr="004964AA">
        <w:rPr>
          <w:rFonts w:ascii="Calibri" w:hAnsi="Calibri" w:cs="Calibri"/>
          <w:b/>
          <w:bCs/>
          <w:sz w:val="20"/>
        </w:rPr>
        <w:t>46,</w:t>
      </w:r>
      <w:r w:rsidRPr="004964AA">
        <w:rPr>
          <w:rFonts w:ascii="Calibri" w:hAnsi="Calibri" w:cs="Calibri"/>
          <w:sz w:val="20"/>
        </w:rPr>
        <w:t xml:space="preserve"> 266–274 (2008).</w:t>
      </w:r>
    </w:p>
    <w:p w14:paraId="44F91DE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8.</w:t>
      </w:r>
      <w:r w:rsidRPr="004964AA">
        <w:rPr>
          <w:rFonts w:ascii="Calibri" w:hAnsi="Calibri" w:cs="Calibri"/>
          <w:sz w:val="20"/>
        </w:rPr>
        <w:tab/>
        <w:t xml:space="preserve">Lee, E.-H. Review of the psychometric evidence of the perceived stress scale. </w:t>
      </w:r>
      <w:r w:rsidRPr="004964AA">
        <w:rPr>
          <w:rFonts w:ascii="Calibri" w:hAnsi="Calibri" w:cs="Calibri"/>
          <w:i/>
          <w:iCs/>
          <w:sz w:val="20"/>
        </w:rPr>
        <w:t>Asian Nurs. Res.</w:t>
      </w:r>
      <w:r w:rsidRPr="004964AA">
        <w:rPr>
          <w:rFonts w:ascii="Calibri" w:hAnsi="Calibri" w:cs="Calibri"/>
          <w:sz w:val="20"/>
        </w:rPr>
        <w:t xml:space="preserve"> </w:t>
      </w:r>
      <w:r w:rsidRPr="004964AA">
        <w:rPr>
          <w:rFonts w:ascii="Calibri" w:hAnsi="Calibri" w:cs="Calibri"/>
          <w:b/>
          <w:bCs/>
          <w:sz w:val="20"/>
        </w:rPr>
        <w:t>6,</w:t>
      </w:r>
      <w:r w:rsidRPr="004964AA">
        <w:rPr>
          <w:rFonts w:ascii="Calibri" w:hAnsi="Calibri" w:cs="Calibri"/>
          <w:sz w:val="20"/>
        </w:rPr>
        <w:t xml:space="preserve"> 121–127 (2012).</w:t>
      </w:r>
    </w:p>
    <w:p w14:paraId="23FDC598"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9.</w:t>
      </w:r>
      <w:r w:rsidRPr="004964AA">
        <w:rPr>
          <w:rFonts w:ascii="Calibri" w:hAnsi="Calibri" w:cs="Calibri"/>
          <w:sz w:val="20"/>
        </w:rPr>
        <w:tab/>
        <w:t xml:space="preserve">Hauksdóttir, A., McClure, C., Jonsson, S. H., Olafsson, O. &amp; Valdimarsdóttir, U. A. Increased stress among women following an economic collapse--a prospective cohort study. </w:t>
      </w:r>
      <w:r w:rsidRPr="004964AA">
        <w:rPr>
          <w:rFonts w:ascii="Calibri" w:hAnsi="Calibri" w:cs="Calibri"/>
          <w:i/>
          <w:iCs/>
          <w:sz w:val="20"/>
        </w:rPr>
        <w:t>Am. J. Epidemiol.</w:t>
      </w:r>
      <w:r w:rsidRPr="004964AA">
        <w:rPr>
          <w:rFonts w:ascii="Calibri" w:hAnsi="Calibri" w:cs="Calibri"/>
          <w:sz w:val="20"/>
        </w:rPr>
        <w:t xml:space="preserve"> </w:t>
      </w:r>
      <w:r w:rsidRPr="004964AA">
        <w:rPr>
          <w:rFonts w:ascii="Calibri" w:hAnsi="Calibri" w:cs="Calibri"/>
          <w:b/>
          <w:bCs/>
          <w:sz w:val="20"/>
        </w:rPr>
        <w:t>177,</w:t>
      </w:r>
      <w:r w:rsidRPr="004964AA">
        <w:rPr>
          <w:rFonts w:ascii="Calibri" w:hAnsi="Calibri" w:cs="Calibri"/>
          <w:sz w:val="20"/>
        </w:rPr>
        <w:t xml:space="preserve"> 979–988 (2013).</w:t>
      </w:r>
    </w:p>
    <w:p w14:paraId="59923068"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10.</w:t>
      </w:r>
      <w:r w:rsidRPr="004964AA">
        <w:rPr>
          <w:rFonts w:ascii="Calibri" w:hAnsi="Calibri" w:cs="Calibri"/>
          <w:sz w:val="20"/>
        </w:rPr>
        <w:tab/>
        <w:t xml:space="preserve">Hlodversdottir, H., Petursdottir, G., Carlsen, H. K., Gislason, T. &amp; Hauksdottir, A. Long-term health effects of the Eyjafjallajökull volcanic eruption: a prospective cohort study in 2010 and 2013. </w:t>
      </w:r>
      <w:r w:rsidRPr="004964AA">
        <w:rPr>
          <w:rFonts w:ascii="Calibri" w:hAnsi="Calibri" w:cs="Calibri"/>
          <w:i/>
          <w:iCs/>
          <w:sz w:val="20"/>
        </w:rPr>
        <w:t>BMJ Open</w:t>
      </w:r>
      <w:r w:rsidRPr="004964AA">
        <w:rPr>
          <w:rFonts w:ascii="Calibri" w:hAnsi="Calibri" w:cs="Calibri"/>
          <w:sz w:val="20"/>
        </w:rPr>
        <w:t xml:space="preserve"> </w:t>
      </w:r>
      <w:r w:rsidRPr="004964AA">
        <w:rPr>
          <w:rFonts w:ascii="Calibri" w:hAnsi="Calibri" w:cs="Calibri"/>
          <w:b/>
          <w:bCs/>
          <w:sz w:val="20"/>
        </w:rPr>
        <w:t>6,</w:t>
      </w:r>
      <w:r w:rsidRPr="004964AA">
        <w:rPr>
          <w:rFonts w:ascii="Calibri" w:hAnsi="Calibri" w:cs="Calibri"/>
          <w:sz w:val="20"/>
        </w:rPr>
        <w:t xml:space="preserve"> e011444 (2016).</w:t>
      </w:r>
    </w:p>
    <w:p w14:paraId="5857FDF7"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11.</w:t>
      </w:r>
      <w:r w:rsidRPr="004964AA">
        <w:rPr>
          <w:rFonts w:ascii="Calibri" w:hAnsi="Calibri" w:cs="Calibri"/>
          <w:sz w:val="20"/>
        </w:rPr>
        <w:tab/>
        <w:t xml:space="preserve">Diener, E., Emmons, R. A., Larsen, R. J. &amp; Griffin, S. The Satisfaction With Life Scale. </w:t>
      </w:r>
      <w:r w:rsidRPr="004964AA">
        <w:rPr>
          <w:rFonts w:ascii="Calibri" w:hAnsi="Calibri" w:cs="Calibri"/>
          <w:i/>
          <w:iCs/>
          <w:sz w:val="20"/>
        </w:rPr>
        <w:t>J. Pers. Assess.</w:t>
      </w:r>
      <w:r w:rsidRPr="004964AA">
        <w:rPr>
          <w:rFonts w:ascii="Calibri" w:hAnsi="Calibri" w:cs="Calibri"/>
          <w:sz w:val="20"/>
        </w:rPr>
        <w:t xml:space="preserve"> </w:t>
      </w:r>
      <w:r w:rsidRPr="004964AA">
        <w:rPr>
          <w:rFonts w:ascii="Calibri" w:hAnsi="Calibri" w:cs="Calibri"/>
          <w:b/>
          <w:bCs/>
          <w:sz w:val="20"/>
        </w:rPr>
        <w:t>49,</w:t>
      </w:r>
      <w:r w:rsidRPr="004964AA">
        <w:rPr>
          <w:rFonts w:ascii="Calibri" w:hAnsi="Calibri" w:cs="Calibri"/>
          <w:sz w:val="20"/>
        </w:rPr>
        <w:t xml:space="preserve"> 71–75 (1985).</w:t>
      </w:r>
    </w:p>
    <w:p w14:paraId="42B6D40F"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12.</w:t>
      </w:r>
      <w:r w:rsidRPr="004964AA">
        <w:rPr>
          <w:rFonts w:ascii="Calibri" w:hAnsi="Calibri" w:cs="Calibri"/>
          <w:sz w:val="20"/>
        </w:rPr>
        <w:tab/>
        <w:t xml:space="preserve">Pavot, W. &amp; Diener, E. Review of the Satisfaction With Life Scale. </w:t>
      </w:r>
      <w:r w:rsidRPr="004964AA">
        <w:rPr>
          <w:rFonts w:ascii="Calibri" w:hAnsi="Calibri" w:cs="Calibri"/>
          <w:b/>
          <w:bCs/>
          <w:sz w:val="20"/>
        </w:rPr>
        <w:t>5,</w:t>
      </w:r>
      <w:r w:rsidRPr="004964AA">
        <w:rPr>
          <w:rFonts w:ascii="Calibri" w:hAnsi="Calibri" w:cs="Calibri"/>
          <w:sz w:val="20"/>
        </w:rPr>
        <w:t xml:space="preserve"> 164–172 (1993).</w:t>
      </w:r>
    </w:p>
    <w:p w14:paraId="7AF2096E"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13.</w:t>
      </w:r>
      <w:r w:rsidRPr="004964AA">
        <w:rPr>
          <w:rFonts w:ascii="Calibri" w:hAnsi="Calibri" w:cs="Calibri"/>
          <w:sz w:val="20"/>
        </w:rPr>
        <w:tab/>
        <w:t xml:space="preserve">Ware, J. E. SF-36 health survey update. </w:t>
      </w:r>
      <w:r w:rsidRPr="004964AA">
        <w:rPr>
          <w:rFonts w:ascii="Calibri" w:hAnsi="Calibri" w:cs="Calibri"/>
          <w:i/>
          <w:iCs/>
          <w:sz w:val="20"/>
        </w:rPr>
        <w:t>Spine</w:t>
      </w:r>
      <w:r w:rsidRPr="004964AA">
        <w:rPr>
          <w:rFonts w:ascii="Calibri" w:hAnsi="Calibri" w:cs="Calibri"/>
          <w:sz w:val="20"/>
        </w:rPr>
        <w:t xml:space="preserve"> </w:t>
      </w:r>
      <w:r w:rsidRPr="004964AA">
        <w:rPr>
          <w:rFonts w:ascii="Calibri" w:hAnsi="Calibri" w:cs="Calibri"/>
          <w:b/>
          <w:bCs/>
          <w:sz w:val="20"/>
        </w:rPr>
        <w:t>25,</w:t>
      </w:r>
      <w:r w:rsidRPr="004964AA">
        <w:rPr>
          <w:rFonts w:ascii="Calibri" w:hAnsi="Calibri" w:cs="Calibri"/>
          <w:sz w:val="20"/>
        </w:rPr>
        <w:t xml:space="preserve"> 3130–3139 (2000).</w:t>
      </w:r>
    </w:p>
    <w:p w14:paraId="3260B3D4"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14.</w:t>
      </w:r>
      <w:r w:rsidRPr="004964AA">
        <w:rPr>
          <w:rFonts w:ascii="Calibri" w:hAnsi="Calibri" w:cs="Calibri"/>
          <w:sz w:val="20"/>
        </w:rPr>
        <w:tab/>
        <w:t xml:space="preserve">Garratt, A. M., Ruta, D. A., Abdalla, M. I., Buckingham, J. K. &amp; Russell, I. T. The SF36 health survey questionnaire: an outcome measure suitable for routine use within the NHS? </w:t>
      </w:r>
      <w:r w:rsidRPr="004964AA">
        <w:rPr>
          <w:rFonts w:ascii="Calibri" w:hAnsi="Calibri" w:cs="Calibri"/>
          <w:i/>
          <w:iCs/>
          <w:sz w:val="20"/>
        </w:rPr>
        <w:t>BMJ</w:t>
      </w:r>
      <w:r w:rsidRPr="004964AA">
        <w:rPr>
          <w:rFonts w:ascii="Calibri" w:hAnsi="Calibri" w:cs="Calibri"/>
          <w:sz w:val="20"/>
        </w:rPr>
        <w:t xml:space="preserve"> </w:t>
      </w:r>
      <w:r w:rsidRPr="004964AA">
        <w:rPr>
          <w:rFonts w:ascii="Calibri" w:hAnsi="Calibri" w:cs="Calibri"/>
          <w:b/>
          <w:bCs/>
          <w:sz w:val="20"/>
        </w:rPr>
        <w:t>306,</w:t>
      </w:r>
      <w:r w:rsidRPr="004964AA">
        <w:rPr>
          <w:rFonts w:ascii="Calibri" w:hAnsi="Calibri" w:cs="Calibri"/>
          <w:sz w:val="20"/>
        </w:rPr>
        <w:t xml:space="preserve"> 1440–1444 (1993).</w:t>
      </w:r>
    </w:p>
    <w:p w14:paraId="42DF9106"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lastRenderedPageBreak/>
        <w:t>15.</w:t>
      </w:r>
      <w:r w:rsidRPr="004964AA">
        <w:rPr>
          <w:rFonts w:ascii="Calibri" w:hAnsi="Calibri" w:cs="Calibri"/>
          <w:sz w:val="20"/>
        </w:rPr>
        <w:tab/>
        <w:t xml:space="preserve">Bullinger, M. </w:t>
      </w:r>
      <w:r w:rsidRPr="004964AA">
        <w:rPr>
          <w:rFonts w:ascii="Calibri" w:hAnsi="Calibri" w:cs="Calibri"/>
          <w:i/>
          <w:iCs/>
          <w:sz w:val="20"/>
        </w:rPr>
        <w:t>et al.</w:t>
      </w:r>
      <w:r w:rsidRPr="004964AA">
        <w:rPr>
          <w:rFonts w:ascii="Calibri" w:hAnsi="Calibri" w:cs="Calibri"/>
          <w:sz w:val="20"/>
        </w:rPr>
        <w:t xml:space="preserve"> Translating health status questionnaires and evaluating their quality: the IQOLA Project approach. International Quality of Life Assessment. </w:t>
      </w:r>
      <w:r w:rsidRPr="004964AA">
        <w:rPr>
          <w:rFonts w:ascii="Calibri" w:hAnsi="Calibri" w:cs="Calibri"/>
          <w:i/>
          <w:iCs/>
          <w:sz w:val="20"/>
        </w:rPr>
        <w:t>J. Clin. Epidemiol.</w:t>
      </w:r>
      <w:r w:rsidRPr="004964AA">
        <w:rPr>
          <w:rFonts w:ascii="Calibri" w:hAnsi="Calibri" w:cs="Calibri"/>
          <w:sz w:val="20"/>
        </w:rPr>
        <w:t xml:space="preserve"> </w:t>
      </w:r>
      <w:r w:rsidRPr="004964AA">
        <w:rPr>
          <w:rFonts w:ascii="Calibri" w:hAnsi="Calibri" w:cs="Calibri"/>
          <w:b/>
          <w:bCs/>
          <w:sz w:val="20"/>
        </w:rPr>
        <w:t>51,</w:t>
      </w:r>
      <w:r w:rsidRPr="004964AA">
        <w:rPr>
          <w:rFonts w:ascii="Calibri" w:hAnsi="Calibri" w:cs="Calibri"/>
          <w:sz w:val="20"/>
        </w:rPr>
        <w:t xml:space="preserve"> 913–923 (1998).</w:t>
      </w:r>
    </w:p>
    <w:p w14:paraId="15CB7830"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16.</w:t>
      </w:r>
      <w:r w:rsidRPr="004964AA">
        <w:rPr>
          <w:rFonts w:ascii="Calibri" w:hAnsi="Calibri" w:cs="Calibri"/>
          <w:sz w:val="20"/>
        </w:rPr>
        <w:tab/>
        <w:t xml:space="preserve">Farivar, S. S., Cunningham, W. E. &amp; Hays, R. D. Correlated physical and mental health summary scores for the SF-36 and SF-12 Health Survey, V.I. </w:t>
      </w:r>
      <w:r w:rsidRPr="004964AA">
        <w:rPr>
          <w:rFonts w:ascii="Calibri" w:hAnsi="Calibri" w:cs="Calibri"/>
          <w:i/>
          <w:iCs/>
          <w:sz w:val="20"/>
        </w:rPr>
        <w:t>Health Qual. Life Outcomes</w:t>
      </w:r>
      <w:r w:rsidRPr="004964AA">
        <w:rPr>
          <w:rFonts w:ascii="Calibri" w:hAnsi="Calibri" w:cs="Calibri"/>
          <w:sz w:val="20"/>
        </w:rPr>
        <w:t xml:space="preserve"> </w:t>
      </w:r>
      <w:r w:rsidRPr="004964AA">
        <w:rPr>
          <w:rFonts w:ascii="Calibri" w:hAnsi="Calibri" w:cs="Calibri"/>
          <w:b/>
          <w:bCs/>
          <w:sz w:val="20"/>
        </w:rPr>
        <w:t>5,</w:t>
      </w:r>
      <w:r w:rsidRPr="004964AA">
        <w:rPr>
          <w:rFonts w:ascii="Calibri" w:hAnsi="Calibri" w:cs="Calibri"/>
          <w:sz w:val="20"/>
        </w:rPr>
        <w:t xml:space="preserve"> 54 (2007).</w:t>
      </w:r>
    </w:p>
    <w:p w14:paraId="39CE7738"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17.</w:t>
      </w:r>
      <w:r w:rsidRPr="004964AA">
        <w:rPr>
          <w:rFonts w:ascii="Calibri" w:hAnsi="Calibri" w:cs="Calibri"/>
          <w:sz w:val="20"/>
        </w:rPr>
        <w:tab/>
        <w:t xml:space="preserve">Muntner, P. </w:t>
      </w:r>
      <w:r w:rsidRPr="004964AA">
        <w:rPr>
          <w:rFonts w:ascii="Calibri" w:hAnsi="Calibri" w:cs="Calibri"/>
          <w:i/>
          <w:iCs/>
          <w:sz w:val="20"/>
        </w:rPr>
        <w:t>et al.</w:t>
      </w:r>
      <w:r w:rsidRPr="004964AA">
        <w:rPr>
          <w:rFonts w:ascii="Calibri" w:hAnsi="Calibri" w:cs="Calibri"/>
          <w:sz w:val="20"/>
        </w:rPr>
        <w:t xml:space="preserve"> Measurement of Blood Pressure in Humans: A Scientific Statement From the American Heart Association. </w:t>
      </w:r>
      <w:r w:rsidRPr="004964AA">
        <w:rPr>
          <w:rFonts w:ascii="Calibri" w:hAnsi="Calibri" w:cs="Calibri"/>
          <w:i/>
          <w:iCs/>
          <w:sz w:val="20"/>
        </w:rPr>
        <w:t>Hypertens. Dallas Tex 1979</w:t>
      </w:r>
      <w:r w:rsidRPr="004964AA">
        <w:rPr>
          <w:rFonts w:ascii="Calibri" w:hAnsi="Calibri" w:cs="Calibri"/>
          <w:sz w:val="20"/>
        </w:rPr>
        <w:t xml:space="preserve"> </w:t>
      </w:r>
      <w:r w:rsidRPr="004964AA">
        <w:rPr>
          <w:rFonts w:ascii="Calibri" w:hAnsi="Calibri" w:cs="Calibri"/>
          <w:b/>
          <w:bCs/>
          <w:sz w:val="20"/>
        </w:rPr>
        <w:t>73,</w:t>
      </w:r>
      <w:r w:rsidRPr="004964AA">
        <w:rPr>
          <w:rFonts w:ascii="Calibri" w:hAnsi="Calibri" w:cs="Calibri"/>
          <w:sz w:val="20"/>
        </w:rPr>
        <w:t xml:space="preserve"> e35–e66 (2019).</w:t>
      </w:r>
    </w:p>
    <w:p w14:paraId="40C07882"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18.</w:t>
      </w:r>
      <w:r w:rsidRPr="004964AA">
        <w:rPr>
          <w:rFonts w:ascii="Calibri" w:hAnsi="Calibri" w:cs="Calibri"/>
          <w:sz w:val="20"/>
        </w:rPr>
        <w:tab/>
        <w:t xml:space="preserve">Roberts, H. C. </w:t>
      </w:r>
      <w:r w:rsidRPr="004964AA">
        <w:rPr>
          <w:rFonts w:ascii="Calibri" w:hAnsi="Calibri" w:cs="Calibri"/>
          <w:i/>
          <w:iCs/>
          <w:sz w:val="20"/>
        </w:rPr>
        <w:t>et al.</w:t>
      </w:r>
      <w:r w:rsidRPr="004964AA">
        <w:rPr>
          <w:rFonts w:ascii="Calibri" w:hAnsi="Calibri" w:cs="Calibri"/>
          <w:sz w:val="20"/>
        </w:rPr>
        <w:t xml:space="preserve"> A review of the measurement of grip strength in clinical and epidemiological studies: towards a standardised approach. </w:t>
      </w:r>
      <w:r w:rsidRPr="004964AA">
        <w:rPr>
          <w:rFonts w:ascii="Calibri" w:hAnsi="Calibri" w:cs="Calibri"/>
          <w:i/>
          <w:iCs/>
          <w:sz w:val="20"/>
        </w:rPr>
        <w:t>Age Ageing</w:t>
      </w:r>
      <w:r w:rsidRPr="004964AA">
        <w:rPr>
          <w:rFonts w:ascii="Calibri" w:hAnsi="Calibri" w:cs="Calibri"/>
          <w:sz w:val="20"/>
        </w:rPr>
        <w:t xml:space="preserve"> </w:t>
      </w:r>
      <w:r w:rsidRPr="004964AA">
        <w:rPr>
          <w:rFonts w:ascii="Calibri" w:hAnsi="Calibri" w:cs="Calibri"/>
          <w:b/>
          <w:bCs/>
          <w:sz w:val="20"/>
        </w:rPr>
        <w:t>40,</w:t>
      </w:r>
      <w:r w:rsidRPr="004964AA">
        <w:rPr>
          <w:rFonts w:ascii="Calibri" w:hAnsi="Calibri" w:cs="Calibri"/>
          <w:sz w:val="20"/>
        </w:rPr>
        <w:t xml:space="preserve"> 423–429 (2011).</w:t>
      </w:r>
    </w:p>
    <w:p w14:paraId="32DBF2E9"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19.</w:t>
      </w:r>
      <w:r w:rsidRPr="004964AA">
        <w:rPr>
          <w:rFonts w:ascii="Calibri" w:hAnsi="Calibri" w:cs="Calibri"/>
          <w:sz w:val="20"/>
        </w:rPr>
        <w:tab/>
        <w:t xml:space="preserve">Gisladottir, R. S. </w:t>
      </w:r>
      <w:r w:rsidRPr="004964AA">
        <w:rPr>
          <w:rFonts w:ascii="Calibri" w:hAnsi="Calibri" w:cs="Calibri"/>
          <w:i/>
          <w:iCs/>
          <w:sz w:val="20"/>
        </w:rPr>
        <w:t>et al.</w:t>
      </w:r>
      <w:r w:rsidRPr="004964AA">
        <w:rPr>
          <w:rFonts w:ascii="Calibri" w:hAnsi="Calibri" w:cs="Calibri"/>
          <w:sz w:val="20"/>
        </w:rPr>
        <w:t xml:space="preserve"> Sequence Variants in TAAR5 and Other Loci Affect Human Odor Perception and Naming. </w:t>
      </w:r>
      <w:r w:rsidRPr="004964AA">
        <w:rPr>
          <w:rFonts w:ascii="Calibri" w:hAnsi="Calibri" w:cs="Calibri"/>
          <w:i/>
          <w:iCs/>
          <w:sz w:val="20"/>
        </w:rPr>
        <w:t>Curr. Biol. CB</w:t>
      </w:r>
      <w:r w:rsidRPr="004964AA">
        <w:rPr>
          <w:rFonts w:ascii="Calibri" w:hAnsi="Calibri" w:cs="Calibri"/>
          <w:sz w:val="20"/>
        </w:rPr>
        <w:t xml:space="preserve"> </w:t>
      </w:r>
      <w:r w:rsidRPr="004964AA">
        <w:rPr>
          <w:rFonts w:ascii="Calibri" w:hAnsi="Calibri" w:cs="Calibri"/>
          <w:b/>
          <w:bCs/>
          <w:sz w:val="20"/>
        </w:rPr>
        <w:t>30,</w:t>
      </w:r>
      <w:r w:rsidRPr="004964AA">
        <w:rPr>
          <w:rFonts w:ascii="Calibri" w:hAnsi="Calibri" w:cs="Calibri"/>
          <w:sz w:val="20"/>
        </w:rPr>
        <w:t xml:space="preserve"> 4643–4653.e3 (2020).</w:t>
      </w:r>
    </w:p>
    <w:p w14:paraId="3B02ACC3"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20.</w:t>
      </w:r>
      <w:r w:rsidRPr="004964AA">
        <w:rPr>
          <w:rFonts w:ascii="Calibri" w:hAnsi="Calibri" w:cs="Calibri"/>
          <w:sz w:val="20"/>
        </w:rPr>
        <w:tab/>
        <w:t xml:space="preserve">Hummel, T., Sekinger, B., Wolf, S. R., Pauli, E. &amp; Kobal, G. ‘Sniffin’ sticks’: olfactory performance assessed by the combined testing of odor identification, odor discrimination and olfactory threshold. </w:t>
      </w:r>
      <w:r w:rsidRPr="004964AA">
        <w:rPr>
          <w:rFonts w:ascii="Calibri" w:hAnsi="Calibri" w:cs="Calibri"/>
          <w:i/>
          <w:iCs/>
          <w:sz w:val="20"/>
        </w:rPr>
        <w:t>Chem. Senses</w:t>
      </w:r>
      <w:r w:rsidRPr="004964AA">
        <w:rPr>
          <w:rFonts w:ascii="Calibri" w:hAnsi="Calibri" w:cs="Calibri"/>
          <w:sz w:val="20"/>
        </w:rPr>
        <w:t xml:space="preserve"> </w:t>
      </w:r>
      <w:r w:rsidRPr="004964AA">
        <w:rPr>
          <w:rFonts w:ascii="Calibri" w:hAnsi="Calibri" w:cs="Calibri"/>
          <w:b/>
          <w:bCs/>
          <w:sz w:val="20"/>
        </w:rPr>
        <w:t>22,</w:t>
      </w:r>
      <w:r w:rsidRPr="004964AA">
        <w:rPr>
          <w:rFonts w:ascii="Calibri" w:hAnsi="Calibri" w:cs="Calibri"/>
          <w:sz w:val="20"/>
        </w:rPr>
        <w:t xml:space="preserve"> 39–52 (1997).</w:t>
      </w:r>
    </w:p>
    <w:p w14:paraId="70AA7FB1"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21.</w:t>
      </w:r>
      <w:r w:rsidRPr="004964AA">
        <w:rPr>
          <w:rFonts w:ascii="Calibri" w:hAnsi="Calibri" w:cs="Calibri"/>
          <w:sz w:val="20"/>
        </w:rPr>
        <w:tab/>
        <w:t xml:space="preserve">Hummel, T., Kobal, G., Gudziol, H. &amp; Mackay-Sim, A. Normative data for the ‘Sniffin’’ Sticks" including tests of odor identification, odor discrimination, and olfactory thresholds: an upgrade based on a group of more than 3,000 subjects’. </w:t>
      </w:r>
      <w:r w:rsidRPr="004964AA">
        <w:rPr>
          <w:rFonts w:ascii="Calibri" w:hAnsi="Calibri" w:cs="Calibri"/>
          <w:i/>
          <w:iCs/>
          <w:sz w:val="20"/>
        </w:rPr>
        <w:t>Eur. Arch. Oto-Rhino-Laryngol. Off. J. Eur. Fed. Oto-Rhino-Laryngol. Soc. EUFOS Affil. Ger. Soc. Oto-Rhino-Laryngol. - Head Neck Surg.</w:t>
      </w:r>
      <w:r w:rsidRPr="004964AA">
        <w:rPr>
          <w:rFonts w:ascii="Calibri" w:hAnsi="Calibri" w:cs="Calibri"/>
          <w:sz w:val="20"/>
        </w:rPr>
        <w:t xml:space="preserve"> </w:t>
      </w:r>
      <w:r w:rsidRPr="004964AA">
        <w:rPr>
          <w:rFonts w:ascii="Calibri" w:hAnsi="Calibri" w:cs="Calibri"/>
          <w:b/>
          <w:bCs/>
          <w:sz w:val="20"/>
        </w:rPr>
        <w:t>264,</w:t>
      </w:r>
      <w:r w:rsidRPr="004964AA">
        <w:rPr>
          <w:rFonts w:ascii="Calibri" w:hAnsi="Calibri" w:cs="Calibri"/>
          <w:sz w:val="20"/>
        </w:rPr>
        <w:t xml:space="preserve"> 237–243 (2007).</w:t>
      </w:r>
    </w:p>
    <w:p w14:paraId="57F194BF"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22.</w:t>
      </w:r>
      <w:r w:rsidRPr="004964AA">
        <w:rPr>
          <w:rFonts w:ascii="Calibri" w:hAnsi="Calibri" w:cs="Calibri"/>
          <w:sz w:val="20"/>
        </w:rPr>
        <w:tab/>
        <w:t xml:space="preserve">Iravani, B. </w:t>
      </w:r>
      <w:r w:rsidRPr="004964AA">
        <w:rPr>
          <w:rFonts w:ascii="Calibri" w:hAnsi="Calibri" w:cs="Calibri"/>
          <w:i/>
          <w:iCs/>
          <w:sz w:val="20"/>
        </w:rPr>
        <w:t>et al.</w:t>
      </w:r>
      <w:r w:rsidRPr="004964AA">
        <w:rPr>
          <w:rFonts w:ascii="Calibri" w:hAnsi="Calibri" w:cs="Calibri"/>
          <w:sz w:val="20"/>
        </w:rPr>
        <w:t xml:space="preserve"> Relationship between odor intensity estimates and COVID-19 prevalence prediction in a Swedish population. </w:t>
      </w:r>
      <w:r w:rsidRPr="004964AA">
        <w:rPr>
          <w:rFonts w:ascii="Calibri" w:hAnsi="Calibri" w:cs="Calibri"/>
          <w:i/>
          <w:iCs/>
          <w:sz w:val="20"/>
        </w:rPr>
        <w:t>Chem. Senses</w:t>
      </w:r>
      <w:r w:rsidRPr="004964AA">
        <w:rPr>
          <w:rFonts w:ascii="Calibri" w:hAnsi="Calibri" w:cs="Calibri"/>
          <w:sz w:val="20"/>
        </w:rPr>
        <w:t xml:space="preserve"> (2020). doi:10.1093/chemse/bjaa034</w:t>
      </w:r>
    </w:p>
    <w:p w14:paraId="69E44F82"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23.</w:t>
      </w:r>
      <w:r w:rsidRPr="004964AA">
        <w:rPr>
          <w:rFonts w:ascii="Calibri" w:hAnsi="Calibri" w:cs="Calibri"/>
          <w:sz w:val="20"/>
        </w:rPr>
        <w:tab/>
        <w:t xml:space="preserve">Vennemann, M. M., Hummel, T. &amp; Berger, K. The association between smoking and smell and taste impairment in the general population. </w:t>
      </w:r>
      <w:r w:rsidRPr="004964AA">
        <w:rPr>
          <w:rFonts w:ascii="Calibri" w:hAnsi="Calibri" w:cs="Calibri"/>
          <w:i/>
          <w:iCs/>
          <w:sz w:val="20"/>
        </w:rPr>
        <w:t>J. Neurol.</w:t>
      </w:r>
      <w:r w:rsidRPr="004964AA">
        <w:rPr>
          <w:rFonts w:ascii="Calibri" w:hAnsi="Calibri" w:cs="Calibri"/>
          <w:sz w:val="20"/>
        </w:rPr>
        <w:t xml:space="preserve"> </w:t>
      </w:r>
      <w:r w:rsidRPr="004964AA">
        <w:rPr>
          <w:rFonts w:ascii="Calibri" w:hAnsi="Calibri" w:cs="Calibri"/>
          <w:b/>
          <w:bCs/>
          <w:sz w:val="20"/>
        </w:rPr>
        <w:t>255,</w:t>
      </w:r>
      <w:r w:rsidRPr="004964AA">
        <w:rPr>
          <w:rFonts w:ascii="Calibri" w:hAnsi="Calibri" w:cs="Calibri"/>
          <w:sz w:val="20"/>
        </w:rPr>
        <w:t xml:space="preserve"> 1121–1126 (2008).</w:t>
      </w:r>
    </w:p>
    <w:p w14:paraId="76CB0C2F"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24.</w:t>
      </w:r>
      <w:r w:rsidRPr="004964AA">
        <w:rPr>
          <w:rFonts w:ascii="Calibri" w:hAnsi="Calibri" w:cs="Calibri"/>
          <w:sz w:val="20"/>
        </w:rPr>
        <w:tab/>
        <w:t xml:space="preserve">Hummel, T., Hummel, C. &amp; Welge-Luessen, A. </w:t>
      </w:r>
      <w:r w:rsidRPr="004964AA">
        <w:rPr>
          <w:rFonts w:ascii="Calibri" w:hAnsi="Calibri" w:cs="Calibri"/>
          <w:i/>
          <w:iCs/>
          <w:sz w:val="20"/>
        </w:rPr>
        <w:t>Assessment of olfaction and gustation. Management of smell and taste disorders: a practical guide for clinicians</w:t>
      </w:r>
      <w:r w:rsidRPr="004964AA">
        <w:rPr>
          <w:rFonts w:ascii="Calibri" w:hAnsi="Calibri" w:cs="Calibri"/>
          <w:sz w:val="20"/>
        </w:rPr>
        <w:t>. (Thieme, 2013).</w:t>
      </w:r>
    </w:p>
    <w:p w14:paraId="669F5EB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25.</w:t>
      </w:r>
      <w:r w:rsidRPr="004964AA">
        <w:rPr>
          <w:rFonts w:ascii="Calibri" w:hAnsi="Calibri" w:cs="Calibri"/>
          <w:sz w:val="20"/>
        </w:rPr>
        <w:tab/>
        <w:t xml:space="preserve">Ivarsdottir, E. V. </w:t>
      </w:r>
      <w:r w:rsidRPr="004964AA">
        <w:rPr>
          <w:rFonts w:ascii="Calibri" w:hAnsi="Calibri" w:cs="Calibri"/>
          <w:i/>
          <w:iCs/>
          <w:sz w:val="20"/>
        </w:rPr>
        <w:t>et al.</w:t>
      </w:r>
      <w:r w:rsidRPr="004964AA">
        <w:rPr>
          <w:rFonts w:ascii="Calibri" w:hAnsi="Calibri" w:cs="Calibri"/>
          <w:sz w:val="20"/>
        </w:rPr>
        <w:t xml:space="preserve"> The genetic architecture of age-related hearing impairment revealed by genome-wide association analysis. </w:t>
      </w:r>
      <w:r w:rsidRPr="004964AA">
        <w:rPr>
          <w:rFonts w:ascii="Calibri" w:hAnsi="Calibri" w:cs="Calibri"/>
          <w:i/>
          <w:iCs/>
          <w:sz w:val="20"/>
        </w:rPr>
        <w:t>Commun. Biol.</w:t>
      </w:r>
      <w:r w:rsidRPr="004964AA">
        <w:rPr>
          <w:rFonts w:ascii="Calibri" w:hAnsi="Calibri" w:cs="Calibri"/>
          <w:sz w:val="20"/>
        </w:rPr>
        <w:t xml:space="preserve"> </w:t>
      </w:r>
      <w:r w:rsidRPr="004964AA">
        <w:rPr>
          <w:rFonts w:ascii="Calibri" w:hAnsi="Calibri" w:cs="Calibri"/>
          <w:b/>
          <w:bCs/>
          <w:sz w:val="20"/>
        </w:rPr>
        <w:t>4,</w:t>
      </w:r>
      <w:r w:rsidRPr="004964AA">
        <w:rPr>
          <w:rFonts w:ascii="Calibri" w:hAnsi="Calibri" w:cs="Calibri"/>
          <w:sz w:val="20"/>
        </w:rPr>
        <w:t xml:space="preserve"> (2021).</w:t>
      </w:r>
    </w:p>
    <w:p w14:paraId="0B022F49"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26.</w:t>
      </w:r>
      <w:r w:rsidRPr="004964AA">
        <w:rPr>
          <w:rFonts w:ascii="Calibri" w:hAnsi="Calibri" w:cs="Calibri"/>
          <w:sz w:val="20"/>
        </w:rPr>
        <w:tab/>
        <w:t>Mathers, C., Smith, A. &amp; Concha, M. Global burden of hearing loss in the year 2000. World Heal. Organ. 1–30 (2000). (2000).</w:t>
      </w:r>
    </w:p>
    <w:p w14:paraId="6DDCC6F4"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lastRenderedPageBreak/>
        <w:t>27.</w:t>
      </w:r>
      <w:r w:rsidRPr="004964AA">
        <w:rPr>
          <w:rFonts w:ascii="Calibri" w:hAnsi="Calibri" w:cs="Calibri"/>
          <w:sz w:val="20"/>
        </w:rPr>
        <w:tab/>
        <w:t xml:space="preserve">Graham, B. L. </w:t>
      </w:r>
      <w:r w:rsidRPr="004964AA">
        <w:rPr>
          <w:rFonts w:ascii="Calibri" w:hAnsi="Calibri" w:cs="Calibri"/>
          <w:i/>
          <w:iCs/>
          <w:sz w:val="20"/>
        </w:rPr>
        <w:t>et al.</w:t>
      </w:r>
      <w:r w:rsidRPr="004964AA">
        <w:rPr>
          <w:rFonts w:ascii="Calibri" w:hAnsi="Calibri" w:cs="Calibri"/>
          <w:sz w:val="20"/>
        </w:rPr>
        <w:t xml:space="preserve"> Standardization of Spirometry 2019 Update. An Official American Thoracic Society and European Respiratory Society Technical Statement. </w:t>
      </w:r>
      <w:r w:rsidRPr="004964AA">
        <w:rPr>
          <w:rFonts w:ascii="Calibri" w:hAnsi="Calibri" w:cs="Calibri"/>
          <w:i/>
          <w:iCs/>
          <w:sz w:val="20"/>
        </w:rPr>
        <w:t>Am. J. Respir. Crit. Care Med.</w:t>
      </w:r>
      <w:r w:rsidRPr="004964AA">
        <w:rPr>
          <w:rFonts w:ascii="Calibri" w:hAnsi="Calibri" w:cs="Calibri"/>
          <w:sz w:val="20"/>
        </w:rPr>
        <w:t xml:space="preserve"> </w:t>
      </w:r>
      <w:r w:rsidRPr="004964AA">
        <w:rPr>
          <w:rFonts w:ascii="Calibri" w:hAnsi="Calibri" w:cs="Calibri"/>
          <w:b/>
          <w:bCs/>
          <w:sz w:val="20"/>
        </w:rPr>
        <w:t>200,</w:t>
      </w:r>
      <w:r w:rsidRPr="004964AA">
        <w:rPr>
          <w:rFonts w:ascii="Calibri" w:hAnsi="Calibri" w:cs="Calibri"/>
          <w:sz w:val="20"/>
        </w:rPr>
        <w:t xml:space="preserve"> e70–e88 (2019).</w:t>
      </w:r>
    </w:p>
    <w:p w14:paraId="49C96AC3"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28.</w:t>
      </w:r>
      <w:r w:rsidRPr="004964AA">
        <w:rPr>
          <w:rFonts w:ascii="Calibri" w:hAnsi="Calibri" w:cs="Calibri"/>
          <w:sz w:val="20"/>
        </w:rPr>
        <w:tab/>
        <w:t xml:space="preserve">Balady, G. J. </w:t>
      </w:r>
      <w:r w:rsidRPr="004964AA">
        <w:rPr>
          <w:rFonts w:ascii="Calibri" w:hAnsi="Calibri" w:cs="Calibri"/>
          <w:i/>
          <w:iCs/>
          <w:sz w:val="20"/>
        </w:rPr>
        <w:t>et al.</w:t>
      </w:r>
      <w:r w:rsidRPr="004964AA">
        <w:rPr>
          <w:rFonts w:ascii="Calibri" w:hAnsi="Calibri" w:cs="Calibri"/>
          <w:sz w:val="20"/>
        </w:rPr>
        <w:t xml:space="preserve"> Clinician’s Guide to cardiopulmonary exercise testing in adults: a scientific statement from the American Heart Association. </w:t>
      </w:r>
      <w:r w:rsidRPr="004964AA">
        <w:rPr>
          <w:rFonts w:ascii="Calibri" w:hAnsi="Calibri" w:cs="Calibri"/>
          <w:i/>
          <w:iCs/>
          <w:sz w:val="20"/>
        </w:rPr>
        <w:t>Circulation</w:t>
      </w:r>
      <w:r w:rsidRPr="004964AA">
        <w:rPr>
          <w:rFonts w:ascii="Calibri" w:hAnsi="Calibri" w:cs="Calibri"/>
          <w:sz w:val="20"/>
        </w:rPr>
        <w:t xml:space="preserve"> </w:t>
      </w:r>
      <w:r w:rsidRPr="004964AA">
        <w:rPr>
          <w:rFonts w:ascii="Calibri" w:hAnsi="Calibri" w:cs="Calibri"/>
          <w:b/>
          <w:bCs/>
          <w:sz w:val="20"/>
        </w:rPr>
        <w:t>122,</w:t>
      </w:r>
      <w:r w:rsidRPr="004964AA">
        <w:rPr>
          <w:rFonts w:ascii="Calibri" w:hAnsi="Calibri" w:cs="Calibri"/>
          <w:sz w:val="20"/>
        </w:rPr>
        <w:t xml:space="preserve"> 191–225 (2010).</w:t>
      </w:r>
    </w:p>
    <w:p w14:paraId="4F1198E0"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29.</w:t>
      </w:r>
      <w:r w:rsidRPr="004964AA">
        <w:rPr>
          <w:rFonts w:ascii="Calibri" w:hAnsi="Calibri" w:cs="Calibri"/>
          <w:sz w:val="20"/>
        </w:rPr>
        <w:tab/>
        <w:t xml:space="preserve">Mezzani, A. </w:t>
      </w:r>
      <w:r w:rsidRPr="004964AA">
        <w:rPr>
          <w:rFonts w:ascii="Calibri" w:hAnsi="Calibri" w:cs="Calibri"/>
          <w:i/>
          <w:iCs/>
          <w:sz w:val="20"/>
        </w:rPr>
        <w:t>et al.</w:t>
      </w:r>
      <w:r w:rsidRPr="004964AA">
        <w:rPr>
          <w:rFonts w:ascii="Calibri" w:hAnsi="Calibri" w:cs="Calibri"/>
          <w:sz w:val="20"/>
        </w:rPr>
        <w:t xml:space="preserve"> Standards for the use of cardiopulmonary exercise testing for the functional evaluation of cardiac patients: a report from the Exercise Physiology Section of the European Association for Cardiovascular Prevention and Rehabilitation. </w:t>
      </w:r>
      <w:r w:rsidRPr="004964AA">
        <w:rPr>
          <w:rFonts w:ascii="Calibri" w:hAnsi="Calibri" w:cs="Calibri"/>
          <w:i/>
          <w:iCs/>
          <w:sz w:val="20"/>
        </w:rPr>
        <w:t>Eur. J. Cardiovasc. Prev. Rehabil. Off. J. Eur. Soc. Cardiol. Work. Groups Epidemiol. Prev. Card. Rehabil. Exerc. Physiol.</w:t>
      </w:r>
      <w:r w:rsidRPr="004964AA">
        <w:rPr>
          <w:rFonts w:ascii="Calibri" w:hAnsi="Calibri" w:cs="Calibri"/>
          <w:sz w:val="20"/>
        </w:rPr>
        <w:t xml:space="preserve"> </w:t>
      </w:r>
      <w:r w:rsidRPr="004964AA">
        <w:rPr>
          <w:rFonts w:ascii="Calibri" w:hAnsi="Calibri" w:cs="Calibri"/>
          <w:b/>
          <w:bCs/>
          <w:sz w:val="20"/>
        </w:rPr>
        <w:t>16,</w:t>
      </w:r>
      <w:r w:rsidRPr="004964AA">
        <w:rPr>
          <w:rFonts w:ascii="Calibri" w:hAnsi="Calibri" w:cs="Calibri"/>
          <w:sz w:val="20"/>
        </w:rPr>
        <w:t xml:space="preserve"> 249–267 (2009).</w:t>
      </w:r>
    </w:p>
    <w:p w14:paraId="7122A1A3"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30.</w:t>
      </w:r>
      <w:r w:rsidRPr="004964AA">
        <w:rPr>
          <w:rFonts w:ascii="Calibri" w:hAnsi="Calibri" w:cs="Calibri"/>
          <w:sz w:val="20"/>
        </w:rPr>
        <w:tab/>
        <w:t xml:space="preserve">Wasserman, K., Hansen, J., Sue, D., Whipp, B. &amp; Casaburi, R. </w:t>
      </w:r>
      <w:r w:rsidRPr="004964AA">
        <w:rPr>
          <w:rFonts w:ascii="Calibri" w:hAnsi="Calibri" w:cs="Calibri"/>
          <w:i/>
          <w:iCs/>
          <w:sz w:val="20"/>
        </w:rPr>
        <w:t>Principles of exercise testing and interpretation</w:t>
      </w:r>
      <w:r w:rsidRPr="004964AA">
        <w:rPr>
          <w:rFonts w:ascii="Calibri" w:hAnsi="Calibri" w:cs="Calibri"/>
          <w:sz w:val="20"/>
        </w:rPr>
        <w:t>. (Lippincott Williams and Wilkins, 2004).</w:t>
      </w:r>
    </w:p>
    <w:p w14:paraId="589FE95E"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31.</w:t>
      </w:r>
      <w:r w:rsidRPr="004964AA">
        <w:rPr>
          <w:rFonts w:ascii="Calibri" w:hAnsi="Calibri" w:cs="Calibri"/>
          <w:sz w:val="20"/>
        </w:rPr>
        <w:tab/>
        <w:t xml:space="preserve">Ebaid, D., Crewther, S. G., MacCalman, K., Brown, A. &amp; Crewther, D. P. Cognitive Processing Speed across the Lifespan: Beyond the Influence of Motor Speed. </w:t>
      </w:r>
      <w:r w:rsidRPr="004964AA">
        <w:rPr>
          <w:rFonts w:ascii="Calibri" w:hAnsi="Calibri" w:cs="Calibri"/>
          <w:i/>
          <w:iCs/>
          <w:sz w:val="20"/>
        </w:rPr>
        <w:t>Front. Aging Neurosci.</w:t>
      </w:r>
      <w:r w:rsidRPr="004964AA">
        <w:rPr>
          <w:rFonts w:ascii="Calibri" w:hAnsi="Calibri" w:cs="Calibri"/>
          <w:sz w:val="20"/>
        </w:rPr>
        <w:t xml:space="preserve"> </w:t>
      </w:r>
      <w:r w:rsidRPr="004964AA">
        <w:rPr>
          <w:rFonts w:ascii="Calibri" w:hAnsi="Calibri" w:cs="Calibri"/>
          <w:b/>
          <w:bCs/>
          <w:sz w:val="20"/>
        </w:rPr>
        <w:t>9,</w:t>
      </w:r>
      <w:r w:rsidRPr="004964AA">
        <w:rPr>
          <w:rFonts w:ascii="Calibri" w:hAnsi="Calibri" w:cs="Calibri"/>
          <w:sz w:val="20"/>
        </w:rPr>
        <w:t xml:space="preserve"> 62 (2017).</w:t>
      </w:r>
    </w:p>
    <w:p w14:paraId="09C89E6F"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32.</w:t>
      </w:r>
      <w:r w:rsidRPr="004964AA">
        <w:rPr>
          <w:rFonts w:ascii="Calibri" w:hAnsi="Calibri" w:cs="Calibri"/>
          <w:sz w:val="20"/>
        </w:rPr>
        <w:tab/>
        <w:t xml:space="preserve">Stefansson, H. </w:t>
      </w:r>
      <w:r w:rsidRPr="004964AA">
        <w:rPr>
          <w:rFonts w:ascii="Calibri" w:hAnsi="Calibri" w:cs="Calibri"/>
          <w:i/>
          <w:iCs/>
          <w:sz w:val="20"/>
        </w:rPr>
        <w:t>et al.</w:t>
      </w:r>
      <w:r w:rsidRPr="004964AA">
        <w:rPr>
          <w:rFonts w:ascii="Calibri" w:hAnsi="Calibri" w:cs="Calibri"/>
          <w:sz w:val="20"/>
        </w:rPr>
        <w:t xml:space="preserve"> CNVs conferring risk of autism or schizophrenia affect cognition in controls. </w:t>
      </w:r>
      <w:r w:rsidRPr="004964AA">
        <w:rPr>
          <w:rFonts w:ascii="Calibri" w:hAnsi="Calibri" w:cs="Calibri"/>
          <w:i/>
          <w:iCs/>
          <w:sz w:val="20"/>
        </w:rPr>
        <w:t>Nature</w:t>
      </w:r>
      <w:r w:rsidRPr="004964AA">
        <w:rPr>
          <w:rFonts w:ascii="Calibri" w:hAnsi="Calibri" w:cs="Calibri"/>
          <w:sz w:val="20"/>
        </w:rPr>
        <w:t xml:space="preserve"> </w:t>
      </w:r>
      <w:r w:rsidRPr="004964AA">
        <w:rPr>
          <w:rFonts w:ascii="Calibri" w:hAnsi="Calibri" w:cs="Calibri"/>
          <w:b/>
          <w:bCs/>
          <w:sz w:val="20"/>
        </w:rPr>
        <w:t>505,</w:t>
      </w:r>
      <w:r w:rsidRPr="004964AA">
        <w:rPr>
          <w:rFonts w:ascii="Calibri" w:hAnsi="Calibri" w:cs="Calibri"/>
          <w:sz w:val="20"/>
        </w:rPr>
        <w:t xml:space="preserve"> 361–366 (2014).</w:t>
      </w:r>
    </w:p>
    <w:p w14:paraId="7072AF49"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33.</w:t>
      </w:r>
      <w:r w:rsidRPr="004964AA">
        <w:rPr>
          <w:rFonts w:ascii="Calibri" w:hAnsi="Calibri" w:cs="Calibri"/>
          <w:sz w:val="20"/>
        </w:rPr>
        <w:tab/>
        <w:t xml:space="preserve">Ruff, R. M., Light, R. H., Parker, S. B. &amp; Levin, H. S. Benton Controlled Oral Word Association Test: reliability and updated norms. </w:t>
      </w:r>
      <w:r w:rsidRPr="004964AA">
        <w:rPr>
          <w:rFonts w:ascii="Calibri" w:hAnsi="Calibri" w:cs="Calibri"/>
          <w:i/>
          <w:iCs/>
          <w:sz w:val="20"/>
        </w:rPr>
        <w:t>Arch. Clin. Neuropsychol. Off. J. Natl. Acad. Neuropsychol.</w:t>
      </w:r>
      <w:r w:rsidRPr="004964AA">
        <w:rPr>
          <w:rFonts w:ascii="Calibri" w:hAnsi="Calibri" w:cs="Calibri"/>
          <w:sz w:val="20"/>
        </w:rPr>
        <w:t xml:space="preserve"> </w:t>
      </w:r>
      <w:r w:rsidRPr="004964AA">
        <w:rPr>
          <w:rFonts w:ascii="Calibri" w:hAnsi="Calibri" w:cs="Calibri"/>
          <w:b/>
          <w:bCs/>
          <w:sz w:val="20"/>
        </w:rPr>
        <w:t>11,</w:t>
      </w:r>
      <w:r w:rsidRPr="004964AA">
        <w:rPr>
          <w:rFonts w:ascii="Calibri" w:hAnsi="Calibri" w:cs="Calibri"/>
          <w:sz w:val="20"/>
        </w:rPr>
        <w:t xml:space="preserve"> 329–338 (1996).</w:t>
      </w:r>
    </w:p>
    <w:p w14:paraId="7ABB6EBD"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34.</w:t>
      </w:r>
      <w:r w:rsidRPr="004964AA">
        <w:rPr>
          <w:rFonts w:ascii="Calibri" w:hAnsi="Calibri" w:cs="Calibri"/>
          <w:sz w:val="20"/>
        </w:rPr>
        <w:tab/>
        <w:t xml:space="preserve">Morris, J. C. </w:t>
      </w:r>
      <w:r w:rsidRPr="004964AA">
        <w:rPr>
          <w:rFonts w:ascii="Calibri" w:hAnsi="Calibri" w:cs="Calibri"/>
          <w:i/>
          <w:iCs/>
          <w:sz w:val="20"/>
        </w:rPr>
        <w:t>et al.</w:t>
      </w:r>
      <w:r w:rsidRPr="004964AA">
        <w:rPr>
          <w:rFonts w:ascii="Calibri" w:hAnsi="Calibri" w:cs="Calibri"/>
          <w:sz w:val="20"/>
        </w:rPr>
        <w:t xml:space="preserve"> The Consortium to Establish a Registry for Alzheimer’s Disease (CERAD). Part I. Clinical and neuropsychological assessment of Alzheimer’s disease. </w:t>
      </w:r>
      <w:r w:rsidRPr="004964AA">
        <w:rPr>
          <w:rFonts w:ascii="Calibri" w:hAnsi="Calibri" w:cs="Calibri"/>
          <w:i/>
          <w:iCs/>
          <w:sz w:val="20"/>
        </w:rPr>
        <w:t>Neurology</w:t>
      </w:r>
      <w:r w:rsidRPr="004964AA">
        <w:rPr>
          <w:rFonts w:ascii="Calibri" w:hAnsi="Calibri" w:cs="Calibri"/>
          <w:sz w:val="20"/>
        </w:rPr>
        <w:t xml:space="preserve"> </w:t>
      </w:r>
      <w:r w:rsidRPr="004964AA">
        <w:rPr>
          <w:rFonts w:ascii="Calibri" w:hAnsi="Calibri" w:cs="Calibri"/>
          <w:b/>
          <w:bCs/>
          <w:sz w:val="20"/>
        </w:rPr>
        <w:t>39,</w:t>
      </w:r>
      <w:r w:rsidRPr="004964AA">
        <w:rPr>
          <w:rFonts w:ascii="Calibri" w:hAnsi="Calibri" w:cs="Calibri"/>
          <w:sz w:val="20"/>
        </w:rPr>
        <w:t xml:space="preserve"> 1159–1165 (1989).</w:t>
      </w:r>
    </w:p>
    <w:p w14:paraId="0394462B"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35.</w:t>
      </w:r>
      <w:r w:rsidRPr="004964AA">
        <w:rPr>
          <w:rFonts w:ascii="Calibri" w:hAnsi="Calibri" w:cs="Calibri"/>
          <w:sz w:val="20"/>
        </w:rPr>
        <w:tab/>
        <w:t xml:space="preserve">Bell, B. D. WMS-III Logical Memory performance after a two-week delay in temporal lobe epilepsy and control groups. </w:t>
      </w:r>
      <w:r w:rsidRPr="004964AA">
        <w:rPr>
          <w:rFonts w:ascii="Calibri" w:hAnsi="Calibri" w:cs="Calibri"/>
          <w:i/>
          <w:iCs/>
          <w:sz w:val="20"/>
        </w:rPr>
        <w:t>J. Clin. Exp. Neuropsychol.</w:t>
      </w:r>
      <w:r w:rsidRPr="004964AA">
        <w:rPr>
          <w:rFonts w:ascii="Calibri" w:hAnsi="Calibri" w:cs="Calibri"/>
          <w:sz w:val="20"/>
        </w:rPr>
        <w:t xml:space="preserve"> </w:t>
      </w:r>
      <w:r w:rsidRPr="004964AA">
        <w:rPr>
          <w:rFonts w:ascii="Calibri" w:hAnsi="Calibri" w:cs="Calibri"/>
          <w:b/>
          <w:bCs/>
          <w:sz w:val="20"/>
        </w:rPr>
        <w:t>28,</w:t>
      </w:r>
      <w:r w:rsidRPr="004964AA">
        <w:rPr>
          <w:rFonts w:ascii="Calibri" w:hAnsi="Calibri" w:cs="Calibri"/>
          <w:sz w:val="20"/>
        </w:rPr>
        <w:t xml:space="preserve"> 1435–1443 (2006).</w:t>
      </w:r>
    </w:p>
    <w:p w14:paraId="6A549CAF"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36.</w:t>
      </w:r>
      <w:r w:rsidRPr="004964AA">
        <w:rPr>
          <w:rFonts w:ascii="Calibri" w:hAnsi="Calibri" w:cs="Calibri"/>
          <w:sz w:val="20"/>
        </w:rPr>
        <w:tab/>
        <w:t xml:space="preserve">Owen, A. M., Downes, J. J., Sahakian, B. J., Polkey, C. E. &amp; Robbins, T. W. Planning and spatial working memory following frontal lobe lesions in man. </w:t>
      </w:r>
      <w:r w:rsidRPr="004964AA">
        <w:rPr>
          <w:rFonts w:ascii="Calibri" w:hAnsi="Calibri" w:cs="Calibri"/>
          <w:i/>
          <w:iCs/>
          <w:sz w:val="20"/>
        </w:rPr>
        <w:t>Neuropsychologia</w:t>
      </w:r>
      <w:r w:rsidRPr="004964AA">
        <w:rPr>
          <w:rFonts w:ascii="Calibri" w:hAnsi="Calibri" w:cs="Calibri"/>
          <w:sz w:val="20"/>
        </w:rPr>
        <w:t xml:space="preserve"> </w:t>
      </w:r>
      <w:r w:rsidRPr="004964AA">
        <w:rPr>
          <w:rFonts w:ascii="Calibri" w:hAnsi="Calibri" w:cs="Calibri"/>
          <w:b/>
          <w:bCs/>
          <w:sz w:val="20"/>
        </w:rPr>
        <w:t>28,</w:t>
      </w:r>
      <w:r w:rsidRPr="004964AA">
        <w:rPr>
          <w:rFonts w:ascii="Calibri" w:hAnsi="Calibri" w:cs="Calibri"/>
          <w:sz w:val="20"/>
        </w:rPr>
        <w:t xml:space="preserve"> 1021–1034 (1990).</w:t>
      </w:r>
    </w:p>
    <w:p w14:paraId="4B0BE733"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37.</w:t>
      </w:r>
      <w:r w:rsidRPr="004964AA">
        <w:rPr>
          <w:rFonts w:ascii="Calibri" w:hAnsi="Calibri" w:cs="Calibri"/>
          <w:sz w:val="20"/>
        </w:rPr>
        <w:tab/>
        <w:t>Reitan, R. M. Validity of the trail making test as an indicator of organic brain damage. 271–276 (1958).</w:t>
      </w:r>
    </w:p>
    <w:p w14:paraId="22B17282"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38.</w:t>
      </w:r>
      <w:r w:rsidRPr="004964AA">
        <w:rPr>
          <w:rFonts w:ascii="Calibri" w:hAnsi="Calibri" w:cs="Calibri"/>
          <w:sz w:val="20"/>
        </w:rPr>
        <w:tab/>
        <w:t xml:space="preserve">Wechsler. </w:t>
      </w:r>
      <w:r w:rsidRPr="004964AA">
        <w:rPr>
          <w:rFonts w:ascii="Calibri" w:hAnsi="Calibri" w:cs="Calibri"/>
          <w:i/>
          <w:iCs/>
          <w:sz w:val="20"/>
        </w:rPr>
        <w:t>Wechsler Abbreviated Scale of Intelligence (WASI) Manual. Psychological Corporation.</w:t>
      </w:r>
      <w:r w:rsidRPr="004964AA">
        <w:rPr>
          <w:rFonts w:ascii="Calibri" w:hAnsi="Calibri" w:cs="Calibri"/>
          <w:sz w:val="20"/>
        </w:rPr>
        <w:t xml:space="preserve"> (1999).</w:t>
      </w:r>
    </w:p>
    <w:p w14:paraId="0C82BD0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39.</w:t>
      </w:r>
      <w:r w:rsidRPr="004964AA">
        <w:rPr>
          <w:rFonts w:ascii="Calibri" w:hAnsi="Calibri" w:cs="Calibri"/>
          <w:sz w:val="20"/>
        </w:rPr>
        <w:tab/>
        <w:t xml:space="preserve">Gudmundsson, E. Mat á greind fullorðinna: WASI-IS [The Assessment of Intelligence in Adults: WASI-IS]. </w:t>
      </w:r>
      <w:r w:rsidRPr="004964AA">
        <w:rPr>
          <w:rFonts w:ascii="Calibri" w:hAnsi="Calibri" w:cs="Calibri"/>
          <w:i/>
          <w:iCs/>
          <w:sz w:val="20"/>
        </w:rPr>
        <w:t>Menntamalastofnun</w:t>
      </w:r>
      <w:r w:rsidRPr="004964AA">
        <w:rPr>
          <w:rFonts w:ascii="Calibri" w:hAnsi="Calibri" w:cs="Calibri"/>
          <w:sz w:val="20"/>
        </w:rPr>
        <w:t xml:space="preserve"> (2015).</w:t>
      </w:r>
    </w:p>
    <w:p w14:paraId="0E9B2458"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40.</w:t>
      </w:r>
      <w:r w:rsidRPr="004964AA">
        <w:rPr>
          <w:rFonts w:ascii="Calibri" w:hAnsi="Calibri" w:cs="Calibri"/>
          <w:sz w:val="20"/>
        </w:rPr>
        <w:tab/>
        <w:t xml:space="preserve">Orphanidou, C. </w:t>
      </w:r>
      <w:r w:rsidRPr="004964AA">
        <w:rPr>
          <w:rFonts w:ascii="Calibri" w:hAnsi="Calibri" w:cs="Calibri"/>
          <w:i/>
          <w:iCs/>
          <w:sz w:val="20"/>
        </w:rPr>
        <w:t>et al.</w:t>
      </w:r>
      <w:r w:rsidRPr="004964AA">
        <w:rPr>
          <w:rFonts w:ascii="Calibri" w:hAnsi="Calibri" w:cs="Calibri"/>
          <w:sz w:val="20"/>
        </w:rPr>
        <w:t xml:space="preserve"> Signal-quality indices for the electrocardiogram and photoplethysmogram: derivation and applications to wireless monitoring. </w:t>
      </w:r>
      <w:r w:rsidRPr="004964AA">
        <w:rPr>
          <w:rFonts w:ascii="Calibri" w:hAnsi="Calibri" w:cs="Calibri"/>
          <w:i/>
          <w:iCs/>
          <w:sz w:val="20"/>
        </w:rPr>
        <w:t>IEEE J. Biomed. Health Inform.</w:t>
      </w:r>
      <w:r w:rsidRPr="004964AA">
        <w:rPr>
          <w:rFonts w:ascii="Calibri" w:hAnsi="Calibri" w:cs="Calibri"/>
          <w:sz w:val="20"/>
        </w:rPr>
        <w:t xml:space="preserve"> </w:t>
      </w:r>
      <w:r w:rsidRPr="004964AA">
        <w:rPr>
          <w:rFonts w:ascii="Calibri" w:hAnsi="Calibri" w:cs="Calibri"/>
          <w:b/>
          <w:bCs/>
          <w:sz w:val="20"/>
        </w:rPr>
        <w:t>19,</w:t>
      </w:r>
      <w:r w:rsidRPr="004964AA">
        <w:rPr>
          <w:rFonts w:ascii="Calibri" w:hAnsi="Calibri" w:cs="Calibri"/>
          <w:sz w:val="20"/>
        </w:rPr>
        <w:t xml:space="preserve"> 832–838 (2015).</w:t>
      </w:r>
    </w:p>
    <w:p w14:paraId="70CDF32C"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lastRenderedPageBreak/>
        <w:t>41.</w:t>
      </w:r>
      <w:r w:rsidRPr="004964AA">
        <w:rPr>
          <w:rFonts w:ascii="Calibri" w:hAnsi="Calibri" w:cs="Calibri"/>
          <w:sz w:val="20"/>
        </w:rPr>
        <w:tab/>
        <w:t xml:space="preserve">Gudbjartsson, D. F. </w:t>
      </w:r>
      <w:r w:rsidRPr="004964AA">
        <w:rPr>
          <w:rFonts w:ascii="Calibri" w:hAnsi="Calibri" w:cs="Calibri"/>
          <w:i/>
          <w:iCs/>
          <w:sz w:val="20"/>
        </w:rPr>
        <w:t>et al.</w:t>
      </w:r>
      <w:r w:rsidRPr="004964AA">
        <w:rPr>
          <w:rFonts w:ascii="Calibri" w:hAnsi="Calibri" w:cs="Calibri"/>
          <w:sz w:val="20"/>
        </w:rPr>
        <w:t xml:space="preserve"> Humoral Immune Response to SARS-CoV-2 in Iceland. </w:t>
      </w:r>
      <w:r w:rsidRPr="004964AA">
        <w:rPr>
          <w:rFonts w:ascii="Calibri" w:hAnsi="Calibri" w:cs="Calibri"/>
          <w:i/>
          <w:iCs/>
          <w:sz w:val="20"/>
        </w:rPr>
        <w:t>N. Engl. J. Med.</w:t>
      </w:r>
      <w:r w:rsidRPr="004964AA">
        <w:rPr>
          <w:rFonts w:ascii="Calibri" w:hAnsi="Calibri" w:cs="Calibri"/>
          <w:sz w:val="20"/>
        </w:rPr>
        <w:t xml:space="preserve"> </w:t>
      </w:r>
      <w:r w:rsidRPr="004964AA">
        <w:rPr>
          <w:rFonts w:ascii="Calibri" w:hAnsi="Calibri" w:cs="Calibri"/>
          <w:b/>
          <w:bCs/>
          <w:sz w:val="20"/>
        </w:rPr>
        <w:t>383,</w:t>
      </w:r>
      <w:r w:rsidRPr="004964AA">
        <w:rPr>
          <w:rFonts w:ascii="Calibri" w:hAnsi="Calibri" w:cs="Calibri"/>
          <w:sz w:val="20"/>
        </w:rPr>
        <w:t xml:space="preserve"> 1724–1734 (2020).</w:t>
      </w:r>
    </w:p>
    <w:p w14:paraId="27F6C976"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42.</w:t>
      </w:r>
      <w:r w:rsidRPr="004964AA">
        <w:rPr>
          <w:rFonts w:ascii="Calibri" w:hAnsi="Calibri" w:cs="Calibri"/>
          <w:sz w:val="20"/>
        </w:rPr>
        <w:tab/>
        <w:t xml:space="preserve">Olafsdottir, T. A. </w:t>
      </w:r>
      <w:r w:rsidRPr="004964AA">
        <w:rPr>
          <w:rFonts w:ascii="Calibri" w:hAnsi="Calibri" w:cs="Calibri"/>
          <w:i/>
          <w:iCs/>
          <w:sz w:val="20"/>
        </w:rPr>
        <w:t>et al.</w:t>
      </w:r>
      <w:r w:rsidRPr="004964AA">
        <w:rPr>
          <w:rFonts w:ascii="Calibri" w:hAnsi="Calibri" w:cs="Calibri"/>
          <w:sz w:val="20"/>
        </w:rPr>
        <w:t xml:space="preserve"> Eighty-eight variants highlight the role of T cell regulation and airway remodeling in asthma pathogenesis. </w:t>
      </w:r>
      <w:r w:rsidRPr="004964AA">
        <w:rPr>
          <w:rFonts w:ascii="Calibri" w:hAnsi="Calibri" w:cs="Calibri"/>
          <w:i/>
          <w:iCs/>
          <w:sz w:val="20"/>
        </w:rPr>
        <w:t>Nat. Commun.</w:t>
      </w:r>
      <w:r w:rsidRPr="004964AA">
        <w:rPr>
          <w:rFonts w:ascii="Calibri" w:hAnsi="Calibri" w:cs="Calibri"/>
          <w:sz w:val="20"/>
        </w:rPr>
        <w:t xml:space="preserve"> </w:t>
      </w:r>
      <w:r w:rsidRPr="004964AA">
        <w:rPr>
          <w:rFonts w:ascii="Calibri" w:hAnsi="Calibri" w:cs="Calibri"/>
          <w:b/>
          <w:bCs/>
          <w:sz w:val="20"/>
        </w:rPr>
        <w:t>11,</w:t>
      </w:r>
      <w:r w:rsidRPr="004964AA">
        <w:rPr>
          <w:rFonts w:ascii="Calibri" w:hAnsi="Calibri" w:cs="Calibri"/>
          <w:sz w:val="20"/>
        </w:rPr>
        <w:t xml:space="preserve"> 393 (2020).</w:t>
      </w:r>
    </w:p>
    <w:p w14:paraId="419B6BB0"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43.</w:t>
      </w:r>
      <w:r w:rsidRPr="004964AA">
        <w:rPr>
          <w:rFonts w:ascii="Calibri" w:hAnsi="Calibri" w:cs="Calibri"/>
          <w:sz w:val="20"/>
        </w:rPr>
        <w:tab/>
        <w:t xml:space="preserve">Sigurdardottir, L. G. </w:t>
      </w:r>
      <w:r w:rsidRPr="004964AA">
        <w:rPr>
          <w:rFonts w:ascii="Calibri" w:hAnsi="Calibri" w:cs="Calibri"/>
          <w:i/>
          <w:iCs/>
          <w:sz w:val="20"/>
        </w:rPr>
        <w:t>et al.</w:t>
      </w:r>
      <w:r w:rsidRPr="004964AA">
        <w:rPr>
          <w:rFonts w:ascii="Calibri" w:hAnsi="Calibri" w:cs="Calibri"/>
          <w:sz w:val="20"/>
        </w:rPr>
        <w:t xml:space="preserve"> Data quality at the Icelandic Cancer Registry: comparability, validity, timeliness and completeness. </w:t>
      </w:r>
      <w:r w:rsidRPr="004964AA">
        <w:rPr>
          <w:rFonts w:ascii="Calibri" w:hAnsi="Calibri" w:cs="Calibri"/>
          <w:i/>
          <w:iCs/>
          <w:sz w:val="20"/>
        </w:rPr>
        <w:t>Acta Oncol. Stockh. Swed.</w:t>
      </w:r>
      <w:r w:rsidRPr="004964AA">
        <w:rPr>
          <w:rFonts w:ascii="Calibri" w:hAnsi="Calibri" w:cs="Calibri"/>
          <w:sz w:val="20"/>
        </w:rPr>
        <w:t xml:space="preserve"> </w:t>
      </w:r>
      <w:r w:rsidRPr="004964AA">
        <w:rPr>
          <w:rFonts w:ascii="Calibri" w:hAnsi="Calibri" w:cs="Calibri"/>
          <w:b/>
          <w:bCs/>
          <w:sz w:val="20"/>
        </w:rPr>
        <w:t>51,</w:t>
      </w:r>
      <w:r w:rsidRPr="004964AA">
        <w:rPr>
          <w:rFonts w:ascii="Calibri" w:hAnsi="Calibri" w:cs="Calibri"/>
          <w:sz w:val="20"/>
        </w:rPr>
        <w:t xml:space="preserve"> 880–889 (2012).</w:t>
      </w:r>
    </w:p>
    <w:p w14:paraId="027F2525"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44.</w:t>
      </w:r>
      <w:r w:rsidRPr="004964AA">
        <w:rPr>
          <w:rFonts w:ascii="Calibri" w:hAnsi="Calibri" w:cs="Calibri"/>
          <w:sz w:val="20"/>
        </w:rPr>
        <w:tab/>
        <w:t xml:space="preserve">Helgadottir, A. </w:t>
      </w:r>
      <w:r w:rsidRPr="004964AA">
        <w:rPr>
          <w:rFonts w:ascii="Calibri" w:hAnsi="Calibri" w:cs="Calibri"/>
          <w:i/>
          <w:iCs/>
          <w:sz w:val="20"/>
        </w:rPr>
        <w:t>et al.</w:t>
      </w:r>
      <w:r w:rsidRPr="004964AA">
        <w:rPr>
          <w:rFonts w:ascii="Calibri" w:hAnsi="Calibri" w:cs="Calibri"/>
          <w:sz w:val="20"/>
        </w:rPr>
        <w:t xml:space="preserve"> Variants with large effects on blood lipids and the role of cholesterol and triglycerides in coronary disease. </w:t>
      </w:r>
      <w:r w:rsidRPr="004964AA">
        <w:rPr>
          <w:rFonts w:ascii="Calibri" w:hAnsi="Calibri" w:cs="Calibri"/>
          <w:i/>
          <w:iCs/>
          <w:sz w:val="20"/>
        </w:rPr>
        <w:t>Nat. Genet.</w:t>
      </w:r>
      <w:r w:rsidRPr="004964AA">
        <w:rPr>
          <w:rFonts w:ascii="Calibri" w:hAnsi="Calibri" w:cs="Calibri"/>
          <w:sz w:val="20"/>
        </w:rPr>
        <w:t xml:space="preserve"> </w:t>
      </w:r>
      <w:r w:rsidRPr="004964AA">
        <w:rPr>
          <w:rFonts w:ascii="Calibri" w:hAnsi="Calibri" w:cs="Calibri"/>
          <w:b/>
          <w:bCs/>
          <w:sz w:val="20"/>
        </w:rPr>
        <w:t>48,</w:t>
      </w:r>
      <w:r w:rsidRPr="004964AA">
        <w:rPr>
          <w:rFonts w:ascii="Calibri" w:hAnsi="Calibri" w:cs="Calibri"/>
          <w:sz w:val="20"/>
        </w:rPr>
        <w:t xml:space="preserve"> 634–639 (2016).</w:t>
      </w:r>
    </w:p>
    <w:p w14:paraId="62C0A6A0"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45.</w:t>
      </w:r>
      <w:r w:rsidRPr="004964AA">
        <w:rPr>
          <w:rFonts w:ascii="Calibri" w:hAnsi="Calibri" w:cs="Calibri"/>
          <w:sz w:val="20"/>
        </w:rPr>
        <w:tab/>
        <w:t xml:space="preserve">Steinthorsdottir, V. </w:t>
      </w:r>
      <w:r w:rsidRPr="004964AA">
        <w:rPr>
          <w:rFonts w:ascii="Calibri" w:hAnsi="Calibri" w:cs="Calibri"/>
          <w:i/>
          <w:iCs/>
          <w:sz w:val="20"/>
        </w:rPr>
        <w:t>et al.</w:t>
      </w:r>
      <w:r w:rsidRPr="004964AA">
        <w:rPr>
          <w:rFonts w:ascii="Calibri" w:hAnsi="Calibri" w:cs="Calibri"/>
          <w:sz w:val="20"/>
        </w:rPr>
        <w:t xml:space="preserve"> Identification of low-frequency and rare sequence variants associated with elevated or reduced risk of type 2 diabetes. </w:t>
      </w:r>
      <w:r w:rsidRPr="004964AA">
        <w:rPr>
          <w:rFonts w:ascii="Calibri" w:hAnsi="Calibri" w:cs="Calibri"/>
          <w:i/>
          <w:iCs/>
          <w:sz w:val="20"/>
        </w:rPr>
        <w:t>Nat. Genet.</w:t>
      </w:r>
      <w:r w:rsidRPr="004964AA">
        <w:rPr>
          <w:rFonts w:ascii="Calibri" w:hAnsi="Calibri" w:cs="Calibri"/>
          <w:sz w:val="20"/>
        </w:rPr>
        <w:t xml:space="preserve"> </w:t>
      </w:r>
      <w:r w:rsidRPr="004964AA">
        <w:rPr>
          <w:rFonts w:ascii="Calibri" w:hAnsi="Calibri" w:cs="Calibri"/>
          <w:b/>
          <w:bCs/>
          <w:sz w:val="20"/>
        </w:rPr>
        <w:t>46,</w:t>
      </w:r>
      <w:r w:rsidRPr="004964AA">
        <w:rPr>
          <w:rFonts w:ascii="Calibri" w:hAnsi="Calibri" w:cs="Calibri"/>
          <w:sz w:val="20"/>
        </w:rPr>
        <w:t xml:space="preserve"> 294–298 (2014).</w:t>
      </w:r>
    </w:p>
    <w:p w14:paraId="13C52C16"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46.</w:t>
      </w:r>
      <w:r w:rsidRPr="004964AA">
        <w:rPr>
          <w:rFonts w:ascii="Calibri" w:hAnsi="Calibri" w:cs="Calibri"/>
          <w:sz w:val="20"/>
        </w:rPr>
        <w:tab/>
        <w:t xml:space="preserve">Sveinbjornsson, G. </w:t>
      </w:r>
      <w:r w:rsidRPr="004964AA">
        <w:rPr>
          <w:rFonts w:ascii="Calibri" w:hAnsi="Calibri" w:cs="Calibri"/>
          <w:i/>
          <w:iCs/>
          <w:sz w:val="20"/>
        </w:rPr>
        <w:t>et al.</w:t>
      </w:r>
      <w:r w:rsidRPr="004964AA">
        <w:rPr>
          <w:rFonts w:ascii="Calibri" w:hAnsi="Calibri" w:cs="Calibri"/>
          <w:sz w:val="20"/>
        </w:rPr>
        <w:t xml:space="preserve"> Rare mutations associating with serum creatinine and chronic kidney disease. </w:t>
      </w:r>
      <w:r w:rsidRPr="004964AA">
        <w:rPr>
          <w:rFonts w:ascii="Calibri" w:hAnsi="Calibri" w:cs="Calibri"/>
          <w:i/>
          <w:iCs/>
          <w:sz w:val="20"/>
        </w:rPr>
        <w:t>Hum. Mol. Genet.</w:t>
      </w:r>
      <w:r w:rsidRPr="004964AA">
        <w:rPr>
          <w:rFonts w:ascii="Calibri" w:hAnsi="Calibri" w:cs="Calibri"/>
          <w:sz w:val="20"/>
        </w:rPr>
        <w:t xml:space="preserve"> </w:t>
      </w:r>
      <w:r w:rsidRPr="004964AA">
        <w:rPr>
          <w:rFonts w:ascii="Calibri" w:hAnsi="Calibri" w:cs="Calibri"/>
          <w:b/>
          <w:bCs/>
          <w:sz w:val="20"/>
        </w:rPr>
        <w:t>23,</w:t>
      </w:r>
      <w:r w:rsidRPr="004964AA">
        <w:rPr>
          <w:rFonts w:ascii="Calibri" w:hAnsi="Calibri" w:cs="Calibri"/>
          <w:sz w:val="20"/>
        </w:rPr>
        <w:t xml:space="preserve"> 6935–6943 (2014).</w:t>
      </w:r>
    </w:p>
    <w:p w14:paraId="0E38F7F3" w14:textId="77777777" w:rsidR="004964AA" w:rsidRPr="004964AA" w:rsidRDefault="004964AA" w:rsidP="004964AA">
      <w:pPr>
        <w:pStyle w:val="Bibliography"/>
        <w:rPr>
          <w:rFonts w:ascii="Calibri" w:hAnsi="Calibri" w:cs="Calibri"/>
          <w:sz w:val="20"/>
        </w:rPr>
      </w:pPr>
      <w:r w:rsidRPr="004964AA">
        <w:rPr>
          <w:rFonts w:ascii="Calibri" w:hAnsi="Calibri" w:cs="Calibri"/>
          <w:sz w:val="20"/>
        </w:rPr>
        <w:t>47.</w:t>
      </w:r>
      <w:r w:rsidRPr="004964AA">
        <w:rPr>
          <w:rFonts w:ascii="Calibri" w:hAnsi="Calibri" w:cs="Calibri"/>
          <w:sz w:val="20"/>
        </w:rPr>
        <w:tab/>
        <w:t xml:space="preserve">Gudbjartsson, D. F. </w:t>
      </w:r>
      <w:r w:rsidRPr="004964AA">
        <w:rPr>
          <w:rFonts w:ascii="Calibri" w:hAnsi="Calibri" w:cs="Calibri"/>
          <w:i/>
          <w:iCs/>
          <w:sz w:val="20"/>
        </w:rPr>
        <w:t>et al.</w:t>
      </w:r>
      <w:r w:rsidRPr="004964AA">
        <w:rPr>
          <w:rFonts w:ascii="Calibri" w:hAnsi="Calibri" w:cs="Calibri"/>
          <w:sz w:val="20"/>
        </w:rPr>
        <w:t xml:space="preserve"> Association of variants at UMOD with chronic kidney disease and kidney stones-role of age and comorbid diseases. </w:t>
      </w:r>
      <w:r w:rsidRPr="004964AA">
        <w:rPr>
          <w:rFonts w:ascii="Calibri" w:hAnsi="Calibri" w:cs="Calibri"/>
          <w:i/>
          <w:iCs/>
          <w:sz w:val="20"/>
        </w:rPr>
        <w:t>PLoS Genet.</w:t>
      </w:r>
      <w:r w:rsidRPr="004964AA">
        <w:rPr>
          <w:rFonts w:ascii="Calibri" w:hAnsi="Calibri" w:cs="Calibri"/>
          <w:sz w:val="20"/>
        </w:rPr>
        <w:t xml:space="preserve"> </w:t>
      </w:r>
      <w:r w:rsidRPr="004964AA">
        <w:rPr>
          <w:rFonts w:ascii="Calibri" w:hAnsi="Calibri" w:cs="Calibri"/>
          <w:b/>
          <w:bCs/>
          <w:sz w:val="20"/>
        </w:rPr>
        <w:t>6,</w:t>
      </w:r>
      <w:r w:rsidRPr="004964AA">
        <w:rPr>
          <w:rFonts w:ascii="Calibri" w:hAnsi="Calibri" w:cs="Calibri"/>
          <w:sz w:val="20"/>
        </w:rPr>
        <w:t xml:space="preserve"> e1001039 (2010).</w:t>
      </w:r>
    </w:p>
    <w:p w14:paraId="59FC643C" w14:textId="49D4253B" w:rsidR="0069471C" w:rsidRDefault="0069471C" w:rsidP="007D2D2E">
      <w:pPr>
        <w:pStyle w:val="Bibliography"/>
        <w:rPr>
          <w:sz w:val="20"/>
          <w:szCs w:val="20"/>
          <w:lang w:val="en-US"/>
        </w:rPr>
      </w:pPr>
      <w:r>
        <w:rPr>
          <w:sz w:val="20"/>
          <w:szCs w:val="20"/>
          <w:lang w:val="en-US"/>
        </w:rPr>
        <w:fldChar w:fldCharType="end"/>
      </w:r>
    </w:p>
    <w:p w14:paraId="6442F061" w14:textId="07DA9942" w:rsidR="0054521F" w:rsidRPr="00A422D0" w:rsidRDefault="0054521F" w:rsidP="005F18E5">
      <w:pPr>
        <w:spacing w:after="240" w:line="360" w:lineRule="auto"/>
        <w:rPr>
          <w:rFonts w:ascii="Times New Roman" w:hAnsi="Times New Roman" w:cs="Times New Roman"/>
          <w:sz w:val="20"/>
          <w:szCs w:val="20"/>
          <w:lang w:val="en-US"/>
        </w:rPr>
      </w:pPr>
    </w:p>
    <w:sectPr w:rsidR="0054521F" w:rsidRPr="00A422D0">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4F147" w14:textId="77777777" w:rsidR="00307FB5" w:rsidRDefault="00307FB5" w:rsidP="00F72268">
      <w:pPr>
        <w:spacing w:after="0" w:line="240" w:lineRule="auto"/>
      </w:pPr>
      <w:r>
        <w:separator/>
      </w:r>
    </w:p>
  </w:endnote>
  <w:endnote w:type="continuationSeparator" w:id="0">
    <w:p w14:paraId="0A92AB15" w14:textId="77777777" w:rsidR="00307FB5" w:rsidRDefault="00307FB5" w:rsidP="00F722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6574602"/>
      <w:docPartObj>
        <w:docPartGallery w:val="Page Numbers (Bottom of Page)"/>
        <w:docPartUnique/>
      </w:docPartObj>
    </w:sdtPr>
    <w:sdtEndPr>
      <w:rPr>
        <w:noProof/>
      </w:rPr>
    </w:sdtEndPr>
    <w:sdtContent>
      <w:p w14:paraId="22753564" w14:textId="77777777" w:rsidR="00B622E2" w:rsidRDefault="00B622E2">
        <w:pPr>
          <w:pStyle w:val="Footer"/>
          <w:jc w:val="right"/>
        </w:pPr>
      </w:p>
      <w:p w14:paraId="058E11A0" w14:textId="106781F5" w:rsidR="00B622E2" w:rsidRDefault="00B622E2">
        <w:pPr>
          <w:pStyle w:val="Footer"/>
          <w:jc w:val="right"/>
        </w:pPr>
        <w:r>
          <w:fldChar w:fldCharType="begin"/>
        </w:r>
        <w:r>
          <w:instrText xml:space="preserve"> PAGE   \* MERGEFORMAT </w:instrText>
        </w:r>
        <w:r>
          <w:fldChar w:fldCharType="separate"/>
        </w:r>
        <w:r w:rsidR="007E1E4D">
          <w:rPr>
            <w:noProof/>
          </w:rPr>
          <w:t>20</w:t>
        </w:r>
        <w:r>
          <w:rPr>
            <w:noProof/>
          </w:rPr>
          <w:fldChar w:fldCharType="end"/>
        </w:r>
      </w:p>
    </w:sdtContent>
  </w:sdt>
  <w:p w14:paraId="3646E7DD" w14:textId="77777777" w:rsidR="00B622E2" w:rsidRDefault="00B62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66C32" w14:textId="77777777" w:rsidR="00307FB5" w:rsidRDefault="00307FB5" w:rsidP="00F72268">
      <w:pPr>
        <w:spacing w:after="0" w:line="240" w:lineRule="auto"/>
      </w:pPr>
      <w:r>
        <w:separator/>
      </w:r>
    </w:p>
  </w:footnote>
  <w:footnote w:type="continuationSeparator" w:id="0">
    <w:p w14:paraId="0E055EB3" w14:textId="77777777" w:rsidR="00307FB5" w:rsidRDefault="00307FB5" w:rsidP="00F722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718D7"/>
    <w:multiLevelType w:val="multilevel"/>
    <w:tmpl w:val="3A86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D8E"/>
    <w:rsid w:val="00000568"/>
    <w:rsid w:val="000046FD"/>
    <w:rsid w:val="000111EA"/>
    <w:rsid w:val="0005403B"/>
    <w:rsid w:val="00064F6F"/>
    <w:rsid w:val="00070479"/>
    <w:rsid w:val="00070B13"/>
    <w:rsid w:val="000710A9"/>
    <w:rsid w:val="0008294F"/>
    <w:rsid w:val="00084795"/>
    <w:rsid w:val="0009099D"/>
    <w:rsid w:val="0009154F"/>
    <w:rsid w:val="000A36DC"/>
    <w:rsid w:val="000A416B"/>
    <w:rsid w:val="000C19E3"/>
    <w:rsid w:val="000C36CF"/>
    <w:rsid w:val="0010296D"/>
    <w:rsid w:val="00114A87"/>
    <w:rsid w:val="00116747"/>
    <w:rsid w:val="00133A8B"/>
    <w:rsid w:val="001504B7"/>
    <w:rsid w:val="00153EEF"/>
    <w:rsid w:val="00161DA2"/>
    <w:rsid w:val="00166497"/>
    <w:rsid w:val="00171FD7"/>
    <w:rsid w:val="00197D8C"/>
    <w:rsid w:val="001A748A"/>
    <w:rsid w:val="001B0A00"/>
    <w:rsid w:val="001B6032"/>
    <w:rsid w:val="001C3AB2"/>
    <w:rsid w:val="001D791E"/>
    <w:rsid w:val="001E6A71"/>
    <w:rsid w:val="001E7F60"/>
    <w:rsid w:val="00214C94"/>
    <w:rsid w:val="00220377"/>
    <w:rsid w:val="00225DAD"/>
    <w:rsid w:val="00236491"/>
    <w:rsid w:val="002509B6"/>
    <w:rsid w:val="00266003"/>
    <w:rsid w:val="00280747"/>
    <w:rsid w:val="002921C9"/>
    <w:rsid w:val="00297BCE"/>
    <w:rsid w:val="002A051F"/>
    <w:rsid w:val="002A4BD5"/>
    <w:rsid w:val="002A4F42"/>
    <w:rsid w:val="002A717D"/>
    <w:rsid w:val="002A7DF4"/>
    <w:rsid w:val="002B599F"/>
    <w:rsid w:val="002C37C5"/>
    <w:rsid w:val="002C4E46"/>
    <w:rsid w:val="002D0D05"/>
    <w:rsid w:val="002D686B"/>
    <w:rsid w:val="002F0B99"/>
    <w:rsid w:val="00307FB5"/>
    <w:rsid w:val="0031541C"/>
    <w:rsid w:val="0033377A"/>
    <w:rsid w:val="0033534F"/>
    <w:rsid w:val="00335D0D"/>
    <w:rsid w:val="00343E05"/>
    <w:rsid w:val="00354491"/>
    <w:rsid w:val="00375C0B"/>
    <w:rsid w:val="00384D62"/>
    <w:rsid w:val="00393F37"/>
    <w:rsid w:val="003A4D8E"/>
    <w:rsid w:val="003B7564"/>
    <w:rsid w:val="003B7FB1"/>
    <w:rsid w:val="003C2DA7"/>
    <w:rsid w:val="003C6651"/>
    <w:rsid w:val="003C6F2C"/>
    <w:rsid w:val="003E42E2"/>
    <w:rsid w:val="003E7C53"/>
    <w:rsid w:val="003F2BBD"/>
    <w:rsid w:val="003F749B"/>
    <w:rsid w:val="00405F88"/>
    <w:rsid w:val="00407C4F"/>
    <w:rsid w:val="00412B92"/>
    <w:rsid w:val="00413A42"/>
    <w:rsid w:val="004152A5"/>
    <w:rsid w:val="004235DA"/>
    <w:rsid w:val="00426284"/>
    <w:rsid w:val="00426D4F"/>
    <w:rsid w:val="00444D02"/>
    <w:rsid w:val="00451F94"/>
    <w:rsid w:val="00471907"/>
    <w:rsid w:val="00473DC9"/>
    <w:rsid w:val="00474CC9"/>
    <w:rsid w:val="004761B0"/>
    <w:rsid w:val="004850ED"/>
    <w:rsid w:val="00485B53"/>
    <w:rsid w:val="004964AA"/>
    <w:rsid w:val="004B679C"/>
    <w:rsid w:val="004C003A"/>
    <w:rsid w:val="004C4773"/>
    <w:rsid w:val="004C6B71"/>
    <w:rsid w:val="004D1CFF"/>
    <w:rsid w:val="004E3F45"/>
    <w:rsid w:val="004E5715"/>
    <w:rsid w:val="004E66FE"/>
    <w:rsid w:val="004E6E4A"/>
    <w:rsid w:val="004F54BB"/>
    <w:rsid w:val="00513849"/>
    <w:rsid w:val="00534408"/>
    <w:rsid w:val="00535223"/>
    <w:rsid w:val="0054521F"/>
    <w:rsid w:val="00556FBC"/>
    <w:rsid w:val="00564DF2"/>
    <w:rsid w:val="0056762E"/>
    <w:rsid w:val="00574531"/>
    <w:rsid w:val="0057685F"/>
    <w:rsid w:val="00580291"/>
    <w:rsid w:val="00581EB3"/>
    <w:rsid w:val="005842EA"/>
    <w:rsid w:val="005872C3"/>
    <w:rsid w:val="005907AF"/>
    <w:rsid w:val="005A468A"/>
    <w:rsid w:val="005A7221"/>
    <w:rsid w:val="005B3DBE"/>
    <w:rsid w:val="005C401F"/>
    <w:rsid w:val="005C7D72"/>
    <w:rsid w:val="005E36C2"/>
    <w:rsid w:val="005E5418"/>
    <w:rsid w:val="005E5BAE"/>
    <w:rsid w:val="005F18E5"/>
    <w:rsid w:val="005F24DA"/>
    <w:rsid w:val="005F567E"/>
    <w:rsid w:val="006027D7"/>
    <w:rsid w:val="006159A7"/>
    <w:rsid w:val="0063074D"/>
    <w:rsid w:val="00630FB2"/>
    <w:rsid w:val="00634BB8"/>
    <w:rsid w:val="00643ED3"/>
    <w:rsid w:val="006506E4"/>
    <w:rsid w:val="0065108B"/>
    <w:rsid w:val="00661FB7"/>
    <w:rsid w:val="00674773"/>
    <w:rsid w:val="00682CBD"/>
    <w:rsid w:val="0069233F"/>
    <w:rsid w:val="0069471C"/>
    <w:rsid w:val="006B08DC"/>
    <w:rsid w:val="006B7360"/>
    <w:rsid w:val="006D571C"/>
    <w:rsid w:val="006E79FF"/>
    <w:rsid w:val="006F5DC4"/>
    <w:rsid w:val="00716F6D"/>
    <w:rsid w:val="00723A44"/>
    <w:rsid w:val="00737A27"/>
    <w:rsid w:val="00737CA6"/>
    <w:rsid w:val="007411AC"/>
    <w:rsid w:val="00760C33"/>
    <w:rsid w:val="00761D5B"/>
    <w:rsid w:val="007640EB"/>
    <w:rsid w:val="00771F78"/>
    <w:rsid w:val="00774130"/>
    <w:rsid w:val="00775264"/>
    <w:rsid w:val="00797174"/>
    <w:rsid w:val="00797B0A"/>
    <w:rsid w:val="007A2C5C"/>
    <w:rsid w:val="007B0978"/>
    <w:rsid w:val="007B5187"/>
    <w:rsid w:val="007C2B61"/>
    <w:rsid w:val="007D135E"/>
    <w:rsid w:val="007D2D2E"/>
    <w:rsid w:val="007E1E4D"/>
    <w:rsid w:val="00802E7F"/>
    <w:rsid w:val="0080406F"/>
    <w:rsid w:val="00805572"/>
    <w:rsid w:val="00814633"/>
    <w:rsid w:val="00816F9D"/>
    <w:rsid w:val="00821C77"/>
    <w:rsid w:val="008270B7"/>
    <w:rsid w:val="0083271F"/>
    <w:rsid w:val="00841FF7"/>
    <w:rsid w:val="00853E65"/>
    <w:rsid w:val="008544C4"/>
    <w:rsid w:val="00856331"/>
    <w:rsid w:val="00871ED3"/>
    <w:rsid w:val="00895A32"/>
    <w:rsid w:val="008A06CC"/>
    <w:rsid w:val="008C5280"/>
    <w:rsid w:val="008D17E2"/>
    <w:rsid w:val="008D49A3"/>
    <w:rsid w:val="008F0ACA"/>
    <w:rsid w:val="00900756"/>
    <w:rsid w:val="00901D6B"/>
    <w:rsid w:val="00903CD2"/>
    <w:rsid w:val="00907187"/>
    <w:rsid w:val="00941376"/>
    <w:rsid w:val="009447CC"/>
    <w:rsid w:val="00944B14"/>
    <w:rsid w:val="0094538E"/>
    <w:rsid w:val="00957FD2"/>
    <w:rsid w:val="009607BD"/>
    <w:rsid w:val="009659C7"/>
    <w:rsid w:val="0097140D"/>
    <w:rsid w:val="00991AC0"/>
    <w:rsid w:val="0099213C"/>
    <w:rsid w:val="009B32F1"/>
    <w:rsid w:val="009D42EC"/>
    <w:rsid w:val="009D5041"/>
    <w:rsid w:val="009E03A4"/>
    <w:rsid w:val="009F2874"/>
    <w:rsid w:val="00A02270"/>
    <w:rsid w:val="00A04655"/>
    <w:rsid w:val="00A113AB"/>
    <w:rsid w:val="00A1783D"/>
    <w:rsid w:val="00A215BC"/>
    <w:rsid w:val="00A24028"/>
    <w:rsid w:val="00A37CC9"/>
    <w:rsid w:val="00A422D0"/>
    <w:rsid w:val="00A55783"/>
    <w:rsid w:val="00A56B49"/>
    <w:rsid w:val="00A66540"/>
    <w:rsid w:val="00A72DAB"/>
    <w:rsid w:val="00A7636C"/>
    <w:rsid w:val="00A869FF"/>
    <w:rsid w:val="00A95F2E"/>
    <w:rsid w:val="00AA529C"/>
    <w:rsid w:val="00AB17AB"/>
    <w:rsid w:val="00AD03A9"/>
    <w:rsid w:val="00AD246B"/>
    <w:rsid w:val="00AD2CCA"/>
    <w:rsid w:val="00AD5C5D"/>
    <w:rsid w:val="00AE0AE8"/>
    <w:rsid w:val="00AF0213"/>
    <w:rsid w:val="00B013CD"/>
    <w:rsid w:val="00B04FCB"/>
    <w:rsid w:val="00B12491"/>
    <w:rsid w:val="00B16CB0"/>
    <w:rsid w:val="00B17BA4"/>
    <w:rsid w:val="00B22156"/>
    <w:rsid w:val="00B24AB5"/>
    <w:rsid w:val="00B30C53"/>
    <w:rsid w:val="00B46CC1"/>
    <w:rsid w:val="00B502B2"/>
    <w:rsid w:val="00B5067E"/>
    <w:rsid w:val="00B622E2"/>
    <w:rsid w:val="00B6478E"/>
    <w:rsid w:val="00B70D2C"/>
    <w:rsid w:val="00B72B3C"/>
    <w:rsid w:val="00B77796"/>
    <w:rsid w:val="00B80D08"/>
    <w:rsid w:val="00BB4B40"/>
    <w:rsid w:val="00BB7655"/>
    <w:rsid w:val="00BC20E9"/>
    <w:rsid w:val="00BC683C"/>
    <w:rsid w:val="00BD41B8"/>
    <w:rsid w:val="00BD4DE6"/>
    <w:rsid w:val="00BD5633"/>
    <w:rsid w:val="00BE105C"/>
    <w:rsid w:val="00BE18BE"/>
    <w:rsid w:val="00BE752E"/>
    <w:rsid w:val="00BF10B6"/>
    <w:rsid w:val="00BF19D5"/>
    <w:rsid w:val="00BF77CF"/>
    <w:rsid w:val="00C036B2"/>
    <w:rsid w:val="00C17E5F"/>
    <w:rsid w:val="00C20DA0"/>
    <w:rsid w:val="00C2748A"/>
    <w:rsid w:val="00C32A88"/>
    <w:rsid w:val="00C33703"/>
    <w:rsid w:val="00C35AFB"/>
    <w:rsid w:val="00C40178"/>
    <w:rsid w:val="00C54589"/>
    <w:rsid w:val="00C61A21"/>
    <w:rsid w:val="00C70C56"/>
    <w:rsid w:val="00C7135B"/>
    <w:rsid w:val="00C75483"/>
    <w:rsid w:val="00C80E96"/>
    <w:rsid w:val="00C81872"/>
    <w:rsid w:val="00CB0844"/>
    <w:rsid w:val="00CB1F7F"/>
    <w:rsid w:val="00CB52A7"/>
    <w:rsid w:val="00CB6BB5"/>
    <w:rsid w:val="00CC2D28"/>
    <w:rsid w:val="00CC41A8"/>
    <w:rsid w:val="00CD6B5F"/>
    <w:rsid w:val="00CF5FA0"/>
    <w:rsid w:val="00D00B36"/>
    <w:rsid w:val="00D1435A"/>
    <w:rsid w:val="00D16405"/>
    <w:rsid w:val="00D17A25"/>
    <w:rsid w:val="00D17F4F"/>
    <w:rsid w:val="00D254A2"/>
    <w:rsid w:val="00D36B01"/>
    <w:rsid w:val="00D56038"/>
    <w:rsid w:val="00D72734"/>
    <w:rsid w:val="00D731CB"/>
    <w:rsid w:val="00D77DD3"/>
    <w:rsid w:val="00D80103"/>
    <w:rsid w:val="00D9473B"/>
    <w:rsid w:val="00DA295B"/>
    <w:rsid w:val="00DA3DC3"/>
    <w:rsid w:val="00DB4951"/>
    <w:rsid w:val="00DC12D5"/>
    <w:rsid w:val="00DC477F"/>
    <w:rsid w:val="00DD1766"/>
    <w:rsid w:val="00DE7C3D"/>
    <w:rsid w:val="00E13F2E"/>
    <w:rsid w:val="00E15FC6"/>
    <w:rsid w:val="00E25AC2"/>
    <w:rsid w:val="00E32190"/>
    <w:rsid w:val="00E32581"/>
    <w:rsid w:val="00E40C37"/>
    <w:rsid w:val="00E41BC5"/>
    <w:rsid w:val="00E425F0"/>
    <w:rsid w:val="00E44C58"/>
    <w:rsid w:val="00E67274"/>
    <w:rsid w:val="00E73900"/>
    <w:rsid w:val="00E746B0"/>
    <w:rsid w:val="00E75130"/>
    <w:rsid w:val="00E77328"/>
    <w:rsid w:val="00E801E2"/>
    <w:rsid w:val="00E80812"/>
    <w:rsid w:val="00EE2DA1"/>
    <w:rsid w:val="00EE763E"/>
    <w:rsid w:val="00EF1E19"/>
    <w:rsid w:val="00EF5074"/>
    <w:rsid w:val="00EF596C"/>
    <w:rsid w:val="00F0267F"/>
    <w:rsid w:val="00F10694"/>
    <w:rsid w:val="00F238C1"/>
    <w:rsid w:val="00F25E4B"/>
    <w:rsid w:val="00F273FC"/>
    <w:rsid w:val="00F3372F"/>
    <w:rsid w:val="00F337BF"/>
    <w:rsid w:val="00F34B35"/>
    <w:rsid w:val="00F3737E"/>
    <w:rsid w:val="00F4692F"/>
    <w:rsid w:val="00F6293B"/>
    <w:rsid w:val="00F72268"/>
    <w:rsid w:val="00F92357"/>
    <w:rsid w:val="00F96C96"/>
    <w:rsid w:val="00FA2D79"/>
    <w:rsid w:val="00FA434C"/>
    <w:rsid w:val="00FB122B"/>
    <w:rsid w:val="00FB72CA"/>
    <w:rsid w:val="00FD1905"/>
    <w:rsid w:val="00FD2A09"/>
    <w:rsid w:val="00FD7205"/>
    <w:rsid w:val="00FE1CA4"/>
    <w:rsid w:val="00FE5B2F"/>
    <w:rsid w:val="00FE76CF"/>
    <w:rsid w:val="00FF3893"/>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5A4BD"/>
  <w15:chartTrackingRefBased/>
  <w15:docId w15:val="{159F68B8-16AB-4713-87F9-508B2C7EA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s-I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48A"/>
  </w:style>
  <w:style w:type="paragraph" w:styleId="Heading1">
    <w:name w:val="heading 1"/>
    <w:basedOn w:val="Normal"/>
    <w:next w:val="Normal"/>
    <w:link w:val="Heading1Char"/>
    <w:uiPriority w:val="9"/>
    <w:qFormat/>
    <w:rsid w:val="00B6478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56B4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56B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2268"/>
    <w:pPr>
      <w:tabs>
        <w:tab w:val="center" w:pos="4536"/>
        <w:tab w:val="right" w:pos="9072"/>
      </w:tabs>
      <w:spacing w:after="0" w:line="240" w:lineRule="auto"/>
    </w:pPr>
  </w:style>
  <w:style w:type="character" w:customStyle="1" w:styleId="HeaderChar">
    <w:name w:val="Header Char"/>
    <w:basedOn w:val="DefaultParagraphFont"/>
    <w:link w:val="Header"/>
    <w:uiPriority w:val="99"/>
    <w:rsid w:val="00F72268"/>
  </w:style>
  <w:style w:type="paragraph" w:styleId="Footer">
    <w:name w:val="footer"/>
    <w:basedOn w:val="Normal"/>
    <w:link w:val="FooterChar"/>
    <w:uiPriority w:val="99"/>
    <w:unhideWhenUsed/>
    <w:rsid w:val="00F72268"/>
    <w:pPr>
      <w:tabs>
        <w:tab w:val="center" w:pos="4536"/>
        <w:tab w:val="right" w:pos="9072"/>
      </w:tabs>
      <w:spacing w:after="0" w:line="240" w:lineRule="auto"/>
    </w:pPr>
  </w:style>
  <w:style w:type="character" w:customStyle="1" w:styleId="FooterChar">
    <w:name w:val="Footer Char"/>
    <w:basedOn w:val="DefaultParagraphFont"/>
    <w:link w:val="Footer"/>
    <w:uiPriority w:val="99"/>
    <w:rsid w:val="00F72268"/>
  </w:style>
  <w:style w:type="paragraph" w:styleId="Bibliography">
    <w:name w:val="Bibliography"/>
    <w:basedOn w:val="Normal"/>
    <w:next w:val="Normal"/>
    <w:uiPriority w:val="37"/>
    <w:unhideWhenUsed/>
    <w:rsid w:val="0054521F"/>
    <w:pPr>
      <w:tabs>
        <w:tab w:val="left" w:pos="264"/>
      </w:tabs>
      <w:spacing w:after="0" w:line="480" w:lineRule="auto"/>
      <w:ind w:left="264" w:hanging="264"/>
    </w:pPr>
  </w:style>
  <w:style w:type="paragraph" w:styleId="ListParagraph">
    <w:name w:val="List Paragraph"/>
    <w:basedOn w:val="Normal"/>
    <w:uiPriority w:val="34"/>
    <w:qFormat/>
    <w:rsid w:val="00E44C58"/>
    <w:pPr>
      <w:ind w:left="720"/>
      <w:contextualSpacing/>
    </w:pPr>
  </w:style>
  <w:style w:type="paragraph" w:styleId="BalloonText">
    <w:name w:val="Balloon Text"/>
    <w:basedOn w:val="Normal"/>
    <w:link w:val="BalloonTextChar"/>
    <w:uiPriority w:val="99"/>
    <w:semiHidden/>
    <w:unhideWhenUsed/>
    <w:rsid w:val="00A422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2D0"/>
    <w:rPr>
      <w:rFonts w:ascii="Segoe UI" w:hAnsi="Segoe UI" w:cs="Segoe UI"/>
      <w:sz w:val="18"/>
      <w:szCs w:val="18"/>
    </w:rPr>
  </w:style>
  <w:style w:type="character" w:styleId="CommentReference">
    <w:name w:val="annotation reference"/>
    <w:basedOn w:val="DefaultParagraphFont"/>
    <w:uiPriority w:val="99"/>
    <w:semiHidden/>
    <w:unhideWhenUsed/>
    <w:rsid w:val="00A422D0"/>
    <w:rPr>
      <w:sz w:val="16"/>
      <w:szCs w:val="16"/>
    </w:rPr>
  </w:style>
  <w:style w:type="paragraph" w:styleId="CommentText">
    <w:name w:val="annotation text"/>
    <w:basedOn w:val="Normal"/>
    <w:link w:val="CommentTextChar"/>
    <w:uiPriority w:val="99"/>
    <w:unhideWhenUsed/>
    <w:rsid w:val="00A422D0"/>
    <w:pPr>
      <w:spacing w:line="240" w:lineRule="auto"/>
    </w:pPr>
    <w:rPr>
      <w:sz w:val="20"/>
      <w:szCs w:val="20"/>
    </w:rPr>
  </w:style>
  <w:style w:type="character" w:customStyle="1" w:styleId="CommentTextChar">
    <w:name w:val="Comment Text Char"/>
    <w:basedOn w:val="DefaultParagraphFont"/>
    <w:link w:val="CommentText"/>
    <w:uiPriority w:val="99"/>
    <w:rsid w:val="00A422D0"/>
    <w:rPr>
      <w:sz w:val="20"/>
      <w:szCs w:val="20"/>
    </w:rPr>
  </w:style>
  <w:style w:type="paragraph" w:styleId="CommentSubject">
    <w:name w:val="annotation subject"/>
    <w:basedOn w:val="CommentText"/>
    <w:next w:val="CommentText"/>
    <w:link w:val="CommentSubjectChar"/>
    <w:uiPriority w:val="99"/>
    <w:semiHidden/>
    <w:unhideWhenUsed/>
    <w:rsid w:val="00A422D0"/>
    <w:rPr>
      <w:b/>
      <w:bCs/>
    </w:rPr>
  </w:style>
  <w:style w:type="character" w:customStyle="1" w:styleId="CommentSubjectChar">
    <w:name w:val="Comment Subject Char"/>
    <w:basedOn w:val="CommentTextChar"/>
    <w:link w:val="CommentSubject"/>
    <w:uiPriority w:val="99"/>
    <w:semiHidden/>
    <w:rsid w:val="00A422D0"/>
    <w:rPr>
      <w:b/>
      <w:bCs/>
      <w:sz w:val="20"/>
      <w:szCs w:val="20"/>
    </w:rPr>
  </w:style>
  <w:style w:type="character" w:customStyle="1" w:styleId="italic">
    <w:name w:val="italic"/>
    <w:basedOn w:val="DefaultParagraphFont"/>
    <w:rsid w:val="009D5041"/>
  </w:style>
  <w:style w:type="character" w:customStyle="1" w:styleId="Heading1Char">
    <w:name w:val="Heading 1 Char"/>
    <w:basedOn w:val="DefaultParagraphFont"/>
    <w:link w:val="Heading1"/>
    <w:uiPriority w:val="9"/>
    <w:rsid w:val="00B6478E"/>
    <w:rPr>
      <w:rFonts w:asciiTheme="majorHAnsi" w:eastAsiaTheme="majorEastAsia" w:hAnsiTheme="majorHAnsi" w:cstheme="majorBidi"/>
      <w:color w:val="2E74B5" w:themeColor="accent1" w:themeShade="BF"/>
      <w:sz w:val="32"/>
      <w:szCs w:val="32"/>
    </w:rPr>
  </w:style>
  <w:style w:type="paragraph" w:customStyle="1" w:styleId="Style1">
    <w:name w:val="Style1"/>
    <w:basedOn w:val="Heading1"/>
    <w:qFormat/>
    <w:rsid w:val="00B6478E"/>
    <w:rPr>
      <w:color w:val="000000" w:themeColor="text1"/>
      <w:lang w:val="en-US"/>
    </w:rPr>
  </w:style>
  <w:style w:type="paragraph" w:customStyle="1" w:styleId="Style2">
    <w:name w:val="Style2"/>
    <w:basedOn w:val="Heading2"/>
    <w:qFormat/>
    <w:rsid w:val="00B6478E"/>
    <w:rPr>
      <w:color w:val="000000" w:themeColor="text1"/>
      <w:lang w:val="en-US"/>
    </w:rPr>
  </w:style>
  <w:style w:type="paragraph" w:customStyle="1" w:styleId="Style3">
    <w:name w:val="Style3"/>
    <w:basedOn w:val="Heading3"/>
    <w:qFormat/>
    <w:rsid w:val="00A56B49"/>
    <w:rPr>
      <w:color w:val="000000" w:themeColor="text1"/>
    </w:rPr>
  </w:style>
  <w:style w:type="character" w:customStyle="1" w:styleId="Heading2Char">
    <w:name w:val="Heading 2 Char"/>
    <w:basedOn w:val="DefaultParagraphFont"/>
    <w:link w:val="Heading2"/>
    <w:uiPriority w:val="9"/>
    <w:semiHidden/>
    <w:rsid w:val="00A56B49"/>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853E65"/>
    <w:pPr>
      <w:spacing w:before="480" w:line="276" w:lineRule="auto"/>
      <w:outlineLvl w:val="9"/>
    </w:pPr>
    <w:rPr>
      <w:b/>
      <w:bCs/>
      <w:sz w:val="28"/>
      <w:szCs w:val="28"/>
      <w:lang w:val="en-US"/>
    </w:rPr>
  </w:style>
  <w:style w:type="character" w:customStyle="1" w:styleId="Heading3Char">
    <w:name w:val="Heading 3 Char"/>
    <w:basedOn w:val="DefaultParagraphFont"/>
    <w:link w:val="Heading3"/>
    <w:uiPriority w:val="9"/>
    <w:semiHidden/>
    <w:rsid w:val="00A56B49"/>
    <w:rPr>
      <w:rFonts w:asciiTheme="majorHAnsi" w:eastAsiaTheme="majorEastAsia" w:hAnsiTheme="majorHAnsi" w:cstheme="majorBidi"/>
      <w:color w:val="1F4D78" w:themeColor="accent1" w:themeShade="7F"/>
      <w:sz w:val="24"/>
      <w:szCs w:val="24"/>
    </w:rPr>
  </w:style>
  <w:style w:type="paragraph" w:styleId="TOC1">
    <w:name w:val="toc 1"/>
    <w:basedOn w:val="Normal"/>
    <w:next w:val="Normal"/>
    <w:autoRedefine/>
    <w:uiPriority w:val="39"/>
    <w:unhideWhenUsed/>
    <w:rsid w:val="00853E65"/>
    <w:pPr>
      <w:spacing w:before="120" w:after="0"/>
    </w:pPr>
    <w:rPr>
      <w:b/>
      <w:bCs/>
      <w:i/>
      <w:iCs/>
      <w:sz w:val="24"/>
      <w:szCs w:val="24"/>
    </w:rPr>
  </w:style>
  <w:style w:type="paragraph" w:styleId="TOC2">
    <w:name w:val="toc 2"/>
    <w:basedOn w:val="Normal"/>
    <w:next w:val="Normal"/>
    <w:autoRedefine/>
    <w:uiPriority w:val="39"/>
    <w:unhideWhenUsed/>
    <w:rsid w:val="00853E65"/>
    <w:pPr>
      <w:spacing w:before="120" w:after="0"/>
      <w:ind w:left="220"/>
    </w:pPr>
    <w:rPr>
      <w:b/>
      <w:bCs/>
    </w:rPr>
  </w:style>
  <w:style w:type="paragraph" w:styleId="TOC3">
    <w:name w:val="toc 3"/>
    <w:basedOn w:val="Normal"/>
    <w:next w:val="Normal"/>
    <w:autoRedefine/>
    <w:uiPriority w:val="39"/>
    <w:unhideWhenUsed/>
    <w:rsid w:val="00853E65"/>
    <w:pPr>
      <w:spacing w:after="0"/>
      <w:ind w:left="440"/>
    </w:pPr>
    <w:rPr>
      <w:sz w:val="20"/>
      <w:szCs w:val="20"/>
    </w:rPr>
  </w:style>
  <w:style w:type="character" w:styleId="Hyperlink">
    <w:name w:val="Hyperlink"/>
    <w:basedOn w:val="DefaultParagraphFont"/>
    <w:uiPriority w:val="99"/>
    <w:unhideWhenUsed/>
    <w:rsid w:val="00853E65"/>
    <w:rPr>
      <w:color w:val="0563C1" w:themeColor="hyperlink"/>
      <w:u w:val="single"/>
    </w:rPr>
  </w:style>
  <w:style w:type="paragraph" w:styleId="TOC4">
    <w:name w:val="toc 4"/>
    <w:basedOn w:val="Normal"/>
    <w:next w:val="Normal"/>
    <w:autoRedefine/>
    <w:uiPriority w:val="39"/>
    <w:semiHidden/>
    <w:unhideWhenUsed/>
    <w:rsid w:val="00853E65"/>
    <w:pPr>
      <w:spacing w:after="0"/>
      <w:ind w:left="660"/>
    </w:pPr>
    <w:rPr>
      <w:sz w:val="20"/>
      <w:szCs w:val="20"/>
    </w:rPr>
  </w:style>
  <w:style w:type="paragraph" w:styleId="TOC5">
    <w:name w:val="toc 5"/>
    <w:basedOn w:val="Normal"/>
    <w:next w:val="Normal"/>
    <w:autoRedefine/>
    <w:uiPriority w:val="39"/>
    <w:semiHidden/>
    <w:unhideWhenUsed/>
    <w:rsid w:val="00853E65"/>
    <w:pPr>
      <w:spacing w:after="0"/>
      <w:ind w:left="880"/>
    </w:pPr>
    <w:rPr>
      <w:sz w:val="20"/>
      <w:szCs w:val="20"/>
    </w:rPr>
  </w:style>
  <w:style w:type="paragraph" w:styleId="TOC6">
    <w:name w:val="toc 6"/>
    <w:basedOn w:val="Normal"/>
    <w:next w:val="Normal"/>
    <w:autoRedefine/>
    <w:uiPriority w:val="39"/>
    <w:semiHidden/>
    <w:unhideWhenUsed/>
    <w:rsid w:val="00853E65"/>
    <w:pPr>
      <w:spacing w:after="0"/>
      <w:ind w:left="1100"/>
    </w:pPr>
    <w:rPr>
      <w:sz w:val="20"/>
      <w:szCs w:val="20"/>
    </w:rPr>
  </w:style>
  <w:style w:type="paragraph" w:styleId="TOC7">
    <w:name w:val="toc 7"/>
    <w:basedOn w:val="Normal"/>
    <w:next w:val="Normal"/>
    <w:autoRedefine/>
    <w:uiPriority w:val="39"/>
    <w:semiHidden/>
    <w:unhideWhenUsed/>
    <w:rsid w:val="00853E65"/>
    <w:pPr>
      <w:spacing w:after="0"/>
      <w:ind w:left="1320"/>
    </w:pPr>
    <w:rPr>
      <w:sz w:val="20"/>
      <w:szCs w:val="20"/>
    </w:rPr>
  </w:style>
  <w:style w:type="paragraph" w:styleId="TOC8">
    <w:name w:val="toc 8"/>
    <w:basedOn w:val="Normal"/>
    <w:next w:val="Normal"/>
    <w:autoRedefine/>
    <w:uiPriority w:val="39"/>
    <w:semiHidden/>
    <w:unhideWhenUsed/>
    <w:rsid w:val="00853E65"/>
    <w:pPr>
      <w:spacing w:after="0"/>
      <w:ind w:left="1540"/>
    </w:pPr>
    <w:rPr>
      <w:sz w:val="20"/>
      <w:szCs w:val="20"/>
    </w:rPr>
  </w:style>
  <w:style w:type="paragraph" w:styleId="TOC9">
    <w:name w:val="toc 9"/>
    <w:basedOn w:val="Normal"/>
    <w:next w:val="Normal"/>
    <w:autoRedefine/>
    <w:uiPriority w:val="39"/>
    <w:semiHidden/>
    <w:unhideWhenUsed/>
    <w:rsid w:val="00853E65"/>
    <w:pPr>
      <w:spacing w:after="0"/>
      <w:ind w:left="1760"/>
    </w:pPr>
    <w:rPr>
      <w:sz w:val="20"/>
      <w:szCs w:val="20"/>
    </w:rPr>
  </w:style>
  <w:style w:type="paragraph" w:customStyle="1" w:styleId="TableNote">
    <w:name w:val="TableNote"/>
    <w:basedOn w:val="Normal"/>
    <w:rsid w:val="00197D8C"/>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197D8C"/>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197D8C"/>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197D8C"/>
  </w:style>
  <w:style w:type="paragraph" w:styleId="Revision">
    <w:name w:val="Revision"/>
    <w:hidden/>
    <w:uiPriority w:val="99"/>
    <w:semiHidden/>
    <w:rsid w:val="004235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61864">
      <w:bodyDiv w:val="1"/>
      <w:marLeft w:val="0"/>
      <w:marRight w:val="0"/>
      <w:marTop w:val="0"/>
      <w:marBottom w:val="0"/>
      <w:divBdr>
        <w:top w:val="none" w:sz="0" w:space="0" w:color="auto"/>
        <w:left w:val="none" w:sz="0" w:space="0" w:color="auto"/>
        <w:bottom w:val="none" w:sz="0" w:space="0" w:color="auto"/>
        <w:right w:val="none" w:sz="0" w:space="0" w:color="auto"/>
      </w:divBdr>
    </w:div>
    <w:div w:id="353387538">
      <w:bodyDiv w:val="1"/>
      <w:marLeft w:val="0"/>
      <w:marRight w:val="0"/>
      <w:marTop w:val="0"/>
      <w:marBottom w:val="0"/>
      <w:divBdr>
        <w:top w:val="none" w:sz="0" w:space="0" w:color="auto"/>
        <w:left w:val="none" w:sz="0" w:space="0" w:color="auto"/>
        <w:bottom w:val="none" w:sz="0" w:space="0" w:color="auto"/>
        <w:right w:val="none" w:sz="0" w:space="0" w:color="auto"/>
      </w:divBdr>
    </w:div>
    <w:div w:id="803422623">
      <w:bodyDiv w:val="1"/>
      <w:marLeft w:val="0"/>
      <w:marRight w:val="0"/>
      <w:marTop w:val="0"/>
      <w:marBottom w:val="0"/>
      <w:divBdr>
        <w:top w:val="none" w:sz="0" w:space="0" w:color="auto"/>
        <w:left w:val="none" w:sz="0" w:space="0" w:color="auto"/>
        <w:bottom w:val="none" w:sz="0" w:space="0" w:color="auto"/>
        <w:right w:val="none" w:sz="0" w:space="0" w:color="auto"/>
      </w:divBdr>
    </w:div>
    <w:div w:id="945773734">
      <w:bodyDiv w:val="1"/>
      <w:marLeft w:val="0"/>
      <w:marRight w:val="0"/>
      <w:marTop w:val="0"/>
      <w:marBottom w:val="0"/>
      <w:divBdr>
        <w:top w:val="none" w:sz="0" w:space="0" w:color="auto"/>
        <w:left w:val="none" w:sz="0" w:space="0" w:color="auto"/>
        <w:bottom w:val="none" w:sz="0" w:space="0" w:color="auto"/>
        <w:right w:val="none" w:sz="0" w:space="0" w:color="auto"/>
      </w:divBdr>
    </w:div>
    <w:div w:id="1074279694">
      <w:bodyDiv w:val="1"/>
      <w:marLeft w:val="0"/>
      <w:marRight w:val="0"/>
      <w:marTop w:val="0"/>
      <w:marBottom w:val="0"/>
      <w:divBdr>
        <w:top w:val="none" w:sz="0" w:space="0" w:color="auto"/>
        <w:left w:val="none" w:sz="0" w:space="0" w:color="auto"/>
        <w:bottom w:val="none" w:sz="0" w:space="0" w:color="auto"/>
        <w:right w:val="none" w:sz="0" w:space="0" w:color="auto"/>
      </w:divBdr>
    </w:div>
    <w:div w:id="1115708468">
      <w:bodyDiv w:val="1"/>
      <w:marLeft w:val="0"/>
      <w:marRight w:val="0"/>
      <w:marTop w:val="0"/>
      <w:marBottom w:val="0"/>
      <w:divBdr>
        <w:top w:val="none" w:sz="0" w:space="0" w:color="auto"/>
        <w:left w:val="none" w:sz="0" w:space="0" w:color="auto"/>
        <w:bottom w:val="none" w:sz="0" w:space="0" w:color="auto"/>
        <w:right w:val="none" w:sz="0" w:space="0" w:color="auto"/>
      </w:divBdr>
    </w:div>
    <w:div w:id="1128009643">
      <w:bodyDiv w:val="1"/>
      <w:marLeft w:val="0"/>
      <w:marRight w:val="0"/>
      <w:marTop w:val="0"/>
      <w:marBottom w:val="0"/>
      <w:divBdr>
        <w:top w:val="none" w:sz="0" w:space="0" w:color="auto"/>
        <w:left w:val="none" w:sz="0" w:space="0" w:color="auto"/>
        <w:bottom w:val="none" w:sz="0" w:space="0" w:color="auto"/>
        <w:right w:val="none" w:sz="0" w:space="0" w:color="auto"/>
      </w:divBdr>
    </w:div>
    <w:div w:id="1185367230">
      <w:bodyDiv w:val="1"/>
      <w:marLeft w:val="0"/>
      <w:marRight w:val="0"/>
      <w:marTop w:val="0"/>
      <w:marBottom w:val="0"/>
      <w:divBdr>
        <w:top w:val="none" w:sz="0" w:space="0" w:color="auto"/>
        <w:left w:val="none" w:sz="0" w:space="0" w:color="auto"/>
        <w:bottom w:val="none" w:sz="0" w:space="0" w:color="auto"/>
        <w:right w:val="none" w:sz="0" w:space="0" w:color="auto"/>
      </w:divBdr>
    </w:div>
    <w:div w:id="1237977161">
      <w:bodyDiv w:val="1"/>
      <w:marLeft w:val="0"/>
      <w:marRight w:val="0"/>
      <w:marTop w:val="0"/>
      <w:marBottom w:val="0"/>
      <w:divBdr>
        <w:top w:val="none" w:sz="0" w:space="0" w:color="auto"/>
        <w:left w:val="none" w:sz="0" w:space="0" w:color="auto"/>
        <w:bottom w:val="none" w:sz="0" w:space="0" w:color="auto"/>
        <w:right w:val="none" w:sz="0" w:space="0" w:color="auto"/>
      </w:divBdr>
    </w:div>
    <w:div w:id="1282221314">
      <w:bodyDiv w:val="1"/>
      <w:marLeft w:val="0"/>
      <w:marRight w:val="0"/>
      <w:marTop w:val="0"/>
      <w:marBottom w:val="0"/>
      <w:divBdr>
        <w:top w:val="none" w:sz="0" w:space="0" w:color="auto"/>
        <w:left w:val="none" w:sz="0" w:space="0" w:color="auto"/>
        <w:bottom w:val="none" w:sz="0" w:space="0" w:color="auto"/>
        <w:right w:val="none" w:sz="0" w:space="0" w:color="auto"/>
      </w:divBdr>
    </w:div>
    <w:div w:id="1298140793">
      <w:bodyDiv w:val="1"/>
      <w:marLeft w:val="0"/>
      <w:marRight w:val="0"/>
      <w:marTop w:val="0"/>
      <w:marBottom w:val="0"/>
      <w:divBdr>
        <w:top w:val="none" w:sz="0" w:space="0" w:color="auto"/>
        <w:left w:val="none" w:sz="0" w:space="0" w:color="auto"/>
        <w:bottom w:val="none" w:sz="0" w:space="0" w:color="auto"/>
        <w:right w:val="none" w:sz="0" w:space="0" w:color="auto"/>
      </w:divBdr>
    </w:div>
    <w:div w:id="1312753088">
      <w:bodyDiv w:val="1"/>
      <w:marLeft w:val="0"/>
      <w:marRight w:val="0"/>
      <w:marTop w:val="0"/>
      <w:marBottom w:val="0"/>
      <w:divBdr>
        <w:top w:val="none" w:sz="0" w:space="0" w:color="auto"/>
        <w:left w:val="none" w:sz="0" w:space="0" w:color="auto"/>
        <w:bottom w:val="none" w:sz="0" w:space="0" w:color="auto"/>
        <w:right w:val="none" w:sz="0" w:space="0" w:color="auto"/>
      </w:divBdr>
    </w:div>
    <w:div w:id="1400325029">
      <w:bodyDiv w:val="1"/>
      <w:marLeft w:val="0"/>
      <w:marRight w:val="0"/>
      <w:marTop w:val="0"/>
      <w:marBottom w:val="0"/>
      <w:divBdr>
        <w:top w:val="none" w:sz="0" w:space="0" w:color="auto"/>
        <w:left w:val="none" w:sz="0" w:space="0" w:color="auto"/>
        <w:bottom w:val="none" w:sz="0" w:space="0" w:color="auto"/>
        <w:right w:val="none" w:sz="0" w:space="0" w:color="auto"/>
      </w:divBdr>
    </w:div>
    <w:div w:id="1465074139">
      <w:bodyDiv w:val="1"/>
      <w:marLeft w:val="0"/>
      <w:marRight w:val="0"/>
      <w:marTop w:val="0"/>
      <w:marBottom w:val="0"/>
      <w:divBdr>
        <w:top w:val="none" w:sz="0" w:space="0" w:color="auto"/>
        <w:left w:val="none" w:sz="0" w:space="0" w:color="auto"/>
        <w:bottom w:val="none" w:sz="0" w:space="0" w:color="auto"/>
        <w:right w:val="none" w:sz="0" w:space="0" w:color="auto"/>
      </w:divBdr>
    </w:div>
    <w:div w:id="1496414445">
      <w:bodyDiv w:val="1"/>
      <w:marLeft w:val="0"/>
      <w:marRight w:val="0"/>
      <w:marTop w:val="0"/>
      <w:marBottom w:val="0"/>
      <w:divBdr>
        <w:top w:val="none" w:sz="0" w:space="0" w:color="auto"/>
        <w:left w:val="none" w:sz="0" w:space="0" w:color="auto"/>
        <w:bottom w:val="none" w:sz="0" w:space="0" w:color="auto"/>
        <w:right w:val="none" w:sz="0" w:space="0" w:color="auto"/>
      </w:divBdr>
    </w:div>
    <w:div w:id="1542671422">
      <w:bodyDiv w:val="1"/>
      <w:marLeft w:val="0"/>
      <w:marRight w:val="0"/>
      <w:marTop w:val="0"/>
      <w:marBottom w:val="0"/>
      <w:divBdr>
        <w:top w:val="none" w:sz="0" w:space="0" w:color="auto"/>
        <w:left w:val="none" w:sz="0" w:space="0" w:color="auto"/>
        <w:bottom w:val="none" w:sz="0" w:space="0" w:color="auto"/>
        <w:right w:val="none" w:sz="0" w:space="0" w:color="auto"/>
      </w:divBdr>
    </w:div>
    <w:div w:id="1709645553">
      <w:bodyDiv w:val="1"/>
      <w:marLeft w:val="0"/>
      <w:marRight w:val="0"/>
      <w:marTop w:val="0"/>
      <w:marBottom w:val="0"/>
      <w:divBdr>
        <w:top w:val="none" w:sz="0" w:space="0" w:color="auto"/>
        <w:left w:val="none" w:sz="0" w:space="0" w:color="auto"/>
        <w:bottom w:val="none" w:sz="0" w:space="0" w:color="auto"/>
        <w:right w:val="none" w:sz="0" w:space="0" w:color="auto"/>
      </w:divBdr>
    </w:div>
    <w:div w:id="2042121041">
      <w:bodyDiv w:val="1"/>
      <w:marLeft w:val="0"/>
      <w:marRight w:val="0"/>
      <w:marTop w:val="0"/>
      <w:marBottom w:val="0"/>
      <w:divBdr>
        <w:top w:val="none" w:sz="0" w:space="0" w:color="auto"/>
        <w:left w:val="none" w:sz="0" w:space="0" w:color="auto"/>
        <w:bottom w:val="none" w:sz="0" w:space="0" w:color="auto"/>
        <w:right w:val="none" w:sz="0" w:space="0" w:color="auto"/>
      </w:divBdr>
    </w:div>
    <w:div w:id="2071003794">
      <w:bodyDiv w:val="1"/>
      <w:marLeft w:val="0"/>
      <w:marRight w:val="0"/>
      <w:marTop w:val="0"/>
      <w:marBottom w:val="0"/>
      <w:divBdr>
        <w:top w:val="none" w:sz="0" w:space="0" w:color="auto"/>
        <w:left w:val="none" w:sz="0" w:space="0" w:color="auto"/>
        <w:bottom w:val="none" w:sz="0" w:space="0" w:color="auto"/>
        <w:right w:val="none" w:sz="0" w:space="0" w:color="auto"/>
      </w:divBdr>
    </w:div>
    <w:div w:id="212083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67D1F-4231-4D4D-B899-41A925618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24</Pages>
  <Words>31020</Words>
  <Characters>176820</Characters>
  <Application>Microsoft Office Word</Application>
  <DocSecurity>0</DocSecurity>
  <Lines>1473</Lines>
  <Paragraphs>414</Paragraphs>
  <ScaleCrop>false</ScaleCrop>
  <HeadingPairs>
    <vt:vector size="2" baseType="variant">
      <vt:variant>
        <vt:lpstr>Title</vt:lpstr>
      </vt:variant>
      <vt:variant>
        <vt:i4>1</vt:i4>
      </vt:variant>
    </vt:vector>
  </HeadingPairs>
  <TitlesOfParts>
    <vt:vector size="1" baseType="lpstr">
      <vt:lpstr/>
    </vt:vector>
  </TitlesOfParts>
  <Company>deCODE genetics</Company>
  <LinksUpToDate>false</LinksUpToDate>
  <CharactersWithSpaces>207426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Hilma Hólm</dc:creator>
  <cp:keywords/>
  <dc:description/>
  <cp:lastModifiedBy>Hilma Holm</cp:lastModifiedBy>
  <cp:revision>15</cp:revision>
  <cp:lastPrinted>2022-04-03T21:26:00Z</cp:lastPrinted>
  <dcterms:created xsi:type="dcterms:W3CDTF">2022-04-06T10:23:00Z</dcterms:created>
  <dcterms:modified xsi:type="dcterms:W3CDTF">2022-04-07T16:08:00Z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zotero-version="5.0.25"&gt;&lt;session id="n2h1uLYo"/&gt;&lt;style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name="noteType" value="0"/&gt;&lt;/prefs&gt;&lt;/data&gt;</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6th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http://www.zotero.org/styles/the-lancet</vt:lpwstr>
  </property>
  <property fmtid="{D5CDD505-2E9C-101B-9397-08002B2CF9AE}" pid="23" name="Mendeley Recent Style Name 9_1">
    <vt:lpwstr>The Lancet</vt:lpwstr>
  </property>
  <property fmtid="{D5CDD505-2E9C-101B-9397-08002B2CF9AE}" pid="24" name="Mendeley Document_1">
    <vt:lpwstr>True</vt:lpwstr>
  </property>
  <property fmtid="{D5CDD505-2E9C-101B-9397-08002B2CF9AE}" pid="25" name="Mendeley Unique User Id_1">
    <vt:lpwstr>b5e897ac-3657-3cc0-af5c-d7f527eea681</vt:lpwstr>
  </property>
  <property fmtid="{D5CDD505-2E9C-101B-9397-08002B2CF9AE}" pid="26" name="Mendeley Citation Style_1">
    <vt:lpwstr>http://www.zotero.org/styles/the-lancet</vt:lpwstr>
  </property>
</Properties>
</file>