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9F7" w:rsidRDefault="00CA59F7" w:rsidP="00CA59F7">
      <w:pPr>
        <w:spacing w:line="24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color w:val="333333"/>
          <w:sz w:val="24"/>
        </w:rPr>
        <w:t>Supplement Table 1</w:t>
      </w:r>
      <w:r>
        <w:rPr>
          <w:rFonts w:ascii="Times New Roman" w:hAnsi="Times New Roman"/>
          <w:b/>
          <w:bCs/>
          <w:sz w:val="24"/>
        </w:rPr>
        <w:t>:</w:t>
      </w:r>
      <w:r>
        <w:rPr>
          <w:rFonts w:ascii="Times New Roman" w:hAnsi="Times New Roman"/>
          <w:sz w:val="24"/>
        </w:rPr>
        <w:t xml:space="preserve"> The comparison of the clinical pregnancy rate and live birth rate between two study groups according to age group.</w:t>
      </w:r>
    </w:p>
    <w:tbl>
      <w:tblPr>
        <w:tblpPr w:leftFromText="180" w:rightFromText="180" w:vertAnchor="text" w:horzAnchor="page" w:tblpX="1733" w:tblpY="98"/>
        <w:tblOverlap w:val="never"/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2"/>
        <w:gridCol w:w="2080"/>
        <w:gridCol w:w="1886"/>
        <w:gridCol w:w="769"/>
        <w:gridCol w:w="490"/>
        <w:gridCol w:w="1850"/>
      </w:tblGrid>
      <w:tr w:rsidR="00CA59F7" w:rsidTr="00CA59F7">
        <w:trPr>
          <w:trHeight w:hRule="exact" w:val="979"/>
        </w:trPr>
        <w:tc>
          <w:tcPr>
            <w:tcW w:w="15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A59F7" w:rsidRDefault="00CA59F7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</w:pPr>
          </w:p>
          <w:p w:rsidR="00CA59F7" w:rsidRDefault="00CA59F7">
            <w:pPr>
              <w:spacing w:line="240" w:lineRule="exact"/>
              <w:jc w:val="center"/>
              <w:rPr>
                <w:rFonts w:ascii="SimSun" w:hAnsi="SimSun" w:cs="SimSu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HRT</w:t>
            </w:r>
          </w:p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(n=4143)</w:t>
            </w:r>
          </w:p>
        </w:tc>
        <w:tc>
          <w:tcPr>
            <w:tcW w:w="18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 xml:space="preserve">HRT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with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GnRH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 agonist</w:t>
            </w:r>
          </w:p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(n=906)</w:t>
            </w:r>
          </w:p>
        </w:tc>
        <w:tc>
          <w:tcPr>
            <w:tcW w:w="7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Style w:val="font21"/>
                <w:rFonts w:ascii="Times New Roman" w:hAnsi="Times New Roman"/>
                <w:b/>
                <w:bCs/>
                <w:sz w:val="24"/>
                <w:lang w:bidi="ar"/>
              </w:rPr>
              <w:t xml:space="preserve"> value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>OR  (95% CI)</w:t>
            </w:r>
            <w:proofErr w:type="spellStart"/>
            <w:r>
              <w:rPr>
                <w:rFonts w:ascii="Times New Roman" w:hAnsi="Times New Roman"/>
                <w:bCs/>
                <w:color w:val="000000"/>
                <w:kern w:val="0"/>
                <w:sz w:val="24"/>
                <w:vertAlign w:val="superscript"/>
                <w:lang w:bidi="ar"/>
              </w:rPr>
              <w:t>a,b</w:t>
            </w:r>
            <w:proofErr w:type="spellEnd"/>
          </w:p>
        </w:tc>
      </w:tr>
      <w:tr w:rsidR="00CA59F7" w:rsidTr="00CA59F7">
        <w:trPr>
          <w:trHeight w:hRule="exact" w:val="543"/>
        </w:trPr>
        <w:tc>
          <w:tcPr>
            <w:tcW w:w="15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  <w:szCs w:val="22"/>
                <w:lang w:bidi="ar"/>
              </w:rPr>
              <w:t>Clinical Pregnancy Rate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88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6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i/>
                <w:color w:val="000000"/>
                <w:szCs w:val="21"/>
              </w:rPr>
            </w:pPr>
          </w:p>
        </w:tc>
        <w:tc>
          <w:tcPr>
            <w:tcW w:w="185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CA59F7" w:rsidTr="00CA59F7">
        <w:trPr>
          <w:trHeight w:hRule="exact" w:val="437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&lt;30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67.8% (774/1141)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66.5% (121/182)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0.72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0.77(</w:t>
            </w:r>
            <w:r>
              <w:rPr>
                <w:rStyle w:val="font21"/>
                <w:sz w:val="20"/>
                <w:szCs w:val="20"/>
                <w:lang w:bidi="ar"/>
              </w:rPr>
              <w:t>0.42-1.41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CA59F7" w:rsidTr="00CA59F7">
        <w:trPr>
          <w:trHeight w:hRule="exact" w:val="437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30-35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59.7% (837/1402)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58.0% (177/305)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0.59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0.98(</w:t>
            </w:r>
            <w:r>
              <w:rPr>
                <w:rStyle w:val="font21"/>
                <w:sz w:val="20"/>
                <w:szCs w:val="20"/>
                <w:lang w:bidi="ar"/>
              </w:rPr>
              <w:t>0.61-1.59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CA59F7" w:rsidTr="00CA59F7">
        <w:trPr>
          <w:trHeight w:hRule="exact" w:val="437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35-40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49.7% (481/967)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50.2% (124/247)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0.89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1.11(</w:t>
            </w:r>
            <w:r>
              <w:rPr>
                <w:rStyle w:val="font21"/>
                <w:sz w:val="20"/>
                <w:szCs w:val="20"/>
                <w:lang w:bidi="ar"/>
              </w:rPr>
              <w:t>0.65-1.89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CA59F7" w:rsidTr="00CA59F7">
        <w:trPr>
          <w:trHeight w:hRule="exact" w:val="437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≥40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29.5% (187/633)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26.7% (46/172)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0.47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0.77(</w:t>
            </w:r>
            <w:r>
              <w:rPr>
                <w:rStyle w:val="font21"/>
                <w:sz w:val="20"/>
                <w:szCs w:val="20"/>
                <w:lang w:bidi="ar"/>
              </w:rPr>
              <w:t>0.40-1.46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CA59F7" w:rsidTr="00CA59F7">
        <w:trPr>
          <w:trHeight w:hRule="exact" w:val="534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Live Birth Rate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A59F7" w:rsidTr="00CA59F7">
        <w:trPr>
          <w:trHeight w:hRule="exact" w:val="437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&lt;30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59.1% (674/1141)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53.3% (97/182)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0.59(0.33-1.04)</w:t>
            </w:r>
          </w:p>
        </w:tc>
      </w:tr>
      <w:tr w:rsidR="00CA59F7" w:rsidTr="00CA59F7">
        <w:trPr>
          <w:trHeight w:hRule="exact" w:val="437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30-35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50.4% (706/1402)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49.2% (150/305)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1.01(0.64-1.62)</w:t>
            </w:r>
          </w:p>
        </w:tc>
      </w:tr>
      <w:tr w:rsidR="00CA59F7" w:rsidTr="00CA59F7">
        <w:trPr>
          <w:trHeight w:hRule="exact" w:val="456"/>
        </w:trPr>
        <w:tc>
          <w:tcPr>
            <w:tcW w:w="15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35-40 year</w:t>
            </w:r>
          </w:p>
        </w:tc>
        <w:tc>
          <w:tcPr>
            <w:tcW w:w="20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37.8% (366/967)</w:t>
            </w:r>
          </w:p>
        </w:tc>
        <w:tc>
          <w:tcPr>
            <w:tcW w:w="188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38.5% (95/247)</w:t>
            </w:r>
          </w:p>
        </w:tc>
        <w:tc>
          <w:tcPr>
            <w:tcW w:w="7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ind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1.10(0.64-1.88)</w:t>
            </w:r>
          </w:p>
        </w:tc>
      </w:tr>
      <w:tr w:rsidR="00CA59F7" w:rsidTr="00CA59F7">
        <w:trPr>
          <w:trHeight w:hRule="exact" w:val="456"/>
        </w:trPr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≥40 year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16.7% (106/633)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11.0% (19/172)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0.57(0.25-1.33)</w:t>
            </w:r>
          </w:p>
        </w:tc>
      </w:tr>
    </w:tbl>
    <w:p w:rsidR="00593616" w:rsidRDefault="00CA59F7"/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b/>
          <w:bCs/>
          <w:color w:val="333333"/>
          <w:sz w:val="24"/>
        </w:rPr>
      </w:pPr>
    </w:p>
    <w:p w:rsidR="00CA59F7" w:rsidRDefault="00CA59F7" w:rsidP="00CA59F7">
      <w:pPr>
        <w:rPr>
          <w:rFonts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color w:val="333333"/>
          <w:sz w:val="24"/>
        </w:rPr>
        <w:lastRenderedPageBreak/>
        <w:t xml:space="preserve">Supplement Table 2: </w:t>
      </w:r>
      <w:r>
        <w:rPr>
          <w:rFonts w:ascii="Times New Roman" w:hAnsi="Times New Roman"/>
          <w:sz w:val="24"/>
        </w:rPr>
        <w:t xml:space="preserve">Age and number of high-quality embryo transfer in two group </w:t>
      </w:r>
      <w:proofErr w:type="spellStart"/>
      <w:r>
        <w:rPr>
          <w:rFonts w:ascii="Times New Roman" w:hAnsi="Times New Roman"/>
          <w:sz w:val="24"/>
        </w:rPr>
        <w:t>accroding</w:t>
      </w:r>
      <w:proofErr w:type="spellEnd"/>
      <w:r>
        <w:rPr>
          <w:rFonts w:ascii="Times New Roman" w:hAnsi="Times New Roman"/>
          <w:sz w:val="24"/>
        </w:rPr>
        <w:t xml:space="preserve"> to different embryo transfer cycle.</w:t>
      </w:r>
    </w:p>
    <w:tbl>
      <w:tblPr>
        <w:tblpPr w:leftFromText="180" w:rightFromText="180" w:vertAnchor="page" w:horzAnchor="page" w:tblpX="1735" w:tblpY="3035"/>
        <w:tblOverlap w:val="never"/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4"/>
        <w:gridCol w:w="967"/>
        <w:gridCol w:w="1875"/>
        <w:gridCol w:w="1963"/>
        <w:gridCol w:w="2040"/>
      </w:tblGrid>
      <w:tr w:rsidR="00CA59F7" w:rsidTr="00CA59F7">
        <w:trPr>
          <w:trHeight w:val="585"/>
        </w:trPr>
        <w:tc>
          <w:tcPr>
            <w:tcW w:w="235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A59F7" w:rsidRDefault="00CA59F7"/>
        </w:tc>
        <w:tc>
          <w:tcPr>
            <w:tcW w:w="96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CA59F7" w:rsidRDefault="00CA59F7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A59F7" w:rsidRDefault="00CA59F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Age</w:t>
            </w:r>
          </w:p>
        </w:tc>
        <w:tc>
          <w:tcPr>
            <w:tcW w:w="587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A59F7" w:rsidRDefault="00CA59F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  <w:t>Number of high quality embryo transplanted</w:t>
            </w:r>
          </w:p>
        </w:tc>
      </w:tr>
      <w:tr w:rsidR="00CA59F7" w:rsidTr="00CA59F7">
        <w:trPr>
          <w:trHeight w:val="585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spacing w:after="0" w:line="240" w:lineRule="auto"/>
              <w:jc w:val="left"/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</w:t>
            </w:r>
          </w:p>
        </w:tc>
        <w:tc>
          <w:tcPr>
            <w:tcW w:w="19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HRT</w:t>
            </w:r>
          </w:p>
          <w:p w:rsidR="00CA59F7" w:rsidRDefault="00CA59F7">
            <w:pPr>
              <w:spacing w:line="240" w:lineRule="exact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(n=4143)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33.0  (29-37)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11.5% (476/4143)</w:t>
            </w:r>
          </w:p>
        </w:tc>
        <w:tc>
          <w:tcPr>
            <w:tcW w:w="196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40.3% (1670/4143)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48.2% (1997/4143)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First embryo transfer cycle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32.0  (28-37)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9.6% (201/2087)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37.9% (792/2087)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52.4% (1094/2087)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Second embryo transfer cycle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33.0  (29-37)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12.7% (176/1382)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43.8% (605/1382)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43.5% (601/1382)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Third or more embryo transfer cycle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34.0  (31-38)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14.7% (99/674)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40.5% (273/674)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44.8% (302/674)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 xml:space="preserve">HRT with </w:t>
            </w:r>
            <w:proofErr w:type="spellStart"/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GnRH</w:t>
            </w:r>
            <w:proofErr w:type="spellEnd"/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 xml:space="preserve"> agonist</w:t>
            </w:r>
          </w:p>
          <w:p w:rsidR="00CA59F7" w:rsidRDefault="00CA59F7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(n=906)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34.0  (30-38)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14.7% (133/906)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42.4% (384/906)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42.9% (389/906)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First embryo transfer cycle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34.0  (30-38)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16% (58/363)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42.1% (153/363)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41.9% (152/363)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Second embryo transfer cycle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34.0  (31-38)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13.7% (43/314)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45.5% (143/314)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40.8% (128/314)</w:t>
            </w:r>
          </w:p>
        </w:tc>
      </w:tr>
      <w:tr w:rsidR="00CA59F7" w:rsidTr="00CA59F7">
        <w:trPr>
          <w:trHeight w:hRule="exact" w:val="680"/>
        </w:trPr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Third or more embryo transfer cycle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34  (31-39)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14% (32/229)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38.4% (88/229)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A59F7" w:rsidRDefault="00CA59F7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47.6% (109/229)</w:t>
            </w:r>
          </w:p>
        </w:tc>
      </w:tr>
    </w:tbl>
    <w:p w:rsidR="00CA59F7" w:rsidRDefault="00CA59F7"/>
    <w:sectPr w:rsidR="00CA59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9F7"/>
    <w:rsid w:val="00295487"/>
    <w:rsid w:val="0066079B"/>
    <w:rsid w:val="0081617B"/>
    <w:rsid w:val="00CA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567E2"/>
  <w15:chartTrackingRefBased/>
  <w15:docId w15:val="{57A0DEBF-29E8-4148-81CC-799BD101A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59F7"/>
    <w:pPr>
      <w:widowControl w:val="0"/>
      <w:spacing w:after="200" w:line="276" w:lineRule="auto"/>
      <w:jc w:val="both"/>
    </w:pPr>
    <w:rPr>
      <w:rFonts w:ascii="Calibri" w:eastAsia="SimSun" w:hAnsi="Calibri" w:cs="Times New Roman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21">
    <w:name w:val="font21"/>
    <w:qFormat/>
    <w:rsid w:val="00CA59F7"/>
    <w:rPr>
      <w:rFonts w:ascii="Arial" w:hAnsi="Arial" w:cs="Arial" w:hint="default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>Springer Nature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2021-01-28T04:27:00Z</dcterms:created>
  <dcterms:modified xsi:type="dcterms:W3CDTF">2021-01-28T04:28:00Z</dcterms:modified>
</cp:coreProperties>
</file>