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5A1" w:rsidRDefault="0057691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859790</wp:posOffset>
            </wp:positionH>
            <wp:positionV relativeFrom="paragraph">
              <wp:posOffset>-251458</wp:posOffset>
            </wp:positionV>
            <wp:extent cx="4013835" cy="826135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25A1" w:rsidRDefault="008525A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8525A1" w:rsidRDefault="008525A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8525A1" w:rsidRDefault="008525A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8525A1" w:rsidRDefault="008525A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8525A1" w:rsidRDefault="0057691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SPIRIT 2013 Checklist: Recommended items to address in a clinical trial protocol and related documents*</w:t>
      </w:r>
    </w:p>
    <w:tbl>
      <w:tblPr>
        <w:tblStyle w:val="a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5"/>
        <w:gridCol w:w="720"/>
        <w:gridCol w:w="6675"/>
        <w:gridCol w:w="1433"/>
      </w:tblGrid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Section/item</w:t>
            </w:r>
          </w:p>
        </w:tc>
        <w:tc>
          <w:tcPr>
            <w:tcW w:w="720" w:type="dxa"/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ItemNo</w:t>
            </w:r>
            <w:proofErr w:type="spellEnd"/>
          </w:p>
        </w:tc>
        <w:tc>
          <w:tcPr>
            <w:tcW w:w="6675" w:type="dxa"/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1433" w:type="dxa"/>
          </w:tcPr>
          <w:p w:rsidR="002D3CDF" w:rsidRDefault="002D3CDF" w:rsidP="00C47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Manuscript Pages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Administrative information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Title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 w:val="restart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Trial registration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2a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/>
            <w:tcMar>
              <w:top w:w="85" w:type="dxa"/>
              <w:bottom w:w="85" w:type="dxa"/>
            </w:tcMar>
          </w:tcPr>
          <w:p w:rsidR="002D3CDF" w:rsidRDefault="002D3C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2b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1433" w:type="dxa"/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  <w:bookmarkStart w:id="0" w:name="_GoBack"/>
            <w:bookmarkEnd w:id="0"/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Protocol version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Date and version identifier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 w:val="restart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Roles and responsibilities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5a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1, 17</w:t>
            </w:r>
          </w:p>
        </w:tc>
      </w:tr>
      <w:tr w:rsidR="002D3CDF" w:rsidTr="00C47326">
        <w:trPr>
          <w:trHeight w:val="293"/>
        </w:trPr>
        <w:tc>
          <w:tcPr>
            <w:tcW w:w="1515" w:type="dxa"/>
            <w:vMerge/>
            <w:tcMar>
              <w:top w:w="85" w:type="dxa"/>
              <w:bottom w:w="85" w:type="dxa"/>
            </w:tcMar>
          </w:tcPr>
          <w:p w:rsidR="002D3CDF" w:rsidRDefault="002D3C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5b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1433" w:type="dxa"/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5c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5d</w:t>
            </w: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Composition, roles, and responsibilities of the coordinating centre, steering committee, endpoint adjudication committee, data </w:t>
            </w: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management team, and other individuals or groups overseeing the trial, if applicable (see Item 21a for data monitoring committee)</w:t>
            </w:r>
          </w:p>
        </w:tc>
        <w:tc>
          <w:tcPr>
            <w:tcW w:w="1433" w:type="dxa"/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14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Introduction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Background and rationale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6a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6b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Explanation for choice of comparators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Objectives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</w:tr>
      <w:tr w:rsidR="002D3CDF" w:rsidTr="00C47326">
        <w:trPr>
          <w:trHeight w:val="1238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Description of trial design including type of trial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superiority, equivalence, noninferiority, exploratory)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Study setting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Description of study settings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Eligibility criteria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Inclusion and exclusion criteria for participants. If applicable, eligibility criteria for study centres and individuals who will perform the interventions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surgeons, psychotherapists)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5-6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11a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1433" w:type="dxa"/>
            <w:shd w:val="clear" w:color="auto" w:fill="FFFFFF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6-8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11b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drug dose change in response to harms, participant request, or improving/worsening disease)</w:t>
            </w:r>
          </w:p>
        </w:tc>
        <w:tc>
          <w:tcPr>
            <w:tcW w:w="1433" w:type="dxa"/>
            <w:shd w:val="clear" w:color="auto" w:fill="FFFFFF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6-8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11c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drug tablet return, laboratory tests)</w:t>
            </w:r>
          </w:p>
        </w:tc>
        <w:tc>
          <w:tcPr>
            <w:tcW w:w="1433" w:type="dxa"/>
            <w:shd w:val="clear" w:color="auto" w:fill="FFFFFF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6-8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vMerge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11d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1433" w:type="dxa"/>
            <w:shd w:val="clear" w:color="auto" w:fill="FFFFFF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6-8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systolic blood pressure), analysis metric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Participant timeline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57691D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10-11,</w:t>
            </w:r>
          </w:p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Also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in </w:t>
            </w:r>
            <w:r w:rsidR="002D3CDF">
              <w:rPr>
                <w:rFonts w:ascii="Arial" w:eastAsia="Arial" w:hAnsi="Arial" w:cs="Arial"/>
                <w:sz w:val="22"/>
                <w:szCs w:val="22"/>
              </w:rPr>
              <w:t>Table 2 (additional file)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Methods: Assignment of interventions (for controlled trials)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Allocation: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tabs>
                <w:tab w:val="left" w:pos="180"/>
              </w:tabs>
              <w:ind w:left="27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Sequence generation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16a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Method of generating the allocation sequence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blocking) should be provided in a separate document that is unavailable to those who enrol participants or assign interventions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ind w:left="27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Allocation concealme</w:t>
            </w: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nt mechanism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16b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Mechanism of implementing the allocation sequence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, central telephone; sequentially numbered, opaque, sealed envelopes), </w:t>
            </w: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describing any steps to conceal the sequence until interventions are assigned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10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ind w:left="27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16c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Who will generate the allocation sequence, who will enrol participants, and who will assign participants to interventions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Blinding (masking)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17a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Who will be blinded after assignment to interventions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17b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1433" w:type="dxa"/>
            <w:shd w:val="clear" w:color="auto" w:fill="FFFFFF"/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Methods: Data collection, management, and analysis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Data collection methods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18a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1433" w:type="dxa"/>
            <w:shd w:val="clear" w:color="auto" w:fill="FFFFFF"/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10-11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18b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433" w:type="dxa"/>
            <w:shd w:val="clear" w:color="auto" w:fill="FFFFFF"/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10-11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Data management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19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20a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Statistical methods for analysing primary and secondary outcomes. Reference to where other details of the statistical analysis plan can be found, if not in the protocol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11-12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20b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Methods for any additional analyses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subgroup and adjusted analyses)</w:t>
            </w:r>
          </w:p>
        </w:tc>
        <w:tc>
          <w:tcPr>
            <w:tcW w:w="1433" w:type="dxa"/>
            <w:shd w:val="clear" w:color="auto" w:fill="FFFFFF"/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12-13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20c</w:t>
            </w:r>
          </w:p>
        </w:tc>
        <w:tc>
          <w:tcPr>
            <w:tcW w:w="6675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Definition of analysis population relating to protocol non-adherence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as randomised analysis), and any statistical methods to handle missing data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multiple imputation)</w:t>
            </w:r>
          </w:p>
        </w:tc>
        <w:tc>
          <w:tcPr>
            <w:tcW w:w="1433" w:type="dxa"/>
            <w:shd w:val="clear" w:color="auto" w:fill="FFFFFF"/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Methods: Monitoring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Data monitoring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21a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</w:tr>
      <w:tr w:rsidR="002D3CDF" w:rsidTr="00C47326">
        <w:trPr>
          <w:trHeight w:val="491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21b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22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Auditing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15-16</w:t>
            </w:r>
          </w:p>
        </w:tc>
      </w:tr>
      <w:tr w:rsidR="002D3CDF" w:rsidTr="00C47326">
        <w:trPr>
          <w:trHeight w:val="259"/>
        </w:trPr>
        <w:tc>
          <w:tcPr>
            <w:tcW w:w="8910" w:type="dxa"/>
            <w:gridSpan w:val="3"/>
            <w:tcMar>
              <w:top w:w="85" w:type="dxa"/>
              <w:bottom w:w="85" w:type="dxa"/>
            </w:tcMar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Ethics and dissemination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Research ethics approval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24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seeking research ethics committee/institutional review board (REC/IRB) approval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Protocol amendments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25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communicating important protocol modifications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investigators, REC/IRBs, trial participants, trial registries, journals, regulators)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Consent or assent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26a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Who will obtain informed consent or assent from potential trial participants or authorised surrogates, and how (see Item 32)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26b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Confidentiality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27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Declaration of interests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28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18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Access to data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29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Ancillary and post-trial care</w:t>
            </w:r>
          </w:p>
        </w:tc>
        <w:tc>
          <w:tcPr>
            <w:tcW w:w="720" w:type="dxa"/>
            <w:shd w:val="clear" w:color="auto" w:fill="FFFFFF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6675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1433" w:type="dxa"/>
            <w:shd w:val="clear" w:color="auto" w:fill="FFFFFF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Dissemination policy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31a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31b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C47326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31c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57691D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Appendices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33" w:type="dxa"/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Informed consent materials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32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Model consent form and other related documentation given to participants and authorised surrogates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D3CDF" w:rsidTr="00C47326">
        <w:trPr>
          <w:trHeight w:val="259"/>
        </w:trPr>
        <w:tc>
          <w:tcPr>
            <w:tcW w:w="151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Biological specimens</w:t>
            </w:r>
          </w:p>
        </w:tc>
        <w:tc>
          <w:tcPr>
            <w:tcW w:w="720" w:type="dxa"/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33</w:t>
            </w:r>
          </w:p>
        </w:tc>
        <w:tc>
          <w:tcPr>
            <w:tcW w:w="6675" w:type="dxa"/>
            <w:tcMar>
              <w:top w:w="85" w:type="dxa"/>
              <w:bottom w:w="85" w:type="dxa"/>
            </w:tcMar>
          </w:tcPr>
          <w:p w:rsidR="002D3CDF" w:rsidRDefault="002D3CDF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1433" w:type="dxa"/>
            <w:tcMar>
              <w:top w:w="85" w:type="dxa"/>
              <w:bottom w:w="85" w:type="dxa"/>
            </w:tcMar>
          </w:tcPr>
          <w:p w:rsidR="002D3CDF" w:rsidRDefault="002D3CDF" w:rsidP="00C4732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8525A1" w:rsidRDefault="0057691D">
      <w:pPr>
        <w:rPr>
          <w:rFonts w:ascii="Arial" w:eastAsia="Arial" w:hAnsi="Arial" w:cs="Arial"/>
          <w:sz w:val="22"/>
          <w:szCs w:val="22"/>
        </w:rPr>
      </w:pPr>
      <w:bookmarkStart w:id="1" w:name="_gjdgxs" w:colFirst="0" w:colLast="0"/>
      <w:bookmarkEnd w:id="1"/>
      <w:r>
        <w:rPr>
          <w:rFonts w:ascii="Arial" w:eastAsia="Arial" w:hAnsi="Arial" w:cs="Arial"/>
          <w:sz w:val="22"/>
          <w:szCs w:val="22"/>
        </w:rPr>
        <w:lastRenderedPageBreak/>
        <w:t>*</w:t>
      </w:r>
      <w:r>
        <w:rPr>
          <w:rFonts w:ascii="Arial" w:eastAsia="Arial" w:hAnsi="Arial" w:cs="Arial"/>
          <w:sz w:val="22"/>
          <w:szCs w:val="22"/>
        </w:rPr>
        <w:t>It is strongly recommended that this checklist be read in conjunction with the SPIRIT 2013 Explanation &amp; Elaboration for important clarification on the items. Amendments to the protocol should be tracked and dated. The SPIRIT checklist is copyrighted by t</w:t>
      </w:r>
      <w:r>
        <w:rPr>
          <w:rFonts w:ascii="Arial" w:eastAsia="Arial" w:hAnsi="Arial" w:cs="Arial"/>
          <w:sz w:val="22"/>
          <w:szCs w:val="22"/>
        </w:rPr>
        <w:t>he SPIRIT Group under the Creative Commons “</w:t>
      </w:r>
      <w:hyperlink r:id="rId7"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Attribution-</w:t>
        </w:r>
        <w:proofErr w:type="spellStart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NonCommercial</w:t>
        </w:r>
        <w:proofErr w:type="spellEnd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-</w:t>
        </w:r>
        <w:proofErr w:type="spellStart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NoDerivs</w:t>
        </w:r>
        <w:proofErr w:type="spellEnd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 xml:space="preserve"> 3.0 </w:t>
        </w:r>
        <w:proofErr w:type="spellStart"/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Unported</w:t>
        </w:r>
        <w:proofErr w:type="spellEnd"/>
      </w:hyperlink>
      <w:r>
        <w:rPr>
          <w:rFonts w:ascii="Arial" w:eastAsia="Arial" w:hAnsi="Arial" w:cs="Arial"/>
          <w:sz w:val="22"/>
          <w:szCs w:val="22"/>
        </w:rPr>
        <w:t>” license.</w:t>
      </w:r>
    </w:p>
    <w:p w:rsidR="008525A1" w:rsidRDefault="008525A1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sectPr w:rsidR="008525A1">
      <w:footerReference w:type="even" r:id="rId8"/>
      <w:footerReference w:type="default" r:id="rId9"/>
      <w:pgSz w:w="16834" w:h="11909" w:orient="landscape"/>
      <w:pgMar w:top="992" w:right="1440" w:bottom="1440" w:left="1440" w:header="54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7691D">
      <w:r>
        <w:separator/>
      </w:r>
    </w:p>
  </w:endnote>
  <w:endnote w:type="continuationSeparator" w:id="0">
    <w:p w:rsidR="00000000" w:rsidRDefault="00576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25A1" w:rsidRDefault="005769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:rsidR="008525A1" w:rsidRDefault="008525A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rFonts w:ascii="Arial" w:eastAsia="Arial" w:hAnsi="Arial" w:cs="Arial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25A1" w:rsidRDefault="0057691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 w:rsidR="002D3CDF"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2D3CDF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:rsidR="008525A1" w:rsidRDefault="008525A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rFonts w:ascii="Arial" w:eastAsia="Arial" w:hAnsi="Arial" w:cs="Arial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7691D">
      <w:r>
        <w:separator/>
      </w:r>
    </w:p>
  </w:footnote>
  <w:footnote w:type="continuationSeparator" w:id="0">
    <w:p w:rsidR="00000000" w:rsidRDefault="00576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5A1"/>
    <w:rsid w:val="002D3CDF"/>
    <w:rsid w:val="0057691D"/>
    <w:rsid w:val="008525A1"/>
    <w:rsid w:val="00C4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E9557"/>
  <w15:docId w15:val="{0951CBC7-9A1E-490A-935F-F5E75D79D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ind w:left="720"/>
      <w:outlineLvl w:val="1"/>
    </w:pPr>
    <w:rPr>
      <w:rFonts w:ascii="Arial" w:eastAsia="Arial" w:hAnsi="Arial" w:cs="Arial"/>
      <w:b/>
      <w:i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ind w:left="1440"/>
      <w:outlineLvl w:val="2"/>
    </w:pPr>
    <w:rPr>
      <w:rFonts w:ascii="Arial" w:eastAsia="Arial" w:hAnsi="Arial" w:cs="Arial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ind w:left="2160"/>
      <w:outlineLvl w:val="3"/>
    </w:pPr>
    <w:rPr>
      <w:rFonts w:ascii="Arial" w:eastAsia="Arial" w:hAnsi="Arial" w:cs="Arial"/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ind w:left="288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ind w:left="3600"/>
      <w:outlineLvl w:val="5"/>
    </w:pPr>
    <w:rPr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60" w:after="60"/>
    </w:pPr>
    <w:rPr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spacing w:after="60"/>
    </w:pPr>
    <w:rPr>
      <w:i/>
    </w:rPr>
  </w:style>
  <w:style w:type="table" w:customStyle="1" w:styleId="a">
    <w:basedOn w:val="TableNormal"/>
    <w:tblPr>
      <w:tblStyleRowBandSize w:val="1"/>
      <w:tblStyleColBandSize w:val="1"/>
      <w:tblCellMar>
        <w:left w:w="56" w:type="dxa"/>
        <w:right w:w="56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reativecommons.org/licenses/by-nc-nd/3.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Faraz Siddiqui</cp:lastModifiedBy>
  <cp:revision>2</cp:revision>
  <dcterms:created xsi:type="dcterms:W3CDTF">2021-01-18T13:30:00Z</dcterms:created>
  <dcterms:modified xsi:type="dcterms:W3CDTF">2021-01-18T14:05:00Z</dcterms:modified>
</cp:coreProperties>
</file>