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5D" w:rsidRPr="00223689" w:rsidRDefault="00F5605D" w:rsidP="00F5605D">
      <w:pPr>
        <w:rPr>
          <w:rFonts w:ascii="Times New Roman" w:hAnsi="Times New Roman" w:cs="Times New Roman"/>
          <w:sz w:val="20"/>
          <w:szCs w:val="20"/>
        </w:rPr>
      </w:pPr>
      <w:r w:rsidRPr="00223689">
        <w:rPr>
          <w:rFonts w:ascii="Times New Roman" w:hAnsi="Times New Roman" w:cs="Times New Roman"/>
          <w:sz w:val="20"/>
          <w:szCs w:val="20"/>
        </w:rPr>
        <w:t xml:space="preserve">Table 1.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223689">
        <w:rPr>
          <w:rFonts w:ascii="Times New Roman" w:hAnsi="Times New Roman" w:cs="Times New Roman"/>
          <w:sz w:val="20"/>
          <w:szCs w:val="20"/>
        </w:rPr>
        <w:t xml:space="preserve">escriptive statistics of arseniasis cohort in association with urothelial </w:t>
      </w:r>
      <w:r>
        <w:rPr>
          <w:rFonts w:ascii="Times New Roman" w:hAnsi="Times New Roman" w:cs="Times New Roman"/>
          <w:sz w:val="20"/>
          <w:szCs w:val="20"/>
        </w:rPr>
        <w:t xml:space="preserve">tract </w:t>
      </w:r>
      <w:r w:rsidRPr="00223689">
        <w:rPr>
          <w:rFonts w:ascii="Times New Roman" w:hAnsi="Times New Roman" w:cs="Times New Roman"/>
          <w:sz w:val="20"/>
          <w:szCs w:val="20"/>
        </w:rPr>
        <w:t>cancers (</w:t>
      </w:r>
      <w:r w:rsidRPr="00B174F6">
        <w:rPr>
          <w:rFonts w:ascii="Times New Roman" w:hAnsi="Times New Roman" w:cs="Times New Roman"/>
          <w:i/>
          <w:sz w:val="20"/>
          <w:szCs w:val="20"/>
        </w:rPr>
        <w:t>ICD10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3689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C64–68</w:t>
      </w:r>
      <w:r w:rsidRPr="0022368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88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2"/>
        <w:gridCol w:w="1240"/>
        <w:gridCol w:w="1320"/>
        <w:gridCol w:w="1600"/>
        <w:gridCol w:w="1274"/>
        <w:gridCol w:w="676"/>
        <w:gridCol w:w="676"/>
      </w:tblGrid>
      <w:tr w:rsidR="00F5605D" w:rsidRPr="008C3D05" w:rsidTr="00F5605D">
        <w:trPr>
          <w:trHeight w:val="340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person-year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Incidence density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Univariate analysis</w:t>
            </w:r>
          </w:p>
        </w:tc>
      </w:tr>
      <w:tr w:rsidR="00F5605D" w:rsidRPr="00223689" w:rsidTr="00F5605D">
        <w:trPr>
          <w:trHeight w:val="370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(10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-5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/year)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HR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95% CI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5605D" w:rsidRPr="008C3D05" w:rsidTr="00F5605D">
        <w:trPr>
          <w:trHeight w:val="340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Sociodemographic variables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223689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223689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Overall (n=5811)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108683.65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78.21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223689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223689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223689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a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 recruitment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widowControl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&lt;58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widowControl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63428.12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973F98" w:rsidRDefault="00F5605D" w:rsidP="00F5605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73F98">
              <w:rPr>
                <w:rFonts w:ascii="Times New Roman" w:hAnsi="Times New Roman" w:cs="Times New Roman" w:hint="eastAsia"/>
                <w:sz w:val="20"/>
              </w:rPr>
              <w:t>59.91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</w:rPr>
                <m:t>≥</m:t>
              </m:r>
            </m:oMath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45255.53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973F98" w:rsidRDefault="00F5605D" w:rsidP="00F5605D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73F98">
              <w:rPr>
                <w:rFonts w:ascii="Times New Roman" w:hAnsi="Times New Roman" w:cs="Times New Roman" w:hint="eastAsia"/>
                <w:sz w:val="20"/>
              </w:rPr>
              <w:t>103.85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1.919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(1.237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2.977)</w:t>
            </w: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56006.77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74.99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52676.88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81.63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(0.718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1.708)</w:t>
            </w: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Marry Status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Married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105968.97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79.27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Single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1888.49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52.95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0.723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0.101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5.188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Elementary and lower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100234.16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79.81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Junior high and higher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8147.34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49.10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0.61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0.222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1.655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Occupation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494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Soldiers/government employees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1255.63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79.64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0.546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4.51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5605D" w:rsidRPr="008C3D05" w:rsidTr="00F5605D">
        <w:trPr>
          <w:trHeight w:val="77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Labor workers and business person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15518.46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83.77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(0.549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2.699)</w:t>
            </w:r>
          </w:p>
        </w:tc>
      </w:tr>
      <w:tr w:rsidR="00F5605D" w:rsidRPr="008C3D05" w:rsidTr="00F5605D">
        <w:trPr>
          <w:trHeight w:val="576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Agriculture,  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and </w:t>
            </w: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fisher</w:t>
            </w:r>
            <w:r w:rsidRPr="0022368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man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46068.25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91.17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(0.859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2.336)</w:t>
            </w: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Housekeeping and others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39675.00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63.01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Lifestyle Variables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Cigarette smoking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66706.98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67.46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41976.68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95.29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(0.94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2.243)</w:t>
            </w: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Alcohol drinking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4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88977.83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78.67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5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19573.7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76.63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0.98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(0.551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8C3D05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C3D05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1.742)</w:t>
            </w:r>
          </w:p>
        </w:tc>
      </w:tr>
      <w:tr w:rsidR="00F5605D" w:rsidRPr="008C3D05" w:rsidTr="00F5605D">
        <w:trPr>
          <w:trHeight w:val="35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widowControl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Tea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5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82541.27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75.11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 w:hint="eastAsia"/>
                <w:color w:val="000000"/>
                <w:sz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5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25842.75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88.99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1.24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(0.766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2.007)</w:t>
            </w:r>
          </w:p>
        </w:tc>
      </w:tr>
      <w:tr w:rsidR="00F5605D" w:rsidRPr="008C3D05" w:rsidTr="00F5605D">
        <w:trPr>
          <w:trHeight w:val="35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Exercise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5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84732.74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73.17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 w:hint="eastAsia"/>
                <w:color w:val="000000"/>
                <w:sz w:val="20"/>
              </w:rPr>
              <w:t>1.00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05D" w:rsidRPr="008C3D05" w:rsidTr="00F5605D">
        <w:trPr>
          <w:trHeight w:val="350"/>
        </w:trPr>
        <w:tc>
          <w:tcPr>
            <w:tcW w:w="20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23614.93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</w:rPr>
              <w:t>97.40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1.304</w:t>
            </w:r>
          </w:p>
        </w:tc>
        <w:tc>
          <w:tcPr>
            <w:tcW w:w="6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(0.794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6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6A4A0B" w:rsidRDefault="00F5605D" w:rsidP="00F560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4A0B">
              <w:rPr>
                <w:rFonts w:ascii="Times New Roman" w:hAnsi="Times New Roman" w:cs="Times New Roman"/>
                <w:color w:val="000000"/>
                <w:sz w:val="20"/>
              </w:rPr>
              <w:t>2.143)</w:t>
            </w:r>
          </w:p>
        </w:tc>
      </w:tr>
    </w:tbl>
    <w:p w:rsidR="00F5605D" w:rsidRDefault="00F5605D" w:rsidP="00F5605D">
      <w:pPr>
        <w:widowControl/>
        <w:rPr>
          <w:rFonts w:ascii="Times New Roman" w:hAnsi="Times New Roman" w:cs="Times New Roman"/>
          <w:sz w:val="20"/>
          <w:szCs w:val="20"/>
        </w:rPr>
        <w:sectPr w:rsidR="00F5605D" w:rsidSect="00F5605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5605D" w:rsidRPr="00FE757A" w:rsidRDefault="00F5605D" w:rsidP="00F5605D">
      <w:pPr>
        <w:rPr>
          <w:rFonts w:ascii="Times New Roman" w:hAnsi="Times New Roman" w:cs="Times New Roman"/>
          <w:szCs w:val="24"/>
        </w:rPr>
      </w:pPr>
      <w:r w:rsidRPr="00FE757A">
        <w:rPr>
          <w:rFonts w:ascii="Times New Roman" w:hAnsi="Times New Roman" w:cs="Times New Roman"/>
          <w:szCs w:val="24"/>
        </w:rPr>
        <w:lastRenderedPageBreak/>
        <w:t xml:space="preserve">Table 2. </w:t>
      </w:r>
      <w:r>
        <w:rPr>
          <w:rFonts w:ascii="Times New Roman" w:hAnsi="Times New Roman" w:cs="Times New Roman"/>
          <w:szCs w:val="24"/>
        </w:rPr>
        <w:t xml:space="preserve">Association of </w:t>
      </w:r>
      <w:r w:rsidRPr="00FE757A">
        <w:rPr>
          <w:rFonts w:ascii="Times New Roman" w:hAnsi="Times New Roman" w:cs="Times New Roman"/>
          <w:szCs w:val="24"/>
        </w:rPr>
        <w:t xml:space="preserve">arsenic exposure metrics </w:t>
      </w:r>
      <w:r>
        <w:rPr>
          <w:rFonts w:ascii="Times New Roman" w:hAnsi="Times New Roman" w:cs="Times New Roman"/>
          <w:szCs w:val="24"/>
        </w:rPr>
        <w:t>among study groups</w:t>
      </w:r>
    </w:p>
    <w:tbl>
      <w:tblPr>
        <w:tblW w:w="13508" w:type="dxa"/>
        <w:tblInd w:w="-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2"/>
        <w:gridCol w:w="1142"/>
        <w:gridCol w:w="1356"/>
        <w:gridCol w:w="208"/>
        <w:gridCol w:w="1179"/>
        <w:gridCol w:w="1356"/>
        <w:gridCol w:w="1004"/>
        <w:gridCol w:w="1143"/>
        <w:gridCol w:w="1356"/>
        <w:gridCol w:w="1085"/>
        <w:gridCol w:w="1297"/>
      </w:tblGrid>
      <w:tr w:rsidR="00F5605D" w:rsidRPr="00FE757A" w:rsidTr="00F5605D">
        <w:trPr>
          <w:trHeight w:val="213"/>
        </w:trPr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Non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ancer control</w:t>
            </w: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 (n=5726)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Bladder cancer cases 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FE757A">
              <w:rPr>
                <w:rFonts w:ascii="Times New Roman" w:hAnsi="Times New Roman" w:cs="Times New Roman"/>
                <w:szCs w:val="24"/>
              </w:rPr>
              <w:t>(ICD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FE757A">
              <w:rPr>
                <w:rFonts w:ascii="Times New Roman" w:hAnsi="Times New Roman" w:cs="Times New Roman"/>
                <w:szCs w:val="24"/>
              </w:rPr>
              <w:t>=</w:t>
            </w:r>
            <w:r>
              <w:rPr>
                <w:rFonts w:ascii="Times New Roman" w:hAnsi="Times New Roman" w:cs="Times New Roman"/>
                <w:szCs w:val="24"/>
              </w:rPr>
              <w:t>67</w:t>
            </w:r>
            <w:r w:rsidRPr="00FE757A">
              <w:rPr>
                <w:rFonts w:ascii="Times New Roman" w:hAnsi="Times New Roman" w:cs="Times New Roman"/>
                <w:szCs w:val="24"/>
              </w:rPr>
              <w:t>)</w:t>
            </w: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(n=49)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Upper urothelial tract cancers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FE757A">
              <w:rPr>
                <w:rFonts w:ascii="Times New Roman" w:hAnsi="Times New Roman" w:cs="Times New Roman"/>
                <w:szCs w:val="24"/>
              </w:rPr>
              <w:t>(ICD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FE757A">
              <w:rPr>
                <w:rFonts w:ascii="Times New Roman" w:hAnsi="Times New Roman" w:cs="Times New Roman"/>
                <w:szCs w:val="24"/>
              </w:rPr>
              <w:t>=</w:t>
            </w:r>
            <w:r>
              <w:rPr>
                <w:rFonts w:ascii="Times New Roman" w:hAnsi="Times New Roman" w:cs="Times New Roman"/>
                <w:szCs w:val="24"/>
              </w:rPr>
              <w:t>64~66, 68</w:t>
            </w:r>
            <w:r w:rsidRPr="00FE757A">
              <w:rPr>
                <w:rFonts w:ascii="Times New Roman" w:hAnsi="Times New Roman" w:cs="Times New Roman"/>
                <w:szCs w:val="24"/>
              </w:rPr>
              <w:t>)</w:t>
            </w: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(n=36)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vertAlign w:val="superscript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NOVA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vertAlign w:val="superscript"/>
              </w:rPr>
              <w:t>**</w:t>
            </w:r>
          </w:p>
        </w:tc>
      </w:tr>
      <w:tr w:rsidR="00F5605D" w:rsidRPr="00FE757A" w:rsidTr="00F5605D">
        <w:trPr>
          <w:trHeight w:val="219"/>
        </w:trPr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Means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SD</w:t>
            </w:r>
          </w:p>
        </w:tc>
        <w:tc>
          <w:tcPr>
            <w:tcW w:w="2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Means</w:t>
            </w:r>
          </w:p>
        </w:tc>
        <w:tc>
          <w:tcPr>
            <w:tcW w:w="13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SD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Median</w:t>
            </w:r>
          </w:p>
        </w:tc>
        <w:tc>
          <w:tcPr>
            <w:tcW w:w="13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SD</w:t>
            </w:r>
          </w:p>
        </w:tc>
        <w:tc>
          <w:tcPr>
            <w:tcW w:w="10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p-value</w:t>
            </w:r>
          </w:p>
        </w:tc>
      </w:tr>
      <w:tr w:rsidR="00F5605D" w:rsidRPr="00FE757A" w:rsidTr="00F5605D">
        <w:trPr>
          <w:trHeight w:val="213"/>
        </w:trPr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C92E7A" w:rsidRDefault="00F5605D" w:rsidP="00F5605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92E7A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Arsenic Exposure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Concentration in well water (ppb)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133.28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302.24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350.45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696.36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1.00</w:t>
            </w:r>
            <w:r>
              <w:rPr>
                <w:rFonts w:ascii="Times New Roman" w:hAnsi="Times New Roman" w:cs="Times New Roman" w:hint="eastAsia"/>
                <w:color w:val="000000"/>
              </w:rPr>
              <w:t>*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346.23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643.20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5605D" w:rsidRDefault="00F5605D" w:rsidP="00F5605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</w:t>
            </w:r>
            <w:r>
              <w:rPr>
                <w:rFonts w:ascii="Times New Roman" w:hAnsi="Times New Roman" w:cs="Times New Roman" w:hint="eastAsia"/>
                <w:color w:val="000000"/>
              </w:rPr>
              <w:t>*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&lt;.0001</w:t>
            </w:r>
            <w:r w:rsidRPr="00B005BF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Years of exposure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41.54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16.13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44.33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15.10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41.14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14.76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0.585</w:t>
            </w:r>
          </w:p>
        </w:tc>
      </w:tr>
      <w:tr w:rsidR="00F5605D" w:rsidRPr="00FE757A" w:rsidTr="00F5605D">
        <w:trPr>
          <w:trHeight w:val="405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Cumulative arsenic exposure</w:t>
            </w:r>
          </w:p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(ppm-years)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4.44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10.58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10.08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17.35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13.11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24.19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1.03</w:t>
            </w:r>
            <w:r>
              <w:rPr>
                <w:rFonts w:ascii="Times New Roman" w:hAnsi="Times New Roman" w:cs="Times New Roman" w:hint="eastAsia"/>
                <w:color w:val="000000"/>
              </w:rPr>
              <w:t>*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&lt;.0001</w:t>
            </w:r>
            <w:r w:rsidRPr="00B005BF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</w:tr>
      <w:tr w:rsidR="00F5605D" w:rsidRPr="00FE757A" w:rsidTr="00F5605D">
        <w:trPr>
          <w:trHeight w:val="213"/>
        </w:trPr>
        <w:tc>
          <w:tcPr>
            <w:tcW w:w="626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C92E7A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Urinary Inorganic Arsenic Metabolites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F5605D" w:rsidRPr="00FE757A" w:rsidRDefault="00F5605D" w:rsidP="00F56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Total (ppb)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99.10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130.43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192.48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244.32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1.00</w:t>
            </w:r>
            <w:r>
              <w:rPr>
                <w:rFonts w:ascii="Times New Roman" w:hAnsi="Times New Roman" w:cs="Times New Roman" w:hint="eastAsia"/>
                <w:color w:val="000000"/>
              </w:rPr>
              <w:t>*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95.95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76.45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0.078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Inorganic arsenic (ppb)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9.32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13.11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27.94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65.29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1.02</w:t>
            </w:r>
            <w:r>
              <w:rPr>
                <w:rFonts w:ascii="Times New Roman" w:hAnsi="Times New Roman" w:cs="Times New Roman" w:hint="eastAsia"/>
                <w:color w:val="000000"/>
              </w:rPr>
              <w:t>*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13.16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17.77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0.064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MMA (ppb)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10.72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18.64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17.77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26.68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11.45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13.68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0.508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DMA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79.07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110.51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146.77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174.49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1.00</w:t>
            </w:r>
            <w:r>
              <w:rPr>
                <w:rFonts w:ascii="Times New Roman" w:hAnsi="Times New Roman" w:cs="Times New Roman" w:hint="eastAsia"/>
                <w:color w:val="000000"/>
              </w:rPr>
              <w:t>*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71.34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56.83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0.098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11.90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9.74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12.58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8.71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15.44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14.34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0.598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MMA%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9.94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6.66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9.09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5.90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10.61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7.76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0.577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DMA%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78.15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11.60</w:t>
            </w:r>
          </w:p>
        </w:tc>
        <w:tc>
          <w:tcPr>
            <w:tcW w:w="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78.33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11.10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73.95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14.50</w:t>
            </w: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0.200</w:t>
            </w:r>
          </w:p>
        </w:tc>
      </w:tr>
      <w:tr w:rsidR="00F5605D" w:rsidRPr="00FE757A" w:rsidTr="00F5605D">
        <w:trPr>
          <w:trHeight w:val="213"/>
        </w:trPr>
        <w:tc>
          <w:tcPr>
            <w:tcW w:w="23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PMI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1.95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7.17</w:t>
            </w:r>
          </w:p>
        </w:tc>
        <w:tc>
          <w:tcPr>
            <w:tcW w:w="208" w:type="dxa"/>
            <w:tcBorders>
              <w:top w:val="nil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1.55</w:t>
            </w:r>
          </w:p>
        </w:tc>
        <w:tc>
          <w:tcPr>
            <w:tcW w:w="135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1356" w:type="dxa"/>
            <w:tcBorders>
              <w:top w:val="nil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15.63</w:t>
            </w:r>
          </w:p>
        </w:tc>
        <w:tc>
          <w:tcPr>
            <w:tcW w:w="1084" w:type="dxa"/>
            <w:tcBorders>
              <w:top w:val="nil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vAlign w:val="center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0.633</w:t>
            </w:r>
          </w:p>
        </w:tc>
      </w:tr>
      <w:tr w:rsidR="00F5605D" w:rsidRPr="00FE757A" w:rsidTr="00F5605D">
        <w:trPr>
          <w:trHeight w:val="219"/>
        </w:trPr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E75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SMI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14.80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62.39</w:t>
            </w:r>
          </w:p>
        </w:tc>
        <w:tc>
          <w:tcPr>
            <w:tcW w:w="2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19.41</w:t>
            </w:r>
          </w:p>
        </w:tc>
        <w:tc>
          <w:tcPr>
            <w:tcW w:w="13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36.65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F5605D" w:rsidRPr="00FE757A" w:rsidRDefault="00F5605D" w:rsidP="00F5605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10.71</w:t>
            </w:r>
          </w:p>
        </w:tc>
        <w:tc>
          <w:tcPr>
            <w:tcW w:w="13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F5605D" w:rsidRPr="00FE757A" w:rsidRDefault="00F5605D" w:rsidP="00F5605D">
            <w:pPr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±</m:t>
              </m:r>
            </m:oMath>
            <w:r w:rsidRPr="00FE757A">
              <w:rPr>
                <w:rFonts w:ascii="Times New Roman" w:hAnsi="Times New Roman" w:cs="Times New Roman"/>
                <w:color w:val="000000"/>
              </w:rPr>
              <w:t>6.57</w:t>
            </w:r>
          </w:p>
        </w:tc>
        <w:tc>
          <w:tcPr>
            <w:tcW w:w="10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5605D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05D" w:rsidRPr="00FE757A" w:rsidRDefault="00F5605D" w:rsidP="00F56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7A">
              <w:rPr>
                <w:rFonts w:ascii="Times New Roman" w:hAnsi="Times New Roman" w:cs="Times New Roman"/>
                <w:color w:val="000000"/>
              </w:rPr>
              <w:t>0.506</w:t>
            </w:r>
          </w:p>
        </w:tc>
      </w:tr>
      <w:tr w:rsidR="00F5605D" w:rsidRPr="00FE757A" w:rsidTr="00F5605D">
        <w:trPr>
          <w:trHeight w:val="219"/>
        </w:trPr>
        <w:tc>
          <w:tcPr>
            <w:tcW w:w="13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05D" w:rsidRPr="00B005BF" w:rsidRDefault="00F5605D" w:rsidP="00F5605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DC1B6F">
              <w:rPr>
                <w:rFonts w:ascii="Times New Roman" w:eastAsia="標楷體" w:hAnsi="Times New Roman" w:cs="Times New Roman"/>
                <w:i/>
                <w:color w:val="000000"/>
                <w:kern w:val="0"/>
                <w:szCs w:val="24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&lt;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0.05, performed by univariate Cox regression model</w:t>
            </w:r>
          </w:p>
          <w:p w:rsidR="00F5605D" w:rsidRPr="00B005BF" w:rsidRDefault="00F5605D" w:rsidP="00F5605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**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og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arithmic transformation before 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ANOVA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and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Scheffe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multiple comparison procedure</w:t>
            </w:r>
          </w:p>
          <w:p w:rsidR="00F5605D" w:rsidRDefault="00F5605D" w:rsidP="00F5605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B5F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perscript"/>
              </w:rPr>
              <w:t>a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Statistical significance when comparing b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ladder cancer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cases and noncancer controls</w:t>
            </w:r>
          </w:p>
          <w:p w:rsidR="00F5605D" w:rsidRPr="00B005BF" w:rsidRDefault="00F5605D" w:rsidP="00F5605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B5F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perscript"/>
              </w:rPr>
              <w:t>b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Statistical significance when comparing upper urothelial tract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cancer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cases and noncancer controls</w:t>
            </w:r>
          </w:p>
          <w:p w:rsidR="00F5605D" w:rsidRPr="00FE757A" w:rsidRDefault="00F5605D" w:rsidP="00F5605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5F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perscript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Statistical significance when comparing upper urothelial tract</w:t>
            </w:r>
            <w:r w:rsidRPr="00B005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cancer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cases and bladder cancer cases</w:t>
            </w:r>
          </w:p>
        </w:tc>
      </w:tr>
    </w:tbl>
    <w:p w:rsidR="00F5605D" w:rsidRDefault="00F5605D" w:rsidP="00F5605D">
      <w:pPr>
        <w:rPr>
          <w:rFonts w:ascii="Times New Roman" w:hAnsi="Times New Roman" w:cs="Times New Roman"/>
        </w:rPr>
        <w:sectPr w:rsidR="00F5605D" w:rsidSect="00F5605D">
          <w:pgSz w:w="16838" w:h="11906" w:orient="landscape"/>
          <w:pgMar w:top="1797" w:right="1440" w:bottom="1797" w:left="1440" w:header="851" w:footer="992" w:gutter="0"/>
          <w:cols w:space="425"/>
          <w:docGrid w:type="lines" w:linePitch="360"/>
        </w:sectPr>
      </w:pPr>
      <w:r>
        <w:rPr>
          <w:rFonts w:ascii="Times New Roman" w:hAnsi="Times New Roman" w:cs="Times New Roman" w:hint="eastAsia"/>
        </w:rPr>
        <w:lastRenderedPageBreak/>
        <w:t xml:space="preserve"> </w:t>
      </w:r>
    </w:p>
    <w:p w:rsidR="0017293A" w:rsidRDefault="00F5605D" w:rsidP="00F5605D">
      <w:pPr>
        <w:widowControl/>
        <w:spacing w:line="280" w:lineRule="exac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lastRenderedPageBreak/>
        <w:t>T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able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3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. </w:t>
      </w:r>
      <w:r>
        <w:rPr>
          <w:rFonts w:ascii="Times New Roman" w:hAnsi="Times New Roman" w:cs="Times New Roman"/>
          <w:kern w:val="0"/>
          <w:szCs w:val="24"/>
        </w:rPr>
        <w:t>Multiple Cox regression analyses</w:t>
      </w:r>
      <w:r w:rsidRPr="00B10AAA">
        <w:rPr>
          <w:rFonts w:ascii="Times New Roman" w:hAnsi="Times New Roman" w:cs="Times New Roman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for</w:t>
      </w:r>
      <w:r w:rsidRPr="00B10AAA">
        <w:rPr>
          <w:rFonts w:ascii="Times New Roman" w:hAnsi="Times New Roman" w:cs="Times New Roman"/>
          <w:kern w:val="0"/>
          <w:szCs w:val="24"/>
        </w:rPr>
        <w:t xml:space="preserve"> arseni</w:t>
      </w:r>
      <w:bookmarkStart w:id="0" w:name="_GoBack"/>
      <w:bookmarkEnd w:id="0"/>
      <w:r w:rsidRPr="00B10AAA">
        <w:rPr>
          <w:rFonts w:ascii="Times New Roman" w:hAnsi="Times New Roman" w:cs="Times New Roman"/>
          <w:kern w:val="0"/>
          <w:szCs w:val="24"/>
        </w:rPr>
        <w:t xml:space="preserve">c exposure </w:t>
      </w:r>
      <w:r>
        <w:rPr>
          <w:rFonts w:ascii="Times New Roman" w:hAnsi="Times New Roman" w:cs="Times New Roman"/>
          <w:kern w:val="0"/>
          <w:szCs w:val="24"/>
        </w:rPr>
        <w:t xml:space="preserve">metrics </w:t>
      </w:r>
      <w:r w:rsidRPr="00B10AAA">
        <w:rPr>
          <w:rFonts w:ascii="Times New Roman" w:hAnsi="Times New Roman" w:cs="Times New Roman"/>
          <w:kern w:val="0"/>
          <w:szCs w:val="24"/>
        </w:rPr>
        <w:t xml:space="preserve">and urothelial </w:t>
      </w:r>
      <w:r>
        <w:rPr>
          <w:rFonts w:ascii="Times New Roman" w:hAnsi="Times New Roman" w:cs="Times New Roman"/>
          <w:kern w:val="0"/>
          <w:szCs w:val="24"/>
        </w:rPr>
        <w:t xml:space="preserve">tract </w:t>
      </w:r>
      <w:r w:rsidRPr="00B10AAA">
        <w:rPr>
          <w:rFonts w:ascii="Times New Roman" w:hAnsi="Times New Roman" w:cs="Times New Roman"/>
          <w:kern w:val="0"/>
          <w:szCs w:val="24"/>
        </w:rPr>
        <w:t>cancers</w:t>
      </w:r>
    </w:p>
    <w:tbl>
      <w:tblPr>
        <w:tblW w:w="15890" w:type="dxa"/>
        <w:tblInd w:w="-12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8"/>
        <w:gridCol w:w="674"/>
        <w:gridCol w:w="679"/>
        <w:gridCol w:w="856"/>
        <w:gridCol w:w="630"/>
        <w:gridCol w:w="674"/>
        <w:gridCol w:w="811"/>
        <w:gridCol w:w="675"/>
        <w:gridCol w:w="674"/>
        <w:gridCol w:w="815"/>
        <w:gridCol w:w="404"/>
        <w:gridCol w:w="539"/>
        <w:gridCol w:w="674"/>
        <w:gridCol w:w="813"/>
        <w:gridCol w:w="673"/>
        <w:gridCol w:w="674"/>
        <w:gridCol w:w="678"/>
        <w:gridCol w:w="539"/>
        <w:gridCol w:w="556"/>
        <w:gridCol w:w="910"/>
        <w:gridCol w:w="6"/>
      </w:tblGrid>
      <w:tr w:rsidR="0017293A" w:rsidRPr="001524D2" w:rsidTr="004C1561">
        <w:trPr>
          <w:trHeight w:val="20"/>
        </w:trPr>
        <w:tc>
          <w:tcPr>
            <w:tcW w:w="9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Bladder cancer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(ICD10=C67)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Upper urothelial tract cancers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(ICD10=C64~66, 68)</w:t>
            </w:r>
          </w:p>
        </w:tc>
      </w:tr>
      <w:tr w:rsidR="0017293A" w:rsidRPr="001524D2" w:rsidTr="004C1561">
        <w:trPr>
          <w:gridAfter w:val="1"/>
          <w:wAfter w:w="9" w:type="dxa"/>
          <w:trHeight w:val="20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Model I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Model II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Model III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Model I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Model II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Model III</w:t>
            </w:r>
          </w:p>
        </w:tc>
      </w:tr>
      <w:tr w:rsidR="0017293A" w:rsidRPr="001524D2" w:rsidTr="004C1561">
        <w:trPr>
          <w:gridAfter w:val="1"/>
          <w:wAfter w:w="11" w:type="dxa"/>
          <w:trHeight w:val="20"/>
        </w:trPr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HR*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HR*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(95% CI)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HR*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(95% CI)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HR*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(95% CI)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HR*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(95% CI)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HR*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(95% CI)</w:t>
            </w: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Arsenic 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</w:t>
            </w: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xposure</w:t>
            </w:r>
          </w:p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Concentration in well water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ppb)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 ≤</m:t>
              </m:r>
            </m:oMath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10.00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*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10.01~50.00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,7.04)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,1.68)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50.01~100.00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,9.67)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,7.26)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&gt;100.00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,17.61)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,5.20)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 xml:space="preserve">Cumulative 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a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 xml:space="preserve">rsenic 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e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xposure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(ppm-years; in tertile)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 xml:space="preserve">  ≤</m:t>
              </m:r>
            </m:oMath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0.555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*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0.555~2.548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,23.49)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(0.13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,1.93)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&gt;2.548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,45.47)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2.13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(0.80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,5.64)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3A" w:rsidRPr="00E90410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</w:rPr>
              <w:t>Urinary inorganic arsenic metabolites (ppb)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3A" w:rsidRPr="001524D2" w:rsidRDefault="0017293A" w:rsidP="00B5703A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 xml:space="preserve">  ≤</m:t>
              </m:r>
            </m:oMath>
            <w:r w:rsidRPr="001524D2">
              <w:rPr>
                <w:rFonts w:ascii="Times New Roman" w:hAnsi="Times New Roman" w:cs="Times New Roman"/>
                <w:color w:val="000000" w:themeColor="text1"/>
              </w:rPr>
              <w:t>46.832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293A" w:rsidRPr="001524D2" w:rsidRDefault="0017293A" w:rsidP="00B5703A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*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3A" w:rsidRPr="001524D2" w:rsidRDefault="0017293A" w:rsidP="00B5703A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1524D2">
              <w:rPr>
                <w:rFonts w:ascii="Times New Roman" w:hAnsi="Times New Roman" w:cs="Times New Roman"/>
                <w:color w:val="000000" w:themeColor="text1"/>
              </w:rPr>
              <w:t xml:space="preserve">46.832~95.342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293A" w:rsidRPr="001524D2" w:rsidRDefault="0017293A" w:rsidP="00B5703A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,8.75)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7.55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1.65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,34.53)</w:t>
            </w: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3A" w:rsidRPr="001524D2" w:rsidRDefault="0017293A" w:rsidP="00B5703A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1524D2">
              <w:rPr>
                <w:rFonts w:ascii="Times New Roman" w:hAnsi="Times New Roman" w:cs="Times New Roman"/>
                <w:color w:val="000000" w:themeColor="text1"/>
              </w:rPr>
              <w:t>&gt;95.342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293A" w:rsidRPr="001524D2" w:rsidRDefault="0017293A" w:rsidP="00B5703A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3.79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,12.47)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4.28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0.83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,22.11)</w:t>
            </w: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 xml:space="preserve">Arsenic 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m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 xml:space="preserve">ethylation 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c</w:t>
            </w: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apacity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PMI(median low/high)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High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Low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,1.39)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,1.43)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,1.09)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0.57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(0.23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,1.43)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0.56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(0.22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,1.40)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0.48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0.18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,1.24)</w:t>
            </w:r>
          </w:p>
        </w:tc>
      </w:tr>
      <w:tr w:rsidR="0017293A" w:rsidRPr="001524D2" w:rsidTr="004C1561">
        <w:trPr>
          <w:gridAfter w:val="1"/>
          <w:wAfter w:w="15" w:type="dxa"/>
          <w:trHeight w:val="20"/>
        </w:trPr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SMI(median low/high)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High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7293A" w:rsidRPr="001524D2" w:rsidRDefault="0017293A" w:rsidP="00B5703A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</w:tr>
      <w:tr w:rsidR="0017293A" w:rsidRPr="001524D2" w:rsidTr="004C1561">
        <w:trPr>
          <w:gridAfter w:val="1"/>
          <w:wAfter w:w="17" w:type="dxa"/>
          <w:trHeight w:val="20"/>
        </w:trPr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Low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,3.02)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,2.92)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widowControl/>
              <w:spacing w:line="28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Default="0017293A" w:rsidP="00B5703A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,2.59)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(0.28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,1.97)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(0.29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,1.98)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0.61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0.23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524D2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,1.63)</w:t>
            </w:r>
          </w:p>
        </w:tc>
      </w:tr>
      <w:tr w:rsidR="0017293A" w:rsidRPr="001524D2" w:rsidTr="004C1561">
        <w:trPr>
          <w:trHeight w:val="20"/>
        </w:trPr>
        <w:tc>
          <w:tcPr>
            <w:tcW w:w="15890" w:type="dxa"/>
            <w:gridSpan w:val="2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7293A" w:rsidRPr="001524D2" w:rsidRDefault="0017293A" w:rsidP="00B5703A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10AAA">
              <w:rPr>
                <w:rFonts w:ascii="Times New Roman" w:hAnsi="Times New Roman" w:cs="Times New Roman"/>
              </w:rPr>
              <w:t>*</w:t>
            </w:r>
            <w:r w:rsidRPr="002661ED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AAA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AAA">
              <w:rPr>
                <w:rFonts w:ascii="Times New Roman" w:hAnsi="Times New Roman" w:cs="Times New Roman"/>
              </w:rPr>
              <w:t>0.05, test for monotonic trend performed by multiple Cox regression analysis adjusted by age, sex, marital status, education, occupation, cigarette smoking, and alcohol drinking</w:t>
            </w:r>
          </w:p>
        </w:tc>
      </w:tr>
    </w:tbl>
    <w:p w:rsidR="00E74EFD" w:rsidRPr="00E74EFD" w:rsidRDefault="00E74EFD" w:rsidP="004C1561"/>
    <w:sectPr w:rsidR="00E74EFD" w:rsidRPr="00E74EFD" w:rsidSect="004C1561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98" w:rsidRDefault="00274B98" w:rsidP="00F5605D">
      <w:r>
        <w:separator/>
      </w:r>
    </w:p>
  </w:endnote>
  <w:endnote w:type="continuationSeparator" w:id="0">
    <w:p w:rsidR="00274B98" w:rsidRDefault="00274B98" w:rsidP="00F5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98" w:rsidRDefault="00274B98" w:rsidP="00F5605D">
      <w:r>
        <w:separator/>
      </w:r>
    </w:p>
  </w:footnote>
  <w:footnote w:type="continuationSeparator" w:id="0">
    <w:p w:rsidR="00274B98" w:rsidRDefault="00274B98" w:rsidP="00F5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2E"/>
    <w:rsid w:val="00047155"/>
    <w:rsid w:val="0011394E"/>
    <w:rsid w:val="0017293A"/>
    <w:rsid w:val="0017373A"/>
    <w:rsid w:val="00274B98"/>
    <w:rsid w:val="004C1561"/>
    <w:rsid w:val="007179E8"/>
    <w:rsid w:val="00AF53D7"/>
    <w:rsid w:val="00B76893"/>
    <w:rsid w:val="00CD1B2E"/>
    <w:rsid w:val="00E74EFD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9357D6-83C9-439C-8700-FEE2469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0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0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3D95-0887-4F0C-85FE-85FB33E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</dc:creator>
  <cp:keywords/>
  <dc:description/>
  <cp:lastModifiedBy>epi15</cp:lastModifiedBy>
  <cp:revision>2</cp:revision>
  <dcterms:created xsi:type="dcterms:W3CDTF">2022-04-07T07:57:00Z</dcterms:created>
  <dcterms:modified xsi:type="dcterms:W3CDTF">2022-04-07T07:57:00Z</dcterms:modified>
</cp:coreProperties>
</file>