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51EE7" w:rsidRPr="00B45836" w:rsidRDefault="00A51EE7" w:rsidP="00CC2991">
      <w:pPr>
        <w:jc w:val="both"/>
      </w:pPr>
    </w:p>
    <w:p w:rsidR="00FA5BF6" w:rsidRDefault="00E93C6A" w:rsidP="00FA5BF6">
      <w:pPr>
        <w:spacing w:line="360" w:lineRule="auto"/>
        <w:rPr>
          <w:rFonts w:asciiTheme="majorBidi" w:hAnsiTheme="majorBidi" w:cstheme="majorBidi"/>
          <w:b/>
          <w:sz w:val="24"/>
          <w:szCs w:val="24"/>
        </w:rPr>
      </w:pPr>
      <w:r>
        <w:rPr>
          <w:rFonts w:asciiTheme="majorBidi" w:hAnsiTheme="majorBidi" w:cstheme="majorBidi"/>
          <w:b/>
          <w:sz w:val="24"/>
          <w:szCs w:val="24"/>
        </w:rPr>
        <w:t xml:space="preserve">Electronic Supplementary Information </w:t>
      </w:r>
    </w:p>
    <w:p w:rsidR="00586573" w:rsidRPr="00586573" w:rsidRDefault="00A51EE7" w:rsidP="00135EE1">
      <w:pPr>
        <w:spacing w:line="360" w:lineRule="auto"/>
        <w:jc w:val="both"/>
        <w:rPr>
          <w:rFonts w:asciiTheme="majorBidi" w:hAnsiTheme="majorBidi" w:cstheme="majorBidi"/>
          <w:bCs/>
          <w:sz w:val="24"/>
          <w:szCs w:val="24"/>
        </w:rPr>
      </w:pPr>
      <w:r w:rsidRPr="00BD3D92">
        <w:rPr>
          <w:rFonts w:asciiTheme="majorBidi" w:hAnsiTheme="majorBidi" w:cstheme="majorBidi"/>
          <w:b/>
          <w:sz w:val="24"/>
          <w:szCs w:val="24"/>
        </w:rPr>
        <w:t>Table</w:t>
      </w:r>
      <w:r w:rsidR="00B87712">
        <w:rPr>
          <w:rFonts w:asciiTheme="majorBidi" w:hAnsiTheme="majorBidi" w:cstheme="majorBidi"/>
          <w:b/>
          <w:sz w:val="24"/>
          <w:szCs w:val="24"/>
        </w:rPr>
        <w:t>. S-</w:t>
      </w:r>
      <w:r w:rsidRPr="00BD3D92">
        <w:rPr>
          <w:rFonts w:asciiTheme="majorBidi" w:hAnsiTheme="majorBidi" w:cstheme="majorBidi"/>
          <w:b/>
          <w:sz w:val="24"/>
          <w:szCs w:val="24"/>
        </w:rPr>
        <w:t>1</w:t>
      </w:r>
      <w:r w:rsidR="00586573">
        <w:rPr>
          <w:rFonts w:asciiTheme="majorBidi" w:hAnsiTheme="majorBidi" w:cstheme="majorBidi"/>
          <w:b/>
          <w:sz w:val="24"/>
          <w:szCs w:val="24"/>
        </w:rPr>
        <w:t>.</w:t>
      </w:r>
      <w:r w:rsidR="00586573" w:rsidRPr="00586573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135EE1">
        <w:rPr>
          <w:rFonts w:asciiTheme="majorBidi" w:hAnsiTheme="majorBidi" w:cstheme="majorBidi"/>
          <w:bCs/>
          <w:sz w:val="24"/>
          <w:szCs w:val="24"/>
        </w:rPr>
        <w:t>P</w:t>
      </w:r>
      <w:r w:rsidR="00586573" w:rsidRPr="00586573">
        <w:rPr>
          <w:rFonts w:asciiTheme="majorBidi" w:hAnsiTheme="majorBidi" w:cstheme="majorBidi"/>
          <w:bCs/>
          <w:sz w:val="24"/>
          <w:szCs w:val="24"/>
        </w:rPr>
        <w:t xml:space="preserve">esticides selected for validation study along with their MRL </w:t>
      </w:r>
    </w:p>
    <w:p w:rsidR="00586573" w:rsidRPr="00586573" w:rsidRDefault="00586573" w:rsidP="00586573">
      <w:pPr>
        <w:spacing w:after="0" w:line="360" w:lineRule="auto"/>
        <w:jc w:val="left"/>
        <w:rPr>
          <w:rFonts w:asciiTheme="majorBidi" w:hAnsiTheme="majorBidi" w:cstheme="majorBidi"/>
          <w:sz w:val="24"/>
          <w:szCs w:val="24"/>
        </w:rPr>
      </w:pPr>
    </w:p>
    <w:tbl>
      <w:tblPr>
        <w:tblStyle w:val="TableGrid"/>
        <w:tblW w:w="12519" w:type="dxa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770"/>
        <w:gridCol w:w="1665"/>
        <w:gridCol w:w="2070"/>
        <w:gridCol w:w="1800"/>
        <w:gridCol w:w="990"/>
        <w:gridCol w:w="2612"/>
        <w:gridCol w:w="2612"/>
      </w:tblGrid>
      <w:tr w:rsidR="00586573" w:rsidRPr="00586573" w:rsidTr="00383A4E">
        <w:trPr>
          <w:trHeight w:val="350"/>
          <w:jc w:val="center"/>
        </w:trPr>
        <w:tc>
          <w:tcPr>
            <w:tcW w:w="770" w:type="dxa"/>
            <w:tcBorders>
              <w:top w:val="single" w:sz="18" w:space="0" w:color="auto"/>
              <w:bottom w:val="single" w:sz="18" w:space="0" w:color="auto"/>
            </w:tcBorders>
          </w:tcPr>
          <w:p w:rsidR="00586573" w:rsidRPr="00586573" w:rsidRDefault="00586573" w:rsidP="0058657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Sr.no</w:t>
            </w:r>
          </w:p>
        </w:tc>
        <w:tc>
          <w:tcPr>
            <w:tcW w:w="1665" w:type="dxa"/>
            <w:tcBorders>
              <w:top w:val="single" w:sz="18" w:space="0" w:color="auto"/>
              <w:bottom w:val="single" w:sz="18" w:space="0" w:color="auto"/>
            </w:tcBorders>
          </w:tcPr>
          <w:p w:rsidR="00586573" w:rsidRPr="00586573" w:rsidRDefault="00586573" w:rsidP="0058657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Compounds</w:t>
            </w:r>
          </w:p>
        </w:tc>
        <w:tc>
          <w:tcPr>
            <w:tcW w:w="2070" w:type="dxa"/>
            <w:tcBorders>
              <w:top w:val="single" w:sz="18" w:space="0" w:color="auto"/>
              <w:bottom w:val="single" w:sz="18" w:space="0" w:color="auto"/>
            </w:tcBorders>
          </w:tcPr>
          <w:p w:rsidR="00586573" w:rsidRPr="00586573" w:rsidRDefault="00586573" w:rsidP="0058657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Classes</w:t>
            </w:r>
          </w:p>
        </w:tc>
        <w:tc>
          <w:tcPr>
            <w:tcW w:w="1800" w:type="dxa"/>
            <w:tcBorders>
              <w:top w:val="single" w:sz="18" w:space="0" w:color="auto"/>
              <w:bottom w:val="single" w:sz="18" w:space="0" w:color="auto"/>
            </w:tcBorders>
          </w:tcPr>
          <w:p w:rsidR="00586573" w:rsidRPr="00586573" w:rsidRDefault="00586573" w:rsidP="0058657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Chemical formula</w:t>
            </w:r>
          </w:p>
        </w:tc>
        <w:tc>
          <w:tcPr>
            <w:tcW w:w="990" w:type="dxa"/>
            <w:tcBorders>
              <w:top w:val="single" w:sz="18" w:space="0" w:color="auto"/>
              <w:bottom w:val="single" w:sz="18" w:space="0" w:color="auto"/>
            </w:tcBorders>
          </w:tcPr>
          <w:p w:rsidR="00586573" w:rsidRPr="00586573" w:rsidRDefault="00586573" w:rsidP="0058657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MRLs</w:t>
            </w:r>
          </w:p>
          <w:p w:rsidR="00586573" w:rsidRPr="00586573" w:rsidRDefault="00586573" w:rsidP="0058657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mg/kg</w:t>
            </w:r>
          </w:p>
        </w:tc>
        <w:tc>
          <w:tcPr>
            <w:tcW w:w="2612" w:type="dxa"/>
            <w:tcBorders>
              <w:top w:val="single" w:sz="18" w:space="0" w:color="auto"/>
              <w:bottom w:val="single" w:sz="18" w:space="0" w:color="auto"/>
            </w:tcBorders>
          </w:tcPr>
          <w:p w:rsidR="00586573" w:rsidRPr="00586573" w:rsidRDefault="00586573" w:rsidP="0058657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Structure</w:t>
            </w:r>
          </w:p>
        </w:tc>
        <w:tc>
          <w:tcPr>
            <w:tcW w:w="2612" w:type="dxa"/>
            <w:tcBorders>
              <w:top w:val="single" w:sz="18" w:space="0" w:color="auto"/>
              <w:bottom w:val="single" w:sz="18" w:space="0" w:color="auto"/>
            </w:tcBorders>
          </w:tcPr>
          <w:p w:rsidR="00586573" w:rsidRPr="00586573" w:rsidRDefault="00586573" w:rsidP="00586573">
            <w:pPr>
              <w:jc w:val="both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b/>
                <w:bCs/>
                <w:sz w:val="24"/>
                <w:szCs w:val="24"/>
              </w:rPr>
              <w:t>Endocrine Disruptor Effects</w:t>
            </w:r>
          </w:p>
        </w:tc>
      </w:tr>
      <w:tr w:rsidR="00586573" w:rsidRPr="00586573" w:rsidTr="00383A4E">
        <w:trPr>
          <w:trHeight w:val="1322"/>
          <w:jc w:val="center"/>
        </w:trPr>
        <w:tc>
          <w:tcPr>
            <w:tcW w:w="770" w:type="dxa"/>
            <w:tcBorders>
              <w:top w:val="single" w:sz="18" w:space="0" w:color="auto"/>
            </w:tcBorders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t>1</w:t>
            </w:r>
          </w:p>
        </w:tc>
        <w:tc>
          <w:tcPr>
            <w:tcW w:w="1665" w:type="dxa"/>
            <w:tcBorders>
              <w:top w:val="single" w:sz="18" w:space="0" w:color="auto"/>
            </w:tcBorders>
          </w:tcPr>
          <w:p w:rsidR="00586573" w:rsidRPr="00586573" w:rsidRDefault="00586573" w:rsidP="00B22BE7">
            <w:pPr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Lindane</w:t>
            </w:r>
          </w:p>
          <w:p w:rsidR="00586573" w:rsidRPr="00586573" w:rsidRDefault="00586573" w:rsidP="00B22BE7">
            <w:pPr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070" w:type="dxa"/>
            <w:tcBorders>
              <w:top w:val="single" w:sz="18" w:space="0" w:color="auto"/>
            </w:tcBorders>
          </w:tcPr>
          <w:p w:rsidR="00586573" w:rsidRPr="00586573" w:rsidRDefault="00586573" w:rsidP="00B22BE7">
            <w:pPr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Organochlorine</w:t>
            </w:r>
          </w:p>
          <w:p w:rsidR="00586573" w:rsidRPr="00586573" w:rsidRDefault="00586573" w:rsidP="00B22BE7">
            <w:pPr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tcBorders>
              <w:top w:val="single" w:sz="18" w:space="0" w:color="auto"/>
            </w:tcBorders>
          </w:tcPr>
          <w:p w:rsidR="00586573" w:rsidRPr="00586573" w:rsidRDefault="00586573" w:rsidP="00B22BE7">
            <w:pPr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Cl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6</w:t>
            </w:r>
          </w:p>
        </w:tc>
        <w:tc>
          <w:tcPr>
            <w:tcW w:w="990" w:type="dxa"/>
            <w:tcBorders>
              <w:top w:val="single" w:sz="18" w:space="0" w:color="auto"/>
            </w:tcBorders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0.01</w:t>
            </w:r>
          </w:p>
        </w:tc>
        <w:tc>
          <w:tcPr>
            <w:tcW w:w="2612" w:type="dxa"/>
            <w:tcBorders>
              <w:top w:val="single" w:sz="18" w:space="0" w:color="auto"/>
            </w:tcBorders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187D5EE3" wp14:editId="1CADE3DD">
                  <wp:extent cx="785999" cy="716692"/>
                  <wp:effectExtent l="0" t="0" r="0" b="7620"/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93368" cy="723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  <w:tcBorders>
              <w:top w:val="single" w:sz="18" w:space="0" w:color="auto"/>
            </w:tcBorders>
          </w:tcPr>
          <w:p w:rsidR="00586573" w:rsidRPr="00586573" w:rsidRDefault="00395E2C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395E2C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</w:t>
            </w:r>
            <w:r w:rsidR="00586573"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Reduction of oestrous cycles and luteal progesterone concentrations. Increase of insulin and estradiol blood serum concentrations, decrease thyroxine concentrations. Competitive binding to AR, ER and PR</w:t>
            </w:r>
          </w:p>
        </w:tc>
      </w:tr>
      <w:tr w:rsidR="00586573" w:rsidRPr="00586573" w:rsidTr="00383A4E">
        <w:trPr>
          <w:trHeight w:val="1251"/>
          <w:jc w:val="center"/>
        </w:trPr>
        <w:tc>
          <w:tcPr>
            <w:tcW w:w="7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t>2</w:t>
            </w:r>
          </w:p>
        </w:tc>
        <w:tc>
          <w:tcPr>
            <w:tcW w:w="1665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Heptachlor</w:t>
            </w:r>
          </w:p>
        </w:tc>
        <w:tc>
          <w:tcPr>
            <w:tcW w:w="20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Organochlorine</w:t>
            </w:r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l7</w:t>
            </w:r>
            <w:hyperlink r:id="rId8" w:anchor="query=C10H5Cl7" w:tooltip="Find all compounds that have this formula" w:history="1"/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0.01</w:t>
            </w:r>
          </w:p>
        </w:tc>
        <w:tc>
          <w:tcPr>
            <w:tcW w:w="2612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560B6502" wp14:editId="0E2EE1C2">
                  <wp:extent cx="1205406" cy="708454"/>
                  <wp:effectExtent l="0" t="0" r="0" b="0"/>
                  <wp:docPr id="2" name="Picture 2" descr="C:\Users\Hina\AppData\Local\Microsoft\Windows\INetCache\Content.MSO\BCD7885.tmp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C:\Users\Hina\AppData\Local\Microsoft\Windows\INetCache\Content.MSO\BCD7885.tmp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31212" cy="7236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</w:tcPr>
          <w:p w:rsidR="00586573" w:rsidRPr="00586573" w:rsidRDefault="00395E2C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</w:t>
            </w:r>
            <w:r w:rsidR="00586573"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Binding to cellular estrogen and androgen receptors</w:t>
            </w:r>
          </w:p>
        </w:tc>
      </w:tr>
      <w:tr w:rsidR="00586573" w:rsidRPr="00586573" w:rsidTr="00383A4E">
        <w:trPr>
          <w:trHeight w:val="1359"/>
          <w:jc w:val="center"/>
        </w:trPr>
        <w:tc>
          <w:tcPr>
            <w:tcW w:w="7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t>3</w:t>
            </w:r>
          </w:p>
        </w:tc>
        <w:tc>
          <w:tcPr>
            <w:tcW w:w="1665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Chlorpyrifos</w:t>
            </w:r>
          </w:p>
        </w:tc>
        <w:tc>
          <w:tcPr>
            <w:tcW w:w="20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Organophosphorus</w:t>
            </w:r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9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11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l3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NO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PS</w:t>
            </w:r>
            <w:hyperlink r:id="rId10" w:anchor="query=C9H11Cl3NO3PS" w:tooltip="Find all compounds that have this formula" w:history="1"/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0.01</w:t>
            </w:r>
          </w:p>
        </w:tc>
        <w:tc>
          <w:tcPr>
            <w:tcW w:w="2612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379795C3" wp14:editId="4D591BDA">
                  <wp:extent cx="1359535" cy="790832"/>
                  <wp:effectExtent l="0" t="0" r="0" b="9525"/>
                  <wp:docPr id="3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1807" cy="7921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</w:tcPr>
          <w:p w:rsidR="00586573" w:rsidRPr="00586573" w:rsidRDefault="00395E2C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1</w:t>
            </w:r>
            <w:r w:rsidR="00586573"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Antagonist to androgen activity</w:t>
            </w:r>
          </w:p>
        </w:tc>
      </w:tr>
      <w:tr w:rsidR="00586573" w:rsidRPr="00586573" w:rsidTr="00383A4E">
        <w:trPr>
          <w:trHeight w:val="1251"/>
          <w:jc w:val="center"/>
        </w:trPr>
        <w:tc>
          <w:tcPr>
            <w:tcW w:w="7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t>4</w:t>
            </w:r>
          </w:p>
        </w:tc>
        <w:tc>
          <w:tcPr>
            <w:tcW w:w="1665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Triadimenol</w:t>
            </w:r>
          </w:p>
        </w:tc>
        <w:tc>
          <w:tcPr>
            <w:tcW w:w="20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Triazoles</w:t>
            </w:r>
          </w:p>
        </w:tc>
        <w:tc>
          <w:tcPr>
            <w:tcW w:w="180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14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18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ClN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3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2</w:t>
            </w:r>
            <w:hyperlink r:id="rId12" w:anchor="query=C14H18ClN3O2" w:tooltip="Find all compounds that have this formula" w:history="1"/>
          </w:p>
        </w:tc>
        <w:tc>
          <w:tcPr>
            <w:tcW w:w="99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0.3</w:t>
            </w:r>
          </w:p>
        </w:tc>
        <w:tc>
          <w:tcPr>
            <w:tcW w:w="2612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6E8E5502" wp14:editId="65600D42">
                  <wp:extent cx="1297940" cy="708454"/>
                  <wp:effectExtent l="0" t="0" r="0" b="0"/>
                  <wp:docPr id="4" name="Picture 4" descr="Triadimenol PESTANAL®, analytical standa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Triadimenol PESTANAL®, analytical standa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4320" cy="7228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</w:tcPr>
          <w:p w:rsidR="00395E2C" w:rsidRPr="00395E2C" w:rsidRDefault="00395E2C" w:rsidP="00395E2C">
            <w:pPr>
              <w:jc w:val="left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3</w:t>
            </w:r>
            <w:r w:rsidRPr="00395E2C">
              <w:rPr>
                <w:rFonts w:asciiTheme="majorBidi" w:hAnsiTheme="majorBidi" w:cstheme="majorBidi"/>
                <w:noProof/>
                <w:sz w:val="20"/>
                <w:szCs w:val="20"/>
              </w:rPr>
              <w:t>Estrogenic effect, inhibition of aromatase activity,</w:t>
            </w:r>
          </w:p>
          <w:p w:rsidR="00395E2C" w:rsidRPr="00395E2C" w:rsidRDefault="00395E2C" w:rsidP="00395E2C">
            <w:pPr>
              <w:jc w:val="left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395E2C">
              <w:rPr>
                <w:rFonts w:asciiTheme="majorBidi" w:hAnsiTheme="majorBidi" w:cstheme="majorBidi"/>
                <w:noProof/>
                <w:sz w:val="20"/>
                <w:szCs w:val="20"/>
              </w:rPr>
              <w:t>decrease of estrogens production and increase</w:t>
            </w:r>
          </w:p>
          <w:p w:rsidR="00586573" w:rsidRPr="00395E2C" w:rsidRDefault="00395E2C" w:rsidP="00395E2C">
            <w:pPr>
              <w:jc w:val="left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395E2C">
              <w:rPr>
                <w:rFonts w:asciiTheme="majorBidi" w:hAnsiTheme="majorBidi" w:cstheme="majorBidi"/>
                <w:noProof/>
                <w:sz w:val="20"/>
                <w:szCs w:val="20"/>
              </w:rPr>
              <w:t>androgens availability</w:t>
            </w:r>
          </w:p>
        </w:tc>
      </w:tr>
      <w:tr w:rsidR="00586573" w:rsidRPr="00586573" w:rsidTr="00383A4E">
        <w:trPr>
          <w:trHeight w:val="1440"/>
          <w:jc w:val="center"/>
        </w:trPr>
        <w:tc>
          <w:tcPr>
            <w:tcW w:w="7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5</w:t>
            </w:r>
          </w:p>
        </w:tc>
        <w:tc>
          <w:tcPr>
            <w:tcW w:w="1665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Heptachlor exoepoxide A</w:t>
            </w:r>
          </w:p>
        </w:tc>
        <w:tc>
          <w:tcPr>
            <w:tcW w:w="20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Organochlorine</w:t>
            </w:r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10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5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Cl</w:t>
            </w:r>
            <w:r w:rsidRPr="00586573">
              <w:rPr>
                <w:rFonts w:asciiTheme="majorBidi" w:hAnsiTheme="majorBidi" w:cstheme="majorBidi"/>
                <w:sz w:val="20"/>
                <w:szCs w:val="20"/>
                <w:vertAlign w:val="subscript"/>
              </w:rPr>
              <w:t>7</w:t>
            </w:r>
            <w:r w:rsidRPr="00586573">
              <w:rPr>
                <w:rFonts w:asciiTheme="majorBidi" w:hAnsiTheme="majorBidi" w:cstheme="majorBidi"/>
                <w:sz w:val="20"/>
                <w:szCs w:val="20"/>
              </w:rPr>
              <w:t>O</w:t>
            </w:r>
            <w:hyperlink r:id="rId14" w:anchor="query=C10H5Cl7O" w:tooltip="Find all compounds that have this formula" w:history="1"/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0.01</w:t>
            </w:r>
          </w:p>
        </w:tc>
        <w:tc>
          <w:tcPr>
            <w:tcW w:w="2612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30E98D98" wp14:editId="0AE9DA49">
                  <wp:extent cx="1359535" cy="782595"/>
                  <wp:effectExtent l="0" t="0" r="0" b="0"/>
                  <wp:docPr id="5" name="Picture 5" descr="Heptachlor exo-epoxide PESTANAL®, analytical standard, isomer B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Heptachlor exo-epoxide PESTANAL®, analytical standard, isomer B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69715" cy="78845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</w:tcPr>
          <w:p w:rsidR="00395E2C" w:rsidRPr="00395E2C" w:rsidRDefault="00395E2C" w:rsidP="00395E2C">
            <w:pPr>
              <w:jc w:val="left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</w:t>
            </w:r>
            <w:r w:rsidRPr="00395E2C">
              <w:rPr>
                <w:rFonts w:asciiTheme="majorBidi" w:hAnsiTheme="majorBidi" w:cstheme="majorBidi"/>
                <w:noProof/>
                <w:sz w:val="20"/>
                <w:szCs w:val="20"/>
              </w:rPr>
              <w:t>Binding to cellular estrogen and androgen</w:t>
            </w:r>
          </w:p>
          <w:p w:rsidR="00586573" w:rsidRPr="00586573" w:rsidRDefault="00395E2C" w:rsidP="00395E2C">
            <w:pPr>
              <w:jc w:val="left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395E2C">
              <w:rPr>
                <w:rFonts w:asciiTheme="majorBidi" w:hAnsiTheme="majorBidi" w:cstheme="majorBidi"/>
                <w:noProof/>
                <w:sz w:val="20"/>
                <w:szCs w:val="20"/>
              </w:rPr>
              <w:t>receptors</w:t>
            </w:r>
          </w:p>
        </w:tc>
      </w:tr>
      <w:tr w:rsidR="00586573" w:rsidRPr="00586573" w:rsidTr="00383A4E">
        <w:trPr>
          <w:trHeight w:val="1530"/>
          <w:jc w:val="center"/>
        </w:trPr>
        <w:tc>
          <w:tcPr>
            <w:tcW w:w="7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t>6</w:t>
            </w:r>
          </w:p>
        </w:tc>
        <w:tc>
          <w:tcPr>
            <w:tcW w:w="1665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Heptachlor endoepoxide B</w:t>
            </w:r>
          </w:p>
        </w:tc>
        <w:tc>
          <w:tcPr>
            <w:tcW w:w="20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Organochlorine</w:t>
            </w:r>
          </w:p>
          <w:p w:rsidR="00586573" w:rsidRPr="00586573" w:rsidRDefault="00586573" w:rsidP="00CF394A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:rsidR="00586573" w:rsidRPr="00586573" w:rsidRDefault="00586573" w:rsidP="00CF394A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10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5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Cl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7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O</w:t>
            </w:r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0.01</w:t>
            </w:r>
          </w:p>
        </w:tc>
        <w:tc>
          <w:tcPr>
            <w:tcW w:w="2612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4867E2BC" wp14:editId="54721352">
                  <wp:extent cx="1689444" cy="856735"/>
                  <wp:effectExtent l="0" t="0" r="6350" b="635"/>
                  <wp:docPr id="7" name="Picture 7" descr="Heptachlor endo-epoxide PESTANAL®, analytical standard, isomer 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Heptachlor endo-epoxide PESTANAL®, analytical standard, isomer 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14487" cy="8694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</w:tcPr>
          <w:p w:rsidR="00395E2C" w:rsidRPr="00395E2C" w:rsidRDefault="00395E2C" w:rsidP="00395E2C">
            <w:pPr>
              <w:jc w:val="left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2</w:t>
            </w:r>
            <w:r w:rsidRPr="00395E2C">
              <w:rPr>
                <w:rFonts w:asciiTheme="majorBidi" w:hAnsiTheme="majorBidi" w:cstheme="majorBidi"/>
                <w:noProof/>
                <w:sz w:val="20"/>
                <w:szCs w:val="20"/>
              </w:rPr>
              <w:t>Binding to cellular estrogen and androgen</w:t>
            </w:r>
          </w:p>
          <w:p w:rsidR="00586573" w:rsidRPr="00586573" w:rsidRDefault="00395E2C" w:rsidP="00395E2C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395E2C">
              <w:rPr>
                <w:rFonts w:asciiTheme="majorBidi" w:hAnsiTheme="majorBidi" w:cstheme="majorBidi"/>
                <w:noProof/>
                <w:sz w:val="20"/>
                <w:szCs w:val="20"/>
              </w:rPr>
              <w:t>receptors</w:t>
            </w:r>
          </w:p>
        </w:tc>
      </w:tr>
      <w:tr w:rsidR="00586573" w:rsidRPr="00586573" w:rsidTr="00383A4E">
        <w:trPr>
          <w:trHeight w:val="1881"/>
          <w:jc w:val="center"/>
        </w:trPr>
        <w:tc>
          <w:tcPr>
            <w:tcW w:w="7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t>7</w:t>
            </w:r>
          </w:p>
        </w:tc>
        <w:tc>
          <w:tcPr>
            <w:tcW w:w="1665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α-Endosulfan</w:t>
            </w:r>
          </w:p>
        </w:tc>
        <w:tc>
          <w:tcPr>
            <w:tcW w:w="20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Organochlorine</w:t>
            </w:r>
          </w:p>
        </w:tc>
        <w:tc>
          <w:tcPr>
            <w:tcW w:w="1800" w:type="dxa"/>
          </w:tcPr>
          <w:p w:rsidR="00586573" w:rsidRPr="00586573" w:rsidRDefault="00586573" w:rsidP="00CF394A">
            <w:pPr>
              <w:shd w:val="clear" w:color="auto" w:fill="FFFFFF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 xml:space="preserve"> 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9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6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Cl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6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O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3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S</w:t>
            </w:r>
          </w:p>
        </w:tc>
        <w:tc>
          <w:tcPr>
            <w:tcW w:w="99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0.05</w:t>
            </w:r>
          </w:p>
        </w:tc>
        <w:tc>
          <w:tcPr>
            <w:tcW w:w="2612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375C2681" wp14:editId="653DE40D">
                  <wp:extent cx="1505585" cy="1070919"/>
                  <wp:effectExtent l="0" t="0" r="0" b="0"/>
                  <wp:docPr id="11" name="Picture 11" descr="Endosulfan I (alpha) PESTANAL®, analytical standa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Endosulfan I (alpha) PESTANAL®, analytical standa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24197" cy="108415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</w:tcPr>
          <w:p w:rsidR="00586573" w:rsidRPr="00586573" w:rsidRDefault="00395E2C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395E2C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4</w:t>
            </w:r>
            <w:r w:rsidR="00586573"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Competitive binding to androgen receptors, estrogenic effect, stimulation of estrogen receptor production, inhibition of aromatase activity</w:t>
            </w:r>
          </w:p>
        </w:tc>
      </w:tr>
      <w:tr w:rsidR="00586573" w:rsidRPr="00586573" w:rsidTr="00383A4E">
        <w:trPr>
          <w:trHeight w:val="1458"/>
          <w:jc w:val="center"/>
        </w:trPr>
        <w:tc>
          <w:tcPr>
            <w:tcW w:w="7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t>8</w:t>
            </w:r>
          </w:p>
        </w:tc>
        <w:tc>
          <w:tcPr>
            <w:tcW w:w="1665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β-Endosulfan</w:t>
            </w:r>
          </w:p>
        </w:tc>
        <w:tc>
          <w:tcPr>
            <w:tcW w:w="20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Organochlorine</w:t>
            </w:r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:rsidR="00586573" w:rsidRPr="00586573" w:rsidRDefault="00586573" w:rsidP="00CF394A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9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6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Cl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6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O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3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S</w:t>
            </w:r>
            <w:hyperlink r:id="rId18" w:anchor="query=C9H6Cl6O3S" w:tooltip="Find all compounds that have this formula" w:history="1"/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0.05</w:t>
            </w:r>
          </w:p>
        </w:tc>
        <w:tc>
          <w:tcPr>
            <w:tcW w:w="2612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1262A19D" wp14:editId="6CDEC42C">
                  <wp:extent cx="1296670" cy="980303"/>
                  <wp:effectExtent l="0" t="0" r="0" b="0"/>
                  <wp:docPr id="13" name="Picture 13" descr="Endosulfan II (beta) PESTANAL®, analytical standar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Endosulfan II (beta) PESTANAL®, analytical standar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20520" cy="99833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</w:tcPr>
          <w:p w:rsidR="00586573" w:rsidRPr="00586573" w:rsidRDefault="00395E2C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395E2C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4</w:t>
            </w: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Competitive binding to androgen receptors, estrogenic effect, stimulation of estrogen receptor production, inhibition of aromatase activity</w:t>
            </w:r>
          </w:p>
        </w:tc>
      </w:tr>
      <w:tr w:rsidR="00586573" w:rsidRPr="00586573" w:rsidTr="00383A4E">
        <w:trPr>
          <w:trHeight w:val="1710"/>
          <w:jc w:val="center"/>
        </w:trPr>
        <w:tc>
          <w:tcPr>
            <w:tcW w:w="7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t>9</w:t>
            </w:r>
          </w:p>
        </w:tc>
        <w:tc>
          <w:tcPr>
            <w:tcW w:w="1665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Endosulfan sulfate</w:t>
            </w:r>
          </w:p>
        </w:tc>
        <w:tc>
          <w:tcPr>
            <w:tcW w:w="20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Organochlorine</w:t>
            </w:r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:rsidR="00586573" w:rsidRPr="00586573" w:rsidRDefault="00586573" w:rsidP="00CF394A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9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6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Cl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6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O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4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S</w:t>
            </w:r>
            <w:hyperlink r:id="rId20" w:anchor="query=C9H6Cl6O3S" w:tooltip="Find all compounds that have this formula" w:history="1"/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0.05</w:t>
            </w:r>
          </w:p>
        </w:tc>
        <w:tc>
          <w:tcPr>
            <w:tcW w:w="2612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3918B868" wp14:editId="04674155">
                  <wp:extent cx="1471197" cy="856735"/>
                  <wp:effectExtent l="0" t="0" r="0" b="635"/>
                  <wp:docPr id="16" name="Picture 16" descr="Skeletal formula with undefined stereochemistry at the sulfur atom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Skeletal formula with undefined stereochemistry at the sulfur atom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515443" cy="8825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</w:tcPr>
          <w:p w:rsidR="00586573" w:rsidRPr="00586573" w:rsidRDefault="00395E2C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395E2C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4</w:t>
            </w: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Competitive binding to androgen receptors, estrogenic effect, stimulation of estrogen receptor production, inhibition of aromatase activity</w:t>
            </w:r>
          </w:p>
        </w:tc>
      </w:tr>
      <w:tr w:rsidR="00586573" w:rsidRPr="00586573" w:rsidTr="00383A4E">
        <w:trPr>
          <w:trHeight w:val="1458"/>
          <w:jc w:val="center"/>
        </w:trPr>
        <w:tc>
          <w:tcPr>
            <w:tcW w:w="7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lastRenderedPageBreak/>
              <w:t>10</w:t>
            </w:r>
          </w:p>
        </w:tc>
        <w:tc>
          <w:tcPr>
            <w:tcW w:w="1665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Bifenthrin</w:t>
            </w:r>
          </w:p>
        </w:tc>
        <w:tc>
          <w:tcPr>
            <w:tcW w:w="20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Pyrethroid</w:t>
            </w:r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:rsidR="00586573" w:rsidRPr="00586573" w:rsidRDefault="00586573" w:rsidP="00CF394A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23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22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ClF3O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2</w:t>
            </w:r>
            <w:hyperlink r:id="rId22" w:anchor="query=C9H6Cl6O3S" w:tooltip="Find all compounds that have this formula" w:history="1"/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0.3</w:t>
            </w:r>
          </w:p>
        </w:tc>
        <w:tc>
          <w:tcPr>
            <w:tcW w:w="2612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0841FB4D" wp14:editId="66526CE5">
                  <wp:extent cx="1788948" cy="757881"/>
                  <wp:effectExtent l="0" t="0" r="1905" b="4445"/>
                  <wp:docPr id="18" name="Picture 1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52739" cy="7849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</w:tcPr>
          <w:p w:rsidR="00586573" w:rsidRDefault="00395E2C" w:rsidP="00777C86">
            <w:pPr>
              <w:jc w:val="left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395E2C"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5</w:t>
            </w:r>
            <w:r w:rsidRPr="00395E2C">
              <w:rPr>
                <w:rFonts w:asciiTheme="majorBidi" w:hAnsiTheme="majorBidi" w:cstheme="majorBidi"/>
                <w:noProof/>
                <w:sz w:val="20"/>
                <w:szCs w:val="20"/>
              </w:rPr>
              <w:t>hormone signaling of the endocrine−nervous−reproductive</w:t>
            </w:r>
            <w:r w:rsidR="00777C86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 </w:t>
            </w:r>
            <w:r w:rsidRPr="00395E2C">
              <w:rPr>
                <w:rFonts w:asciiTheme="majorBidi" w:hAnsiTheme="majorBidi" w:cstheme="majorBidi"/>
                <w:noProof/>
                <w:sz w:val="20"/>
                <w:szCs w:val="20"/>
              </w:rPr>
              <w:t>system communication in</w:t>
            </w:r>
            <w:r w:rsidR="00777C86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 trophoblast cells</w:t>
            </w:r>
          </w:p>
          <w:p w:rsidR="00777C86" w:rsidRPr="00586573" w:rsidRDefault="00777C86" w:rsidP="00777C86">
            <w:pPr>
              <w:jc w:val="left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</w:rPr>
              <w:t>E</w:t>
            </w:r>
            <w:r w:rsidRPr="00777C86">
              <w:rPr>
                <w:rFonts w:asciiTheme="majorBidi" w:hAnsiTheme="majorBidi" w:cstheme="majorBidi"/>
                <w:noProof/>
                <w:sz w:val="20"/>
                <w:szCs w:val="20"/>
              </w:rPr>
              <w:t>nantiospecific binding to ER</w:t>
            </w:r>
          </w:p>
        </w:tc>
      </w:tr>
      <w:tr w:rsidR="00586573" w:rsidRPr="00586573" w:rsidTr="00383A4E">
        <w:trPr>
          <w:trHeight w:val="1458"/>
          <w:jc w:val="center"/>
        </w:trPr>
        <w:tc>
          <w:tcPr>
            <w:tcW w:w="7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t>11</w:t>
            </w:r>
          </w:p>
        </w:tc>
        <w:tc>
          <w:tcPr>
            <w:tcW w:w="1665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Cypermethrin</w:t>
            </w:r>
          </w:p>
        </w:tc>
        <w:tc>
          <w:tcPr>
            <w:tcW w:w="20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Pyrethroid</w:t>
            </w:r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:rsidR="00586573" w:rsidRPr="00586573" w:rsidRDefault="00586573" w:rsidP="00CF394A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22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19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Cl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2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NO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3</w:t>
            </w:r>
            <w:hyperlink r:id="rId24" w:anchor="query=C9H6Cl6O3S" w:tooltip="Find all compounds that have this formula" w:history="1"/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0.5</w:t>
            </w:r>
          </w:p>
        </w:tc>
        <w:tc>
          <w:tcPr>
            <w:tcW w:w="2612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032888AD" wp14:editId="45101583">
                  <wp:extent cx="1334135" cy="757881"/>
                  <wp:effectExtent l="0" t="0" r="0" b="4445"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80626" cy="78429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</w:p>
          <w:p w:rsidR="00586573" w:rsidRPr="00586573" w:rsidRDefault="00395E2C" w:rsidP="00395E2C">
            <w:pPr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395E2C">
              <w:rPr>
                <w:rFonts w:asciiTheme="majorBidi" w:hAnsiTheme="majorBidi" w:cstheme="majorBidi"/>
                <w:sz w:val="20"/>
                <w:szCs w:val="20"/>
                <w:vertAlign w:val="superscript"/>
              </w:rPr>
              <w:t>4</w:t>
            </w:r>
            <w:r w:rsidR="00586573" w:rsidRPr="00586573">
              <w:rPr>
                <w:rFonts w:asciiTheme="majorBidi" w:hAnsiTheme="majorBidi" w:cstheme="majorBidi"/>
                <w:sz w:val="20"/>
                <w:szCs w:val="20"/>
              </w:rPr>
              <w:t>Estrogenic effect</w:t>
            </w:r>
          </w:p>
        </w:tc>
      </w:tr>
      <w:tr w:rsidR="00586573" w:rsidRPr="00586573" w:rsidTr="00383A4E">
        <w:trPr>
          <w:trHeight w:val="1665"/>
          <w:jc w:val="center"/>
        </w:trPr>
        <w:tc>
          <w:tcPr>
            <w:tcW w:w="7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t>12</w:t>
            </w:r>
          </w:p>
        </w:tc>
        <w:tc>
          <w:tcPr>
            <w:tcW w:w="1665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λ-cyhalothrin</w:t>
            </w:r>
          </w:p>
        </w:tc>
        <w:tc>
          <w:tcPr>
            <w:tcW w:w="207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Pyrethroid</w:t>
            </w:r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:rsidR="00586573" w:rsidRPr="00586573" w:rsidRDefault="00586573" w:rsidP="00CF394A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23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19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ClF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3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NO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3</w:t>
            </w:r>
            <w:hyperlink r:id="rId26" w:anchor="query=C9H6Cl6O3S" w:tooltip="Find all compounds that have this formula" w:history="1"/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0.3</w:t>
            </w:r>
          </w:p>
        </w:tc>
        <w:tc>
          <w:tcPr>
            <w:tcW w:w="2612" w:type="dxa"/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15161311" wp14:editId="0AE640CE">
                  <wp:extent cx="1166495" cy="930876"/>
                  <wp:effectExtent l="0" t="0" r="0" b="3175"/>
                  <wp:docPr id="22" name="Pictur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58996" cy="100469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</w:tcPr>
          <w:p w:rsidR="00586573" w:rsidRPr="00586573" w:rsidRDefault="00395E2C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</w:t>
            </w:r>
            <w:r w:rsidR="00586573"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 xml:space="preserve">Inhibited thyroid hormone production </w:t>
            </w:r>
          </w:p>
        </w:tc>
      </w:tr>
      <w:tr w:rsidR="00586573" w:rsidRPr="00586573" w:rsidTr="00383A4E">
        <w:trPr>
          <w:trHeight w:val="1484"/>
          <w:jc w:val="center"/>
        </w:trPr>
        <w:tc>
          <w:tcPr>
            <w:tcW w:w="770" w:type="dxa"/>
            <w:tcBorders>
              <w:bottom w:val="single" w:sz="18" w:space="0" w:color="auto"/>
            </w:tcBorders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4"/>
                <w:szCs w:val="24"/>
              </w:rPr>
            </w:pPr>
            <w:r w:rsidRPr="00586573">
              <w:rPr>
                <w:rFonts w:asciiTheme="majorBidi" w:hAnsiTheme="majorBidi" w:cstheme="majorBidi"/>
                <w:sz w:val="24"/>
                <w:szCs w:val="24"/>
              </w:rPr>
              <w:t>13</w:t>
            </w:r>
          </w:p>
        </w:tc>
        <w:tc>
          <w:tcPr>
            <w:tcW w:w="1665" w:type="dxa"/>
            <w:tcBorders>
              <w:bottom w:val="single" w:sz="18" w:space="0" w:color="auto"/>
            </w:tcBorders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Deltamethrin</w:t>
            </w:r>
          </w:p>
        </w:tc>
        <w:tc>
          <w:tcPr>
            <w:tcW w:w="2070" w:type="dxa"/>
            <w:tcBorders>
              <w:bottom w:val="single" w:sz="18" w:space="0" w:color="auto"/>
            </w:tcBorders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sz w:val="20"/>
                <w:szCs w:val="20"/>
              </w:rPr>
              <w:t>Pyrethroid</w:t>
            </w:r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  <w:tcBorders>
              <w:bottom w:val="single" w:sz="18" w:space="0" w:color="auto"/>
            </w:tcBorders>
          </w:tcPr>
          <w:p w:rsidR="00586573" w:rsidRPr="00586573" w:rsidRDefault="00586573" w:rsidP="00CF394A">
            <w:pPr>
              <w:shd w:val="clear" w:color="auto" w:fill="FFFFFF"/>
              <w:jc w:val="both"/>
              <w:rPr>
                <w:rFonts w:asciiTheme="majorBidi" w:eastAsia="Times New Roman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C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22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H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19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Br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2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</w:rPr>
              <w:t>NO</w:t>
            </w:r>
            <w:r w:rsidRPr="00586573">
              <w:rPr>
                <w:rFonts w:asciiTheme="majorBidi" w:eastAsia="Times New Roman" w:hAnsiTheme="majorBidi" w:cstheme="majorBidi"/>
                <w:sz w:val="20"/>
                <w:szCs w:val="20"/>
                <w:vertAlign w:val="subscript"/>
              </w:rPr>
              <w:t>3</w:t>
            </w:r>
            <w:hyperlink r:id="rId28" w:anchor="query=C9H6Cl6O3S" w:tooltip="Find all compounds that have this formula" w:history="1"/>
          </w:p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990" w:type="dxa"/>
            <w:tcBorders>
              <w:bottom w:val="single" w:sz="18" w:space="0" w:color="auto"/>
            </w:tcBorders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0.4</w:t>
            </w:r>
          </w:p>
        </w:tc>
        <w:tc>
          <w:tcPr>
            <w:tcW w:w="2612" w:type="dxa"/>
            <w:tcBorders>
              <w:bottom w:val="single" w:sz="18" w:space="0" w:color="auto"/>
            </w:tcBorders>
          </w:tcPr>
          <w:p w:rsidR="00586573" w:rsidRPr="00586573" w:rsidRDefault="00586573" w:rsidP="00CF394A">
            <w:pPr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drawing>
                <wp:inline distT="0" distB="0" distL="0" distR="0" wp14:anchorId="3E50D935" wp14:editId="3EA98CD6">
                  <wp:extent cx="1655805" cy="1021850"/>
                  <wp:effectExtent l="0" t="0" r="0" b="0"/>
                  <wp:docPr id="23" name="Picture 23" descr="Deltamethrin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Deltamethr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2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673053" cy="103249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12" w:type="dxa"/>
            <w:tcBorders>
              <w:bottom w:val="single" w:sz="18" w:space="0" w:color="auto"/>
            </w:tcBorders>
          </w:tcPr>
          <w:p w:rsidR="00586573" w:rsidRPr="00586573" w:rsidRDefault="00777C86" w:rsidP="00CF394A">
            <w:pPr>
              <w:rPr>
                <w:rFonts w:asciiTheme="majorBidi" w:hAnsiTheme="majorBidi" w:cstheme="majorBidi"/>
                <w:noProof/>
                <w:sz w:val="20"/>
                <w:szCs w:val="20"/>
              </w:rPr>
            </w:pPr>
            <w:r>
              <w:rPr>
                <w:rFonts w:asciiTheme="majorBidi" w:hAnsiTheme="majorBidi" w:cstheme="majorBidi"/>
                <w:noProof/>
                <w:sz w:val="20"/>
                <w:szCs w:val="20"/>
                <w:vertAlign w:val="superscript"/>
              </w:rPr>
              <w:t>6</w:t>
            </w:r>
            <w:r w:rsidR="00586573" w:rsidRPr="00586573">
              <w:rPr>
                <w:rFonts w:asciiTheme="majorBidi" w:hAnsiTheme="majorBidi" w:cstheme="majorBidi"/>
                <w:noProof/>
                <w:sz w:val="20"/>
                <w:szCs w:val="20"/>
              </w:rPr>
              <w:t>Weak estrogenic activity</w:t>
            </w:r>
          </w:p>
        </w:tc>
      </w:tr>
    </w:tbl>
    <w:p w:rsidR="00404D61" w:rsidRDefault="00395E2C" w:rsidP="00404D61">
      <w:pPr>
        <w:spacing w:line="36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395E2C">
        <w:rPr>
          <w:rFonts w:ascii="Times New Roman" w:hAnsi="Times New Roman" w:cs="Times New Roman"/>
          <w:bCs/>
          <w:sz w:val="16"/>
          <w:szCs w:val="16"/>
          <w:vertAlign w:val="superscript"/>
        </w:rPr>
        <w:t>1</w:t>
      </w:r>
      <w:r w:rsidR="00404D61" w:rsidRPr="00404D61">
        <w:rPr>
          <w:rFonts w:ascii="Times New Roman" w:hAnsi="Times New Roman" w:cs="Times New Roman"/>
          <w:bCs/>
          <w:sz w:val="16"/>
          <w:szCs w:val="16"/>
        </w:rPr>
        <w:t>Rawlings NC, Cook SJ, Waldbillig D. Effects of the pesticides carbofuran; chlorpyrifos; dimethoate; lindane; triallate; trifluralin; 2;4-D; and pentachlorophenol on the metabolic endocrine and reproductive endocrine system in ewes. J. Toxicol. Environ. Health A. 1998</w:t>
      </w:r>
      <w:r w:rsidR="00CF394A" w:rsidRPr="00404D61">
        <w:rPr>
          <w:rFonts w:ascii="Times New Roman" w:hAnsi="Times New Roman" w:cs="Times New Roman"/>
          <w:bCs/>
          <w:sz w:val="16"/>
          <w:szCs w:val="16"/>
        </w:rPr>
        <w:t>; 54:21</w:t>
      </w:r>
      <w:r w:rsidR="00404D61" w:rsidRPr="00404D61">
        <w:rPr>
          <w:rFonts w:ascii="Times New Roman" w:hAnsi="Times New Roman" w:cs="Times New Roman"/>
          <w:bCs/>
          <w:sz w:val="16"/>
          <w:szCs w:val="16"/>
        </w:rPr>
        <w:t>–36.</w:t>
      </w:r>
    </w:p>
    <w:p w:rsidR="00395E2C" w:rsidRPr="00395E2C" w:rsidRDefault="00395E2C" w:rsidP="00395E2C">
      <w:pPr>
        <w:spacing w:line="36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  <w:vertAlign w:val="superscript"/>
        </w:rPr>
        <w:t>2</w:t>
      </w:r>
      <w:r w:rsidRPr="00395E2C">
        <w:rPr>
          <w:rFonts w:ascii="Times New Roman" w:hAnsi="Times New Roman" w:cs="Times New Roman"/>
          <w:bCs/>
          <w:sz w:val="16"/>
          <w:szCs w:val="16"/>
        </w:rPr>
        <w:t>Oduma, J.A.; Wango, E.O.; Oduor-Okelo, D.; Makawiti, D.W.; Odongo, H. In vivo and In vitro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Pr="00395E2C">
        <w:rPr>
          <w:rFonts w:ascii="Times New Roman" w:hAnsi="Times New Roman" w:cs="Times New Roman"/>
          <w:bCs/>
          <w:sz w:val="16"/>
          <w:szCs w:val="16"/>
        </w:rPr>
        <w:t>effects of graded doses of the pesticide heptachlor on female sex steroid production in rats. Comp.</w:t>
      </w:r>
    </w:p>
    <w:p w:rsidR="00395E2C" w:rsidRPr="00404D61" w:rsidRDefault="00395E2C" w:rsidP="00395E2C">
      <w:pPr>
        <w:spacing w:line="36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395E2C">
        <w:rPr>
          <w:rFonts w:ascii="Times New Roman" w:hAnsi="Times New Roman" w:cs="Times New Roman"/>
          <w:bCs/>
          <w:sz w:val="16"/>
          <w:szCs w:val="16"/>
        </w:rPr>
        <w:t>Biochem. Physiol. C Pharmacol. Toxicol. Endocrinol. 1995, 111, 191-196</w:t>
      </w:r>
    </w:p>
    <w:p w:rsidR="00395E2C" w:rsidRPr="00395E2C" w:rsidRDefault="00395E2C" w:rsidP="00395E2C">
      <w:pPr>
        <w:spacing w:line="36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  <w:vertAlign w:val="superscript"/>
        </w:rPr>
        <w:t>3</w:t>
      </w:r>
      <w:r w:rsidRPr="00395E2C">
        <w:rPr>
          <w:rFonts w:ascii="Times New Roman" w:hAnsi="Times New Roman" w:cs="Times New Roman"/>
          <w:bCs/>
          <w:sz w:val="16"/>
          <w:szCs w:val="16"/>
        </w:rPr>
        <w:t>Trosken, E.E.; Scholz, K.; Lutz, R.W.; Volkel, W.; Zarn, J.A.; Lutz, W.K. Comparative</w:t>
      </w:r>
      <w:r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Pr="00395E2C">
        <w:rPr>
          <w:rFonts w:ascii="Times New Roman" w:hAnsi="Times New Roman" w:cs="Times New Roman"/>
          <w:bCs/>
          <w:sz w:val="16"/>
          <w:szCs w:val="16"/>
        </w:rPr>
        <w:t>assessment of the inhibition of recombinant human CYP19 (aromatase) by azoles used in</w:t>
      </w:r>
    </w:p>
    <w:p w:rsidR="00395E2C" w:rsidRPr="00404D61" w:rsidRDefault="00395E2C" w:rsidP="00395E2C">
      <w:pPr>
        <w:spacing w:line="36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395E2C">
        <w:rPr>
          <w:rFonts w:ascii="Times New Roman" w:hAnsi="Times New Roman" w:cs="Times New Roman"/>
          <w:bCs/>
          <w:sz w:val="16"/>
          <w:szCs w:val="16"/>
        </w:rPr>
        <w:t>agriculture and as drugs for humans. Endocr. Res. 2004, 30, 387-394.</w:t>
      </w:r>
    </w:p>
    <w:p w:rsidR="00395E2C" w:rsidRDefault="00395E2C" w:rsidP="00395E2C">
      <w:pPr>
        <w:spacing w:line="36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  <w:r w:rsidRPr="00395E2C">
        <w:rPr>
          <w:rFonts w:ascii="Times New Roman" w:hAnsi="Times New Roman" w:cs="Times New Roman"/>
          <w:bCs/>
          <w:sz w:val="16"/>
          <w:szCs w:val="16"/>
          <w:vertAlign w:val="superscript"/>
        </w:rPr>
        <w:t>4</w:t>
      </w:r>
      <w:r w:rsidR="00404D61" w:rsidRPr="00404D61">
        <w:rPr>
          <w:rFonts w:ascii="Times New Roman" w:hAnsi="Times New Roman" w:cs="Times New Roman"/>
          <w:bCs/>
          <w:sz w:val="16"/>
          <w:szCs w:val="16"/>
        </w:rPr>
        <w:t>Beard AB, Rawlings NC. Thyroid function and effects on reproduction in ewes exposed to the organochlorine pesticides lindane or pentachlorophenol (PCP) from conception. J. Toxicol. Environ. Health A. 1999;58:</w:t>
      </w:r>
      <w:r w:rsidR="00413828"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="00404D61" w:rsidRPr="00404D61">
        <w:rPr>
          <w:rFonts w:ascii="Times New Roman" w:hAnsi="Times New Roman" w:cs="Times New Roman"/>
          <w:bCs/>
          <w:sz w:val="16"/>
          <w:szCs w:val="16"/>
        </w:rPr>
        <w:t xml:space="preserve">509–530. </w:t>
      </w:r>
    </w:p>
    <w:p w:rsidR="00667D38" w:rsidRPr="00404D61" w:rsidRDefault="00667D38" w:rsidP="00395E2C">
      <w:pPr>
        <w:spacing w:line="36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  <w:vertAlign w:val="superscript"/>
        </w:rPr>
        <w:lastRenderedPageBreak/>
        <w:t>5</w:t>
      </w:r>
      <w:r w:rsidRPr="00667D38">
        <w:rPr>
          <w:rFonts w:ascii="Times New Roman" w:hAnsi="Times New Roman" w:cs="Times New Roman"/>
          <w:bCs/>
          <w:sz w:val="16"/>
          <w:szCs w:val="16"/>
        </w:rPr>
        <w:t>Zhao, M., Zhang, Y., Zhuang, S., Zhang, Q., Lu, C., &amp; Liu, W. (2014). Disruption of the Hormonal Network and the Enantioselectivity of Bifenthrin in Trophoblast: Maternal–Fetal Health Risk of Chiral Pesticides. Environmental Science &amp; Technology, 48(14), 8109–8116. doi:10.1021/es501903b</w:t>
      </w:r>
    </w:p>
    <w:p w:rsidR="00404D61" w:rsidRDefault="004A0DA4" w:rsidP="004A0DA4">
      <w:pPr>
        <w:spacing w:line="360" w:lineRule="auto"/>
        <w:jc w:val="both"/>
        <w:rPr>
          <w:rFonts w:ascii="Times New Roman" w:hAnsi="Times New Roman" w:cs="Times New Roman"/>
          <w:bCs/>
          <w:sz w:val="16"/>
          <w:szCs w:val="16"/>
        </w:rPr>
      </w:pPr>
      <w:r>
        <w:rPr>
          <w:rFonts w:ascii="Times New Roman" w:hAnsi="Times New Roman" w:cs="Times New Roman"/>
          <w:bCs/>
          <w:sz w:val="16"/>
          <w:szCs w:val="16"/>
          <w:vertAlign w:val="superscript"/>
        </w:rPr>
        <w:t>6</w:t>
      </w:r>
      <w:r w:rsidR="00404D61" w:rsidRPr="00404D61">
        <w:rPr>
          <w:rFonts w:ascii="Times New Roman" w:hAnsi="Times New Roman" w:cs="Times New Roman"/>
          <w:bCs/>
          <w:sz w:val="16"/>
          <w:szCs w:val="16"/>
        </w:rPr>
        <w:t>Sugiyama S, Shimada N, Miyoshi H, Yamauchi K</w:t>
      </w:r>
      <w:r>
        <w:rPr>
          <w:rFonts w:ascii="Times New Roman" w:hAnsi="Times New Roman" w:cs="Times New Roman"/>
          <w:bCs/>
          <w:sz w:val="16"/>
          <w:szCs w:val="16"/>
        </w:rPr>
        <w:t xml:space="preserve"> (</w:t>
      </w:r>
      <w:r w:rsidRPr="00404D61">
        <w:rPr>
          <w:rFonts w:ascii="Times New Roman" w:hAnsi="Times New Roman" w:cs="Times New Roman"/>
          <w:bCs/>
          <w:sz w:val="16"/>
          <w:szCs w:val="16"/>
        </w:rPr>
        <w:t>2005</w:t>
      </w:r>
      <w:r>
        <w:rPr>
          <w:rFonts w:ascii="Times New Roman" w:hAnsi="Times New Roman" w:cs="Times New Roman"/>
          <w:bCs/>
          <w:sz w:val="16"/>
          <w:szCs w:val="16"/>
        </w:rPr>
        <w:t xml:space="preserve">) </w:t>
      </w:r>
      <w:r w:rsidRPr="004A0DA4">
        <w:rPr>
          <w:rFonts w:ascii="Times New Roman" w:hAnsi="Times New Roman" w:cs="Times New Roman"/>
          <w:bCs/>
          <w:sz w:val="16"/>
          <w:szCs w:val="16"/>
        </w:rPr>
        <w:t>Detection of thyroid system-disrupting chemicals using in vitro and in vivo screening assays in Xenopus laevis</w:t>
      </w:r>
      <w:r w:rsidR="00404D61">
        <w:rPr>
          <w:rFonts w:ascii="Times New Roman" w:hAnsi="Times New Roman" w:cs="Times New Roman"/>
          <w:bCs/>
          <w:sz w:val="16"/>
          <w:szCs w:val="16"/>
        </w:rPr>
        <w:t xml:space="preserve"> </w:t>
      </w:r>
      <w:r w:rsidR="00404D61" w:rsidRPr="00404D61">
        <w:rPr>
          <w:rFonts w:ascii="Times New Roman" w:hAnsi="Times New Roman" w:cs="Times New Roman"/>
          <w:bCs/>
          <w:sz w:val="16"/>
          <w:szCs w:val="16"/>
        </w:rPr>
        <w:t>Toxicol Sci. 88(2):367-74.</w:t>
      </w:r>
    </w:p>
    <w:p w:rsidR="00135EE1" w:rsidRDefault="00135EE1" w:rsidP="00183EB9">
      <w:pPr>
        <w:spacing w:after="0" w:line="259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586573" w:rsidRPr="00586573" w:rsidRDefault="00586573" w:rsidP="00183EB9">
      <w:pPr>
        <w:spacing w:after="0" w:line="259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586573">
        <w:rPr>
          <w:rFonts w:ascii="Times New Roman" w:hAnsi="Times New Roman" w:cs="Times New Roman"/>
          <w:b/>
          <w:sz w:val="24"/>
          <w:szCs w:val="24"/>
        </w:rPr>
        <w:t>Table</w:t>
      </w:r>
      <w:r w:rsidR="00183EB9" w:rsidRPr="00183EB9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="00183EB9">
        <w:rPr>
          <w:rFonts w:asciiTheme="majorBidi" w:hAnsiTheme="majorBidi" w:cstheme="majorBidi"/>
          <w:b/>
          <w:sz w:val="24"/>
          <w:szCs w:val="24"/>
        </w:rPr>
        <w:t>S-2.</w:t>
      </w:r>
      <w:r w:rsidR="00183EB9" w:rsidRPr="00586573">
        <w:rPr>
          <w:rFonts w:asciiTheme="majorBidi" w:hAnsiTheme="majorBidi" w:cstheme="majorBidi"/>
          <w:b/>
          <w:sz w:val="24"/>
          <w:szCs w:val="24"/>
        </w:rPr>
        <w:t xml:space="preserve"> </w:t>
      </w:r>
      <w:r w:rsidRPr="00586573">
        <w:rPr>
          <w:rFonts w:ascii="Times New Roman" w:hAnsi="Times New Roman" w:cs="Times New Roman"/>
          <w:bCs/>
          <w:sz w:val="24"/>
          <w:szCs w:val="24"/>
        </w:rPr>
        <w:t>Collection points and origin of the samples</w:t>
      </w:r>
      <w:r w:rsidRPr="00586573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</w:t>
      </w:r>
    </w:p>
    <w:tbl>
      <w:tblPr>
        <w:tblStyle w:val="TableGrid"/>
        <w:tblpPr w:leftFromText="180" w:rightFromText="180" w:vertAnchor="text" w:horzAnchor="margin" w:tblpY="228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116"/>
        <w:gridCol w:w="3117"/>
        <w:gridCol w:w="3117"/>
      </w:tblGrid>
      <w:tr w:rsidR="00586573" w:rsidRPr="00586573" w:rsidTr="00383A4E">
        <w:tc>
          <w:tcPr>
            <w:tcW w:w="3116" w:type="dxa"/>
            <w:tcBorders>
              <w:top w:val="single" w:sz="18" w:space="0" w:color="auto"/>
              <w:bottom w:val="single" w:sz="18" w:space="0" w:color="auto"/>
            </w:tcBorders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b/>
                <w:bCs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b/>
                <w:bCs/>
                <w:sz w:val="20"/>
                <w:szCs w:val="20"/>
              </w:rPr>
              <w:t xml:space="preserve">Sample Code </w:t>
            </w:r>
          </w:p>
        </w:tc>
        <w:tc>
          <w:tcPr>
            <w:tcW w:w="3117" w:type="dxa"/>
            <w:tcBorders>
              <w:top w:val="single" w:sz="18" w:space="0" w:color="auto"/>
              <w:bottom w:val="single" w:sz="18" w:space="0" w:color="auto"/>
            </w:tcBorders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b/>
                <w:bCs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b/>
                <w:bCs/>
                <w:sz w:val="20"/>
                <w:szCs w:val="20"/>
              </w:rPr>
              <w:t xml:space="preserve">Market </w:t>
            </w:r>
          </w:p>
        </w:tc>
        <w:tc>
          <w:tcPr>
            <w:tcW w:w="3117" w:type="dxa"/>
            <w:tcBorders>
              <w:top w:val="single" w:sz="18" w:space="0" w:color="auto"/>
              <w:bottom w:val="single" w:sz="18" w:space="0" w:color="auto"/>
            </w:tcBorders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b/>
                <w:bCs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b/>
                <w:bCs/>
                <w:sz w:val="20"/>
                <w:szCs w:val="20"/>
              </w:rPr>
              <w:t>Growing Area</w:t>
            </w:r>
          </w:p>
        </w:tc>
      </w:tr>
      <w:tr w:rsidR="00586573" w:rsidRPr="00586573" w:rsidTr="00383A4E">
        <w:tc>
          <w:tcPr>
            <w:tcW w:w="3116" w:type="dxa"/>
            <w:tcBorders>
              <w:top w:val="single" w:sz="18" w:space="0" w:color="auto"/>
            </w:tcBorders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PwFm 1-3</w:t>
            </w:r>
          </w:p>
        </w:tc>
        <w:tc>
          <w:tcPr>
            <w:tcW w:w="3117" w:type="dxa"/>
            <w:tcBorders>
              <w:top w:val="single" w:sz="18" w:space="0" w:color="auto"/>
            </w:tcBorders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Pir wadai, Fruit Market Islamabad</w:t>
            </w:r>
          </w:p>
        </w:tc>
        <w:tc>
          <w:tcPr>
            <w:tcW w:w="3117" w:type="dxa"/>
            <w:tcBorders>
              <w:top w:val="single" w:sz="18" w:space="0" w:color="auto"/>
            </w:tcBorders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Swabi, Mansehra, Huzro</w:t>
            </w:r>
          </w:p>
        </w:tc>
      </w:tr>
      <w:tr w:rsidR="00586573" w:rsidRPr="00586573" w:rsidTr="00383A4E">
        <w:tc>
          <w:tcPr>
            <w:tcW w:w="3116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KpFm 1-3</w:t>
            </w:r>
          </w:p>
        </w:tc>
        <w:tc>
          <w:tcPr>
            <w:tcW w:w="3117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Khana Pull, Fruit Market Islamabad</w:t>
            </w:r>
          </w:p>
        </w:tc>
        <w:tc>
          <w:tcPr>
            <w:tcW w:w="3117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Hari pur, Kaghan, Sawabi</w:t>
            </w:r>
          </w:p>
        </w:tc>
      </w:tr>
      <w:tr w:rsidR="00586573" w:rsidRPr="00586573" w:rsidTr="00383A4E">
        <w:tc>
          <w:tcPr>
            <w:tcW w:w="3116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JbRs 1-3</w:t>
            </w:r>
          </w:p>
        </w:tc>
        <w:tc>
          <w:tcPr>
            <w:tcW w:w="3117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Jummah Bazar, Rawalpindi Stadium</w:t>
            </w:r>
          </w:p>
        </w:tc>
        <w:tc>
          <w:tcPr>
            <w:tcW w:w="3117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Mansehra, Gilgit, Huzro</w:t>
            </w:r>
          </w:p>
        </w:tc>
      </w:tr>
      <w:tr w:rsidR="00586573" w:rsidRPr="00586573" w:rsidTr="00383A4E">
        <w:tc>
          <w:tcPr>
            <w:tcW w:w="3116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BkWm 1-3</w:t>
            </w:r>
          </w:p>
        </w:tc>
        <w:tc>
          <w:tcPr>
            <w:tcW w:w="3117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Barakho Wednesday Market Islamabad</w:t>
            </w:r>
          </w:p>
        </w:tc>
        <w:tc>
          <w:tcPr>
            <w:tcW w:w="3117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Multan, Sawat, Rawat</w:t>
            </w:r>
          </w:p>
        </w:tc>
      </w:tr>
      <w:tr w:rsidR="00586573" w:rsidRPr="00586573" w:rsidTr="00383A4E">
        <w:tc>
          <w:tcPr>
            <w:tcW w:w="3116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AbSm 1-3</w:t>
            </w:r>
          </w:p>
        </w:tc>
        <w:tc>
          <w:tcPr>
            <w:tcW w:w="3117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Abpara, SundayMarket Islamabad</w:t>
            </w:r>
          </w:p>
        </w:tc>
        <w:tc>
          <w:tcPr>
            <w:tcW w:w="3117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Sawabi, Huzro, Sawat</w:t>
            </w:r>
          </w:p>
        </w:tc>
      </w:tr>
      <w:tr w:rsidR="00586573" w:rsidRPr="00586573" w:rsidTr="00383A4E">
        <w:tc>
          <w:tcPr>
            <w:tcW w:w="3116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G9Sm 1-3</w:t>
            </w:r>
          </w:p>
        </w:tc>
        <w:tc>
          <w:tcPr>
            <w:tcW w:w="3117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G9 Sunday Market Islamabad</w:t>
            </w:r>
          </w:p>
        </w:tc>
        <w:tc>
          <w:tcPr>
            <w:tcW w:w="3117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Islamabad(local), Chak Shahzad, Sawat</w:t>
            </w:r>
          </w:p>
        </w:tc>
      </w:tr>
      <w:tr w:rsidR="00586573" w:rsidRPr="00586573" w:rsidTr="00383A4E">
        <w:tc>
          <w:tcPr>
            <w:tcW w:w="3116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C-20m 1-3</w:t>
            </w:r>
          </w:p>
        </w:tc>
        <w:tc>
          <w:tcPr>
            <w:tcW w:w="3117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Chungi no.20, Rawalpindi</w:t>
            </w:r>
          </w:p>
        </w:tc>
        <w:tc>
          <w:tcPr>
            <w:tcW w:w="3117" w:type="dxa"/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Adiyala Road, Haripur, Sawabi</w:t>
            </w:r>
          </w:p>
        </w:tc>
      </w:tr>
      <w:tr w:rsidR="00586573" w:rsidRPr="00586573" w:rsidTr="00383A4E">
        <w:tc>
          <w:tcPr>
            <w:tcW w:w="3116" w:type="dxa"/>
            <w:tcBorders>
              <w:bottom w:val="single" w:sz="18" w:space="0" w:color="auto"/>
            </w:tcBorders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C-22m 1-3</w:t>
            </w:r>
          </w:p>
        </w:tc>
        <w:tc>
          <w:tcPr>
            <w:tcW w:w="3117" w:type="dxa"/>
            <w:tcBorders>
              <w:bottom w:val="single" w:sz="18" w:space="0" w:color="auto"/>
            </w:tcBorders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Chungi no.22, Rawalpindi</w:t>
            </w:r>
          </w:p>
        </w:tc>
        <w:tc>
          <w:tcPr>
            <w:tcW w:w="3117" w:type="dxa"/>
            <w:tcBorders>
              <w:bottom w:val="single" w:sz="18" w:space="0" w:color="auto"/>
            </w:tcBorders>
          </w:tcPr>
          <w:p w:rsidR="00586573" w:rsidRPr="00586573" w:rsidRDefault="00586573" w:rsidP="00586573">
            <w:pPr>
              <w:autoSpaceDE w:val="0"/>
              <w:autoSpaceDN w:val="0"/>
              <w:adjustRightInd w:val="0"/>
              <w:spacing w:before="120" w:after="120"/>
              <w:jc w:val="left"/>
              <w:rPr>
                <w:rFonts w:ascii="Times New Roman" w:eastAsia="TimesNewRoman" w:hAnsi="Times New Roman" w:cs="Times New Roman"/>
                <w:sz w:val="20"/>
                <w:szCs w:val="20"/>
              </w:rPr>
            </w:pPr>
            <w:r w:rsidRPr="00586573">
              <w:rPr>
                <w:rFonts w:ascii="Times New Roman" w:eastAsia="TimesNewRoman" w:hAnsi="Times New Roman" w:cs="Times New Roman"/>
                <w:sz w:val="20"/>
                <w:szCs w:val="20"/>
              </w:rPr>
              <w:t>Northern Area Sawat, Abbottabad</w:t>
            </w:r>
          </w:p>
        </w:tc>
      </w:tr>
    </w:tbl>
    <w:p w:rsidR="00586573" w:rsidRPr="00586573" w:rsidRDefault="00586573" w:rsidP="00586573">
      <w:pPr>
        <w:spacing w:after="0"/>
        <w:jc w:val="left"/>
        <w:rPr>
          <w:rFonts w:ascii="Arial" w:eastAsia="Times New Roman" w:hAnsi="Arial" w:cs="Arial"/>
          <w:color w:val="303030"/>
          <w:sz w:val="20"/>
          <w:szCs w:val="20"/>
        </w:rPr>
      </w:pPr>
    </w:p>
    <w:p w:rsidR="00B87712" w:rsidRDefault="00B87712" w:rsidP="00A51EE7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712" w:rsidRDefault="00B87712" w:rsidP="00A51EE7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712" w:rsidRDefault="00B87712" w:rsidP="00A51EE7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712" w:rsidRDefault="00B87712" w:rsidP="00A51EE7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712" w:rsidRDefault="00B87712" w:rsidP="00A51EE7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712" w:rsidRDefault="00B87712" w:rsidP="00A51EE7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712" w:rsidRDefault="00B87712" w:rsidP="00A51EE7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712" w:rsidRDefault="00B87712" w:rsidP="00A51EE7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712" w:rsidRDefault="00B87712" w:rsidP="00A51EE7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87712" w:rsidRDefault="00B87712" w:rsidP="00A51EE7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135EE1" w:rsidRDefault="00135EE1" w:rsidP="00A23C3C">
      <w:pPr>
        <w:spacing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135EE1" w:rsidRDefault="00135EE1" w:rsidP="00A23C3C">
      <w:pPr>
        <w:spacing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  <w:bookmarkStart w:id="0" w:name="_GoBack"/>
      <w:bookmarkEnd w:id="0"/>
    </w:p>
    <w:p w:rsidR="00135EE1" w:rsidRDefault="00135EE1" w:rsidP="00A23C3C">
      <w:pPr>
        <w:spacing w:line="360" w:lineRule="auto"/>
        <w:jc w:val="both"/>
        <w:rPr>
          <w:rFonts w:asciiTheme="majorBidi" w:hAnsiTheme="majorBidi" w:cstheme="majorBidi"/>
          <w:b/>
          <w:sz w:val="24"/>
          <w:szCs w:val="24"/>
        </w:rPr>
      </w:pPr>
    </w:p>
    <w:p w:rsidR="00A23C3C" w:rsidRPr="00117B72" w:rsidRDefault="00A23C3C" w:rsidP="00A23C3C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lastRenderedPageBreak/>
        <w:t xml:space="preserve">Table.S-3 </w:t>
      </w:r>
      <w:r w:rsidRPr="00117B72">
        <w:rPr>
          <w:rFonts w:ascii="Times New Roman" w:hAnsi="Times New Roman" w:cs="Times New Roman"/>
          <w:bCs/>
          <w:sz w:val="24"/>
          <w:szCs w:val="24"/>
        </w:rPr>
        <w:t xml:space="preserve">GC-MSD </w:t>
      </w:r>
      <w:r>
        <w:rPr>
          <w:rFonts w:ascii="Times New Roman" w:hAnsi="Times New Roman" w:cs="Times New Roman"/>
          <w:bCs/>
          <w:sz w:val="24"/>
          <w:szCs w:val="24"/>
        </w:rPr>
        <w:t>m</w:t>
      </w:r>
      <w:r w:rsidRPr="00117B72">
        <w:rPr>
          <w:rFonts w:ascii="Times New Roman" w:hAnsi="Times New Roman" w:cs="Times New Roman"/>
          <w:bCs/>
          <w:sz w:val="24"/>
          <w:szCs w:val="24"/>
        </w:rPr>
        <w:t xml:space="preserve">ethod </w:t>
      </w:r>
      <w:r>
        <w:rPr>
          <w:rFonts w:ascii="Times New Roman" w:hAnsi="Times New Roman" w:cs="Times New Roman"/>
          <w:bCs/>
          <w:sz w:val="24"/>
          <w:szCs w:val="24"/>
        </w:rPr>
        <w:t>p</w:t>
      </w:r>
      <w:r w:rsidRPr="00117B72">
        <w:rPr>
          <w:rFonts w:ascii="Times New Roman" w:hAnsi="Times New Roman" w:cs="Times New Roman"/>
          <w:bCs/>
          <w:sz w:val="24"/>
          <w:szCs w:val="24"/>
        </w:rPr>
        <w:t>arameters for selected pesticides in brinja</w:t>
      </w:r>
      <w:r>
        <w:rPr>
          <w:rFonts w:ascii="Times New Roman" w:hAnsi="Times New Roman" w:cs="Times New Roman"/>
          <w:bCs/>
          <w:sz w:val="24"/>
          <w:szCs w:val="24"/>
        </w:rPr>
        <w:t>l</w:t>
      </w:r>
      <w:r w:rsidRPr="00117B72">
        <w:rPr>
          <w:rFonts w:ascii="Times New Roman" w:hAnsi="Times New Roman" w:cs="Times New Roman"/>
          <w:bCs/>
          <w:sz w:val="24"/>
          <w:szCs w:val="24"/>
        </w:rPr>
        <w:t xml:space="preserve"> and </w:t>
      </w:r>
      <w:r>
        <w:rPr>
          <w:rFonts w:ascii="Times New Roman" w:hAnsi="Times New Roman" w:cs="Times New Roman"/>
          <w:bCs/>
          <w:sz w:val="24"/>
          <w:szCs w:val="24"/>
        </w:rPr>
        <w:t>c</w:t>
      </w:r>
      <w:r w:rsidRPr="00117B72">
        <w:rPr>
          <w:rFonts w:ascii="Times New Roman" w:hAnsi="Times New Roman" w:cs="Times New Roman"/>
          <w:bCs/>
          <w:sz w:val="24"/>
          <w:szCs w:val="24"/>
        </w:rPr>
        <w:t xml:space="preserve">auliflower </w:t>
      </w:r>
    </w:p>
    <w:tbl>
      <w:tblPr>
        <w:tblStyle w:val="TableGrid"/>
        <w:tblW w:w="2902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749"/>
        <w:gridCol w:w="1336"/>
        <w:gridCol w:w="1290"/>
        <w:gridCol w:w="1228"/>
        <w:gridCol w:w="919"/>
      </w:tblGrid>
      <w:tr w:rsidR="00A23C3C" w:rsidRPr="00905B33" w:rsidTr="00AE284E">
        <w:trPr>
          <w:trHeight w:val="60"/>
        </w:trPr>
        <w:tc>
          <w:tcPr>
            <w:tcW w:w="1721" w:type="pct"/>
            <w:tcBorders>
              <w:top w:val="single" w:sz="4" w:space="0" w:color="auto"/>
              <w:bottom w:val="single" w:sz="4" w:space="0" w:color="auto"/>
            </w:tcBorders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left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Pesticides</w:t>
            </w:r>
          </w:p>
        </w:tc>
        <w:tc>
          <w:tcPr>
            <w:tcW w:w="944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RT</w:t>
            </w:r>
          </w:p>
        </w:tc>
        <w:tc>
          <w:tcPr>
            <w:tcW w:w="79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Target ion</w:t>
            </w:r>
          </w:p>
        </w:tc>
        <w:tc>
          <w:tcPr>
            <w:tcW w:w="872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905B3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1</w:t>
            </w:r>
          </w:p>
        </w:tc>
        <w:tc>
          <w:tcPr>
            <w:tcW w:w="666" w:type="pct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Q</w:t>
            </w:r>
            <w:r w:rsidRPr="00905B33">
              <w:rPr>
                <w:rFonts w:ascii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2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tcBorders>
              <w:top w:val="single" w:sz="4" w:space="0" w:color="auto"/>
            </w:tcBorders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Lindane</w:t>
            </w:r>
          </w:p>
        </w:tc>
        <w:tc>
          <w:tcPr>
            <w:tcW w:w="944" w:type="pct"/>
            <w:tcBorders>
              <w:top w:val="single" w:sz="4" w:space="0" w:color="auto"/>
            </w:tcBorders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6.7</w:t>
            </w:r>
          </w:p>
        </w:tc>
        <w:tc>
          <w:tcPr>
            <w:tcW w:w="796" w:type="pct"/>
            <w:tcBorders>
              <w:top w:val="single" w:sz="4" w:space="0" w:color="auto"/>
            </w:tcBorders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872" w:type="pct"/>
            <w:tcBorders>
              <w:top w:val="single" w:sz="4" w:space="0" w:color="auto"/>
            </w:tcBorders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183</w:t>
            </w:r>
          </w:p>
        </w:tc>
        <w:tc>
          <w:tcPr>
            <w:tcW w:w="666" w:type="pct"/>
            <w:tcBorders>
              <w:top w:val="single" w:sz="4" w:space="0" w:color="auto"/>
            </w:tcBorders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219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Heptachlor</w:t>
            </w:r>
          </w:p>
        </w:tc>
        <w:tc>
          <w:tcPr>
            <w:tcW w:w="944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8.4</w:t>
            </w:r>
          </w:p>
        </w:tc>
        <w:tc>
          <w:tcPr>
            <w:tcW w:w="79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872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100</w:t>
            </w:r>
          </w:p>
        </w:tc>
        <w:tc>
          <w:tcPr>
            <w:tcW w:w="66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Chlorpyrifos</w:t>
            </w:r>
          </w:p>
        </w:tc>
        <w:tc>
          <w:tcPr>
            <w:tcW w:w="944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9.6</w:t>
            </w:r>
          </w:p>
        </w:tc>
        <w:tc>
          <w:tcPr>
            <w:tcW w:w="79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872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199</w:t>
            </w:r>
          </w:p>
        </w:tc>
        <w:tc>
          <w:tcPr>
            <w:tcW w:w="66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314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Heptachlor exo-epoxide B</w:t>
            </w:r>
          </w:p>
        </w:tc>
        <w:tc>
          <w:tcPr>
            <w:tcW w:w="944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10.4</w:t>
            </w:r>
          </w:p>
        </w:tc>
        <w:tc>
          <w:tcPr>
            <w:tcW w:w="79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bCs/>
                <w:sz w:val="24"/>
                <w:szCs w:val="24"/>
              </w:rPr>
              <w:t>353</w:t>
            </w:r>
          </w:p>
        </w:tc>
        <w:tc>
          <w:tcPr>
            <w:tcW w:w="872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355</w:t>
            </w:r>
          </w:p>
        </w:tc>
        <w:tc>
          <w:tcPr>
            <w:tcW w:w="66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351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Heptachlor epoxide A</w:t>
            </w:r>
          </w:p>
        </w:tc>
        <w:tc>
          <w:tcPr>
            <w:tcW w:w="944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10.5</w:t>
            </w:r>
          </w:p>
        </w:tc>
        <w:tc>
          <w:tcPr>
            <w:tcW w:w="79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872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135</w:t>
            </w:r>
          </w:p>
        </w:tc>
        <w:tc>
          <w:tcPr>
            <w:tcW w:w="66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81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Triadimenol</w:t>
            </w:r>
          </w:p>
        </w:tc>
        <w:tc>
          <w:tcPr>
            <w:tcW w:w="944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10.9</w:t>
            </w:r>
          </w:p>
        </w:tc>
        <w:tc>
          <w:tcPr>
            <w:tcW w:w="79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112</w:t>
            </w:r>
          </w:p>
        </w:tc>
        <w:tc>
          <w:tcPr>
            <w:tcW w:w="872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128</w:t>
            </w:r>
          </w:p>
        </w:tc>
        <w:tc>
          <w:tcPr>
            <w:tcW w:w="66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168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α-Endosulfan</w:t>
            </w:r>
          </w:p>
        </w:tc>
        <w:tc>
          <w:tcPr>
            <w:tcW w:w="944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11.3</w:t>
            </w:r>
          </w:p>
        </w:tc>
        <w:tc>
          <w:tcPr>
            <w:tcW w:w="79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241</w:t>
            </w:r>
          </w:p>
        </w:tc>
        <w:tc>
          <w:tcPr>
            <w:tcW w:w="872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66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239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β-Endosulfan</w:t>
            </w:r>
          </w:p>
        </w:tc>
        <w:tc>
          <w:tcPr>
            <w:tcW w:w="944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12.6</w:t>
            </w:r>
          </w:p>
        </w:tc>
        <w:tc>
          <w:tcPr>
            <w:tcW w:w="79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195</w:t>
            </w:r>
          </w:p>
        </w:tc>
        <w:tc>
          <w:tcPr>
            <w:tcW w:w="872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237</w:t>
            </w:r>
          </w:p>
        </w:tc>
        <w:tc>
          <w:tcPr>
            <w:tcW w:w="66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207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Endosulfan sulfate</w:t>
            </w:r>
          </w:p>
        </w:tc>
        <w:tc>
          <w:tcPr>
            <w:tcW w:w="944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13.4</w:t>
            </w:r>
          </w:p>
        </w:tc>
        <w:tc>
          <w:tcPr>
            <w:tcW w:w="79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272</w:t>
            </w:r>
          </w:p>
        </w:tc>
        <w:tc>
          <w:tcPr>
            <w:tcW w:w="872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274</w:t>
            </w:r>
          </w:p>
        </w:tc>
        <w:tc>
          <w:tcPr>
            <w:tcW w:w="66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229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Bifenthrin</w:t>
            </w:r>
          </w:p>
        </w:tc>
        <w:tc>
          <w:tcPr>
            <w:tcW w:w="944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14.5</w:t>
            </w:r>
          </w:p>
        </w:tc>
        <w:tc>
          <w:tcPr>
            <w:tcW w:w="79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872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  <w:tc>
          <w:tcPr>
            <w:tcW w:w="66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166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λ-Cyhalothrin</w:t>
            </w:r>
          </w:p>
        </w:tc>
        <w:tc>
          <w:tcPr>
            <w:tcW w:w="944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15.3</w:t>
            </w:r>
          </w:p>
        </w:tc>
        <w:tc>
          <w:tcPr>
            <w:tcW w:w="79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872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197</w:t>
            </w:r>
          </w:p>
        </w:tc>
        <w:tc>
          <w:tcPr>
            <w:tcW w:w="66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208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α-cypermethrin</w:t>
            </w:r>
          </w:p>
        </w:tc>
        <w:tc>
          <w:tcPr>
            <w:tcW w:w="944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16.6</w:t>
            </w:r>
          </w:p>
        </w:tc>
        <w:tc>
          <w:tcPr>
            <w:tcW w:w="79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872" w:type="pct"/>
            <w:noWrap/>
            <w:vAlign w:val="center"/>
            <w:hideMark/>
          </w:tcPr>
          <w:p w:rsidR="00A23C3C" w:rsidRPr="008673C9" w:rsidRDefault="00A23C3C" w:rsidP="00FE594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66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165</w:t>
            </w:r>
          </w:p>
        </w:tc>
      </w:tr>
      <w:tr w:rsidR="00A23C3C" w:rsidRPr="00905B33" w:rsidTr="00AE284E">
        <w:trPr>
          <w:trHeight w:val="315"/>
        </w:trPr>
        <w:tc>
          <w:tcPr>
            <w:tcW w:w="1721" w:type="pct"/>
            <w:noWrap/>
            <w:vAlign w:val="center"/>
            <w:hideMark/>
          </w:tcPr>
          <w:p w:rsidR="00A23C3C" w:rsidRPr="00905B33" w:rsidRDefault="00A23C3C" w:rsidP="00AE284E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905B33">
              <w:rPr>
                <w:rFonts w:ascii="Times New Roman" w:hAnsi="Times New Roman" w:cs="Times New Roman"/>
                <w:sz w:val="24"/>
                <w:szCs w:val="24"/>
              </w:rPr>
              <w:t>Deltamethrin</w:t>
            </w:r>
          </w:p>
        </w:tc>
        <w:tc>
          <w:tcPr>
            <w:tcW w:w="944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18.1</w:t>
            </w:r>
          </w:p>
        </w:tc>
        <w:tc>
          <w:tcPr>
            <w:tcW w:w="79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181</w:t>
            </w:r>
          </w:p>
        </w:tc>
        <w:tc>
          <w:tcPr>
            <w:tcW w:w="872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253</w:t>
            </w:r>
          </w:p>
        </w:tc>
        <w:tc>
          <w:tcPr>
            <w:tcW w:w="666" w:type="pct"/>
            <w:noWrap/>
            <w:vAlign w:val="center"/>
            <w:hideMark/>
          </w:tcPr>
          <w:p w:rsidR="00A23C3C" w:rsidRPr="008673C9" w:rsidRDefault="00A23C3C" w:rsidP="00AE284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C9">
              <w:rPr>
                <w:rFonts w:ascii="Times New Roman" w:hAnsi="Times New Roman" w:cs="Times New Roman"/>
                <w:sz w:val="24"/>
                <w:szCs w:val="24"/>
              </w:rPr>
              <w:t>251</w:t>
            </w:r>
          </w:p>
        </w:tc>
      </w:tr>
    </w:tbl>
    <w:p w:rsidR="00A23C3C" w:rsidRDefault="00A23C3C" w:rsidP="00FE594C">
      <w:pPr>
        <w:autoSpaceDE w:val="0"/>
        <w:autoSpaceDN w:val="0"/>
        <w:adjustRightInd w:val="0"/>
        <w:spacing w:after="100" w:afterAutospacing="1"/>
        <w:rPr>
          <w:rFonts w:ascii="Times New Roman" w:hAnsi="Times New Roman" w:cs="Times New Roman"/>
          <w:b/>
          <w:sz w:val="24"/>
          <w:szCs w:val="24"/>
        </w:rPr>
      </w:pPr>
    </w:p>
    <w:p w:rsidR="00DA62DB" w:rsidRPr="00DA62DB" w:rsidRDefault="00A51EE7" w:rsidP="00DA62DB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sz w:val="24"/>
          <w:szCs w:val="24"/>
        </w:rPr>
      </w:pPr>
      <w:r w:rsidRPr="00675602">
        <w:rPr>
          <w:rFonts w:ascii="Times New Roman" w:hAnsi="Times New Roman" w:cs="Times New Roman"/>
          <w:b/>
          <w:sz w:val="24"/>
          <w:szCs w:val="24"/>
        </w:rPr>
        <w:t>Table</w:t>
      </w:r>
      <w:r w:rsidR="00A23C3C">
        <w:rPr>
          <w:rFonts w:ascii="Times New Roman" w:hAnsi="Times New Roman" w:cs="Times New Roman"/>
          <w:b/>
          <w:sz w:val="24"/>
          <w:szCs w:val="24"/>
        </w:rPr>
        <w:t>.S-4</w:t>
      </w:r>
      <w:r w:rsidRPr="00675602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DA62DB" w:rsidRPr="000A4E84">
        <w:rPr>
          <w:rFonts w:ascii="Times New Roman" w:hAnsi="Times New Roman" w:cs="Times New Roman"/>
          <w:sz w:val="24"/>
          <w:szCs w:val="24"/>
        </w:rPr>
        <w:t>Linearity of the calibration curve for selected pesticides in cauliflower and brinjal</w:t>
      </w:r>
    </w:p>
    <w:tbl>
      <w:tblPr>
        <w:tblStyle w:val="TableGrid"/>
        <w:tblW w:w="3507" w:type="pct"/>
        <w:jc w:val="center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3060"/>
        <w:gridCol w:w="1347"/>
        <w:gridCol w:w="2343"/>
        <w:gridCol w:w="2340"/>
      </w:tblGrid>
      <w:tr w:rsidR="00DA62DB" w:rsidTr="00CC2991">
        <w:trPr>
          <w:jc w:val="center"/>
        </w:trPr>
        <w:tc>
          <w:tcPr>
            <w:tcW w:w="1683" w:type="pct"/>
            <w:vMerge w:val="restart"/>
            <w:tcBorders>
              <w:top w:val="single" w:sz="4" w:space="0" w:color="auto"/>
              <w:bottom w:val="nil"/>
            </w:tcBorders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/>
                <w:sz w:val="20"/>
                <w:szCs w:val="20"/>
              </w:rPr>
              <w:t>Pesticides</w:t>
            </w:r>
          </w:p>
        </w:tc>
        <w:tc>
          <w:tcPr>
            <w:tcW w:w="3317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/>
                <w:sz w:val="20"/>
                <w:szCs w:val="20"/>
              </w:rPr>
              <w:t>Linearity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Merge/>
            <w:tcBorders>
              <w:top w:val="nil"/>
              <w:bottom w:val="single" w:sz="4" w:space="0" w:color="auto"/>
            </w:tcBorders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741" w:type="pct"/>
            <w:tcBorders>
              <w:top w:val="single" w:sz="4" w:space="0" w:color="auto"/>
              <w:bottom w:val="single" w:sz="4" w:space="0" w:color="auto"/>
            </w:tcBorders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/>
                <w:sz w:val="20"/>
                <w:szCs w:val="20"/>
              </w:rPr>
              <w:t>Solvent</w:t>
            </w:r>
          </w:p>
        </w:tc>
        <w:tc>
          <w:tcPr>
            <w:tcW w:w="128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/>
                <w:sz w:val="20"/>
                <w:szCs w:val="20"/>
              </w:rPr>
              <w:t>Cauliflower (MMS)</w:t>
            </w:r>
          </w:p>
        </w:tc>
        <w:tc>
          <w:tcPr>
            <w:tcW w:w="128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/>
                <w:sz w:val="20"/>
                <w:szCs w:val="20"/>
              </w:rPr>
              <w:t>Brinjal</w:t>
            </w:r>
            <w:r w:rsidRPr="00BC207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 xml:space="preserve"> (MMS)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tcBorders>
              <w:top w:val="single" w:sz="4" w:space="0" w:color="auto"/>
            </w:tcBorders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Lindane</w:t>
            </w:r>
          </w:p>
        </w:tc>
        <w:tc>
          <w:tcPr>
            <w:tcW w:w="741" w:type="pct"/>
            <w:tcBorders>
              <w:top w:val="single" w:sz="4" w:space="0" w:color="auto"/>
            </w:tcBorders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0.955</w:t>
            </w:r>
          </w:p>
        </w:tc>
        <w:tc>
          <w:tcPr>
            <w:tcW w:w="1289" w:type="pct"/>
            <w:tcBorders>
              <w:top w:val="single" w:sz="4" w:space="0" w:color="auto"/>
            </w:tcBorders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0.990</w:t>
            </w:r>
          </w:p>
        </w:tc>
        <w:tc>
          <w:tcPr>
            <w:tcW w:w="1288" w:type="pct"/>
            <w:tcBorders>
              <w:top w:val="single" w:sz="4" w:space="0" w:color="auto"/>
            </w:tcBorders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0.971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Align w:val="center"/>
          </w:tcPr>
          <w:p w:rsidR="00DA62DB" w:rsidRPr="00BC2074" w:rsidRDefault="00DA62DB" w:rsidP="00DB5171">
            <w:pPr>
              <w:tabs>
                <w:tab w:val="left" w:pos="1440"/>
              </w:tabs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Heptachlor</w:t>
            </w:r>
          </w:p>
        </w:tc>
        <w:tc>
          <w:tcPr>
            <w:tcW w:w="741" w:type="pct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0.956</w:t>
            </w:r>
          </w:p>
        </w:tc>
        <w:tc>
          <w:tcPr>
            <w:tcW w:w="1289" w:type="pct"/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0.950</w:t>
            </w:r>
          </w:p>
        </w:tc>
        <w:tc>
          <w:tcPr>
            <w:tcW w:w="1288" w:type="pct"/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0.987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Chlorpyrifos</w:t>
            </w:r>
          </w:p>
        </w:tc>
        <w:tc>
          <w:tcPr>
            <w:tcW w:w="741" w:type="pct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0.912</w:t>
            </w:r>
          </w:p>
        </w:tc>
        <w:tc>
          <w:tcPr>
            <w:tcW w:w="1289" w:type="pct"/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0.999</w:t>
            </w:r>
          </w:p>
        </w:tc>
        <w:tc>
          <w:tcPr>
            <w:tcW w:w="1288" w:type="pct"/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0.915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Heptachlor-endoepoxide B</w:t>
            </w:r>
          </w:p>
        </w:tc>
        <w:tc>
          <w:tcPr>
            <w:tcW w:w="741" w:type="pct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0.952</w:t>
            </w:r>
          </w:p>
        </w:tc>
        <w:tc>
          <w:tcPr>
            <w:tcW w:w="1289" w:type="pct"/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0.936</w:t>
            </w:r>
          </w:p>
        </w:tc>
        <w:tc>
          <w:tcPr>
            <w:tcW w:w="1288" w:type="pct"/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0.988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Heptachlor-exoepoxide A</w:t>
            </w:r>
          </w:p>
        </w:tc>
        <w:tc>
          <w:tcPr>
            <w:tcW w:w="741" w:type="pct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0.948</w:t>
            </w:r>
          </w:p>
        </w:tc>
        <w:tc>
          <w:tcPr>
            <w:tcW w:w="1289" w:type="pct"/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0.999</w:t>
            </w:r>
          </w:p>
        </w:tc>
        <w:tc>
          <w:tcPr>
            <w:tcW w:w="1288" w:type="pct"/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0.986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Triadimenol</w:t>
            </w:r>
          </w:p>
        </w:tc>
        <w:tc>
          <w:tcPr>
            <w:tcW w:w="741" w:type="pct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0.953</w:t>
            </w:r>
          </w:p>
        </w:tc>
        <w:tc>
          <w:tcPr>
            <w:tcW w:w="1289" w:type="pct"/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0.977</w:t>
            </w:r>
          </w:p>
        </w:tc>
        <w:tc>
          <w:tcPr>
            <w:tcW w:w="1288" w:type="pct"/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0.980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α-Endosulfan</w:t>
            </w:r>
          </w:p>
        </w:tc>
        <w:tc>
          <w:tcPr>
            <w:tcW w:w="741" w:type="pct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0.952</w:t>
            </w:r>
          </w:p>
        </w:tc>
        <w:tc>
          <w:tcPr>
            <w:tcW w:w="1289" w:type="pct"/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0.997</w:t>
            </w:r>
          </w:p>
        </w:tc>
        <w:tc>
          <w:tcPr>
            <w:tcW w:w="1288" w:type="pct"/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0.984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β-Endosulfan</w:t>
            </w:r>
          </w:p>
        </w:tc>
        <w:tc>
          <w:tcPr>
            <w:tcW w:w="741" w:type="pct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0.952</w:t>
            </w:r>
          </w:p>
        </w:tc>
        <w:tc>
          <w:tcPr>
            <w:tcW w:w="1289" w:type="pct"/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0.999</w:t>
            </w:r>
          </w:p>
        </w:tc>
        <w:tc>
          <w:tcPr>
            <w:tcW w:w="1288" w:type="pct"/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0.984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Endosulfan sulfate</w:t>
            </w:r>
          </w:p>
        </w:tc>
        <w:tc>
          <w:tcPr>
            <w:tcW w:w="741" w:type="pct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0.951</w:t>
            </w:r>
          </w:p>
        </w:tc>
        <w:tc>
          <w:tcPr>
            <w:tcW w:w="1289" w:type="pct"/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0.992</w:t>
            </w:r>
          </w:p>
        </w:tc>
        <w:tc>
          <w:tcPr>
            <w:tcW w:w="1288" w:type="pct"/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0.987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Bifenthrin</w:t>
            </w:r>
          </w:p>
        </w:tc>
        <w:tc>
          <w:tcPr>
            <w:tcW w:w="741" w:type="pct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0.954</w:t>
            </w:r>
          </w:p>
        </w:tc>
        <w:tc>
          <w:tcPr>
            <w:tcW w:w="1289" w:type="pct"/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0.919</w:t>
            </w:r>
          </w:p>
        </w:tc>
        <w:tc>
          <w:tcPr>
            <w:tcW w:w="1288" w:type="pct"/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0.996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λ-Cyhalothrin</w:t>
            </w:r>
          </w:p>
        </w:tc>
        <w:tc>
          <w:tcPr>
            <w:tcW w:w="741" w:type="pct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0.947</w:t>
            </w:r>
          </w:p>
        </w:tc>
        <w:tc>
          <w:tcPr>
            <w:tcW w:w="1289" w:type="pct"/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0.988</w:t>
            </w:r>
          </w:p>
        </w:tc>
        <w:tc>
          <w:tcPr>
            <w:tcW w:w="1288" w:type="pct"/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0.988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Cypermethrin</w:t>
            </w:r>
          </w:p>
        </w:tc>
        <w:tc>
          <w:tcPr>
            <w:tcW w:w="741" w:type="pct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0.956</w:t>
            </w:r>
          </w:p>
        </w:tc>
        <w:tc>
          <w:tcPr>
            <w:tcW w:w="1289" w:type="pct"/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0.993</w:t>
            </w:r>
          </w:p>
        </w:tc>
        <w:tc>
          <w:tcPr>
            <w:tcW w:w="1288" w:type="pct"/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0.981</w:t>
            </w:r>
          </w:p>
        </w:tc>
      </w:tr>
      <w:tr w:rsidR="00DA62DB" w:rsidTr="00CC2991">
        <w:trPr>
          <w:jc w:val="center"/>
        </w:trPr>
        <w:tc>
          <w:tcPr>
            <w:tcW w:w="1683" w:type="pct"/>
            <w:vAlign w:val="center"/>
          </w:tcPr>
          <w:p w:rsidR="00DA62DB" w:rsidRPr="00BC2074" w:rsidRDefault="00DA62DB" w:rsidP="00DB5171">
            <w:pPr>
              <w:spacing w:line="360" w:lineRule="auto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Deltamethrin</w:t>
            </w:r>
          </w:p>
        </w:tc>
        <w:tc>
          <w:tcPr>
            <w:tcW w:w="741" w:type="pct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bCs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bCs/>
                <w:sz w:val="20"/>
                <w:szCs w:val="20"/>
              </w:rPr>
              <w:t>0.959</w:t>
            </w:r>
          </w:p>
        </w:tc>
        <w:tc>
          <w:tcPr>
            <w:tcW w:w="1289" w:type="pct"/>
            <w:vAlign w:val="center"/>
          </w:tcPr>
          <w:p w:rsidR="00DA62DB" w:rsidRPr="00BC2074" w:rsidRDefault="00DA62DB" w:rsidP="00DB5171">
            <w:pPr>
              <w:spacing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0.974</w:t>
            </w:r>
          </w:p>
        </w:tc>
        <w:tc>
          <w:tcPr>
            <w:tcW w:w="1288" w:type="pct"/>
            <w:vAlign w:val="center"/>
          </w:tcPr>
          <w:p w:rsidR="00DA62DB" w:rsidRPr="00BC2074" w:rsidRDefault="00DA62DB" w:rsidP="00DB5171">
            <w:pPr>
              <w:spacing w:before="60" w:after="60" w:line="360" w:lineRule="auto"/>
              <w:rPr>
                <w:rFonts w:asciiTheme="majorBidi" w:hAnsiTheme="majorBidi" w:cstheme="majorBidi"/>
                <w:sz w:val="20"/>
                <w:szCs w:val="20"/>
              </w:rPr>
            </w:pPr>
            <w:r w:rsidRPr="00BC2074">
              <w:rPr>
                <w:rFonts w:asciiTheme="majorBidi" w:hAnsiTheme="majorBidi" w:cstheme="majorBidi"/>
                <w:sz w:val="20"/>
                <w:szCs w:val="20"/>
              </w:rPr>
              <w:t>0.972</w:t>
            </w:r>
          </w:p>
        </w:tc>
      </w:tr>
    </w:tbl>
    <w:p w:rsidR="00056FD0" w:rsidRDefault="00056FD0" w:rsidP="00056FD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6FD0" w:rsidRDefault="00056FD0" w:rsidP="00056FD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056FD0" w:rsidRDefault="00FE594C" w:rsidP="00056FD0">
      <w:pPr>
        <w:spacing w:after="0"/>
        <w:jc w:val="both"/>
        <w:rPr>
          <w:rFonts w:ascii="Times New Roman" w:eastAsiaTheme="minorEastAsia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Table.S-5</w:t>
      </w:r>
      <w:r w:rsidR="00056FD0" w:rsidRPr="00056FD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056FD0" w:rsidRPr="00BC2074">
        <w:rPr>
          <w:rFonts w:ascii="Times New Roman" w:eastAsiaTheme="minorEastAsia" w:hAnsi="Times New Roman" w:cs="Times New Roman"/>
          <w:sz w:val="24"/>
          <w:szCs w:val="24"/>
        </w:rPr>
        <w:t xml:space="preserve">Method </w:t>
      </w:r>
      <w:r w:rsidR="00056FD0">
        <w:rPr>
          <w:rFonts w:ascii="Times New Roman" w:eastAsiaTheme="minorEastAsia" w:hAnsi="Times New Roman" w:cs="Times New Roman"/>
          <w:sz w:val="24"/>
          <w:szCs w:val="24"/>
        </w:rPr>
        <w:t>recovery</w:t>
      </w:r>
      <w:r w:rsidR="00056FD0" w:rsidRPr="00BC2074">
        <w:rPr>
          <w:rFonts w:ascii="Times New Roman" w:eastAsiaTheme="minorEastAsia" w:hAnsi="Times New Roman" w:cs="Times New Roman"/>
          <w:sz w:val="24"/>
          <w:szCs w:val="24"/>
        </w:rPr>
        <w:t xml:space="preserve"> for selected pesticides at </w:t>
      </w:r>
      <w:r w:rsidR="00056FD0">
        <w:rPr>
          <w:rFonts w:ascii="Times New Roman" w:eastAsiaTheme="minorEastAsia" w:hAnsi="Times New Roman" w:cs="Times New Roman"/>
          <w:sz w:val="24"/>
          <w:szCs w:val="24"/>
        </w:rPr>
        <w:t>1×</w:t>
      </w:r>
      <w:r w:rsidR="00056FD0" w:rsidRPr="00BC2074">
        <w:rPr>
          <w:rFonts w:ascii="Times New Roman" w:eastAsiaTheme="minorEastAsia" w:hAnsi="Times New Roman" w:cs="Times New Roman"/>
          <w:sz w:val="24"/>
          <w:szCs w:val="24"/>
        </w:rPr>
        <w:t>MRL, 2</w:t>
      </w:r>
      <w:r w:rsidR="00056FD0">
        <w:rPr>
          <w:rFonts w:ascii="Times New Roman" w:eastAsiaTheme="minorEastAsia" w:hAnsi="Times New Roman" w:cs="Times New Roman"/>
          <w:sz w:val="24"/>
          <w:szCs w:val="24"/>
        </w:rPr>
        <w:t>×</w:t>
      </w:r>
      <w:r w:rsidR="00056FD0" w:rsidRPr="00BC2074">
        <w:rPr>
          <w:rFonts w:ascii="Times New Roman" w:eastAsiaTheme="minorEastAsia" w:hAnsi="Times New Roman" w:cs="Times New Roman"/>
          <w:sz w:val="24"/>
          <w:szCs w:val="24"/>
        </w:rPr>
        <w:t>MRL and 4</w:t>
      </w:r>
      <w:r w:rsidR="00056FD0">
        <w:rPr>
          <w:rFonts w:ascii="Times New Roman" w:eastAsiaTheme="minorEastAsia" w:hAnsi="Times New Roman" w:cs="Times New Roman"/>
          <w:sz w:val="24"/>
          <w:szCs w:val="24"/>
        </w:rPr>
        <w:t>×</w:t>
      </w:r>
      <w:r w:rsidR="00056FD0" w:rsidRPr="00BC2074">
        <w:rPr>
          <w:rFonts w:ascii="Times New Roman" w:eastAsiaTheme="minorEastAsia" w:hAnsi="Times New Roman" w:cs="Times New Roman"/>
          <w:sz w:val="24"/>
          <w:szCs w:val="24"/>
        </w:rPr>
        <w:t xml:space="preserve">MRL </w:t>
      </w:r>
      <w:r w:rsidR="00056FD0">
        <w:rPr>
          <w:rFonts w:ascii="Times New Roman" w:eastAsiaTheme="minorEastAsia" w:hAnsi="Times New Roman" w:cs="Times New Roman"/>
          <w:sz w:val="24"/>
          <w:szCs w:val="24"/>
        </w:rPr>
        <w:t xml:space="preserve">spiking levels </w:t>
      </w:r>
      <w:r w:rsidR="00056FD0" w:rsidRPr="00BC2074">
        <w:rPr>
          <w:rFonts w:ascii="Times New Roman" w:eastAsiaTheme="minorEastAsia" w:hAnsi="Times New Roman" w:cs="Times New Roman"/>
          <w:sz w:val="24"/>
          <w:szCs w:val="24"/>
        </w:rPr>
        <w:t>in cauliflower and brinjal</w:t>
      </w:r>
      <w:r w:rsidR="00056FD0">
        <w:rPr>
          <w:rFonts w:ascii="Times New Roman" w:eastAsiaTheme="minorEastAsia" w:hAnsi="Times New Roman" w:cs="Times New Roman"/>
          <w:sz w:val="24"/>
          <w:szCs w:val="24"/>
        </w:rPr>
        <w:t xml:space="preserve"> </w:t>
      </w:r>
    </w:p>
    <w:p w:rsidR="00056FD0" w:rsidRPr="0044671C" w:rsidRDefault="00056FD0" w:rsidP="00056FD0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TableGrid"/>
        <w:tblW w:w="4135" w:type="pct"/>
        <w:tblBorders>
          <w:left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432"/>
        <w:gridCol w:w="1346"/>
        <w:gridCol w:w="1822"/>
        <w:gridCol w:w="1061"/>
        <w:gridCol w:w="1173"/>
        <w:gridCol w:w="1531"/>
        <w:gridCol w:w="1353"/>
      </w:tblGrid>
      <w:tr w:rsidR="00056FD0" w:rsidTr="00AE284E">
        <w:trPr>
          <w:trHeight w:val="323"/>
        </w:trPr>
        <w:tc>
          <w:tcPr>
            <w:tcW w:w="1135" w:type="pct"/>
            <w:vMerge w:val="restart"/>
            <w:tcBorders>
              <w:top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Pesticides</w:t>
            </w:r>
          </w:p>
        </w:tc>
        <w:tc>
          <w:tcPr>
            <w:tcW w:w="197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Cauliflower</w:t>
            </w:r>
          </w:p>
        </w:tc>
        <w:tc>
          <w:tcPr>
            <w:tcW w:w="1892" w:type="pct"/>
            <w:gridSpan w:val="3"/>
            <w:tcBorders>
              <w:top w:val="single" w:sz="4" w:space="0" w:color="auto"/>
              <w:bottom w:val="single" w:sz="4" w:space="0" w:color="auto"/>
            </w:tcBorders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Brinjal</w:t>
            </w:r>
          </w:p>
        </w:tc>
      </w:tr>
      <w:tr w:rsidR="00056FD0" w:rsidTr="00AE284E">
        <w:trPr>
          <w:trHeight w:val="602"/>
        </w:trPr>
        <w:tc>
          <w:tcPr>
            <w:tcW w:w="1135" w:type="pct"/>
            <w:vMerge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973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Average %Recovery (RSD)</w:t>
            </w:r>
          </w:p>
          <w:p w:rsidR="00056FD0" w:rsidRPr="000A4E84" w:rsidRDefault="00056FD0" w:rsidP="00AE284E">
            <w:pPr>
              <w:spacing w:before="40" w:after="40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    </w:t>
            </w:r>
          </w:p>
        </w:tc>
        <w:tc>
          <w:tcPr>
            <w:tcW w:w="1892" w:type="pct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     Average %Recovery (RSD)</w:t>
            </w:r>
          </w:p>
          <w:p w:rsidR="00056FD0" w:rsidRPr="000A4E84" w:rsidRDefault="00056FD0" w:rsidP="00AE284E">
            <w:pPr>
              <w:spacing w:before="40" w:after="40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 xml:space="preserve">      </w:t>
            </w:r>
          </w:p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:rsidR="00056FD0" w:rsidTr="00AE284E">
        <w:trPr>
          <w:trHeight w:val="287"/>
        </w:trPr>
        <w:tc>
          <w:tcPr>
            <w:tcW w:w="1135" w:type="pct"/>
            <w:vMerge/>
            <w:tcBorders>
              <w:bottom w:val="nil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628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(1</w:t>
            </w:r>
            <w:r w:rsidRPr="000A4E8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×</w:t>
            </w: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MRL)</w:t>
            </w:r>
          </w:p>
        </w:tc>
        <w:tc>
          <w:tcPr>
            <w:tcW w:w="85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(2</w:t>
            </w:r>
            <w:r w:rsidRPr="000A4E8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×</w:t>
            </w: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MRL)</w:t>
            </w:r>
          </w:p>
        </w:tc>
        <w:tc>
          <w:tcPr>
            <w:tcW w:w="49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(4</w:t>
            </w:r>
            <w:r w:rsidRPr="000A4E8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×</w:t>
            </w: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MRL)</w:t>
            </w:r>
          </w:p>
        </w:tc>
        <w:tc>
          <w:tcPr>
            <w:tcW w:w="547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(1</w:t>
            </w:r>
            <w:r w:rsidRPr="000A4E8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×</w:t>
            </w: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MRL)</w:t>
            </w:r>
          </w:p>
        </w:tc>
        <w:tc>
          <w:tcPr>
            <w:tcW w:w="714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(2</w:t>
            </w:r>
            <w:r w:rsidRPr="000A4E8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×</w:t>
            </w: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MRL)</w:t>
            </w:r>
          </w:p>
        </w:tc>
        <w:tc>
          <w:tcPr>
            <w:tcW w:w="63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(4</w:t>
            </w:r>
            <w:r w:rsidRPr="000A4E84"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×</w:t>
            </w:r>
            <w:r w:rsidRPr="000A4E84">
              <w:rPr>
                <w:rFonts w:asciiTheme="majorBidi" w:hAnsiTheme="majorBidi" w:cstheme="majorBidi"/>
                <w:b/>
                <w:sz w:val="20"/>
                <w:szCs w:val="20"/>
              </w:rPr>
              <w:t>MRL)</w:t>
            </w:r>
          </w:p>
        </w:tc>
      </w:tr>
      <w:tr w:rsidR="00056FD0" w:rsidTr="00AE284E">
        <w:trPr>
          <w:trHeight w:val="353"/>
        </w:trPr>
        <w:tc>
          <w:tcPr>
            <w:tcW w:w="1135" w:type="pct"/>
            <w:tcBorders>
              <w:top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Lindane</w:t>
            </w:r>
          </w:p>
        </w:tc>
        <w:tc>
          <w:tcPr>
            <w:tcW w:w="628" w:type="pct"/>
            <w:tcBorders>
              <w:top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94(20.6)</w:t>
            </w:r>
          </w:p>
        </w:tc>
        <w:tc>
          <w:tcPr>
            <w:tcW w:w="850" w:type="pct"/>
            <w:tcBorders>
              <w:top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93.4(18.1)</w:t>
            </w:r>
          </w:p>
        </w:tc>
        <w:tc>
          <w:tcPr>
            <w:tcW w:w="495" w:type="pct"/>
            <w:tcBorders>
              <w:top w:val="single" w:sz="4" w:space="0" w:color="auto"/>
            </w:tcBorders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100.6(6.0)</w:t>
            </w:r>
          </w:p>
        </w:tc>
        <w:tc>
          <w:tcPr>
            <w:tcW w:w="547" w:type="pct"/>
            <w:tcBorders>
              <w:top w:val="single" w:sz="4" w:space="0" w:color="auto"/>
            </w:tcBorders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70(15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.0</w:t>
            </w:r>
            <w:r w:rsidRPr="000A4E84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714" w:type="pct"/>
            <w:tcBorders>
              <w:top w:val="single" w:sz="4" w:space="0" w:color="auto"/>
            </w:tcBorders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92.1(20.7)</w:t>
            </w:r>
          </w:p>
        </w:tc>
        <w:tc>
          <w:tcPr>
            <w:tcW w:w="631" w:type="pct"/>
            <w:tcBorders>
              <w:top w:val="single" w:sz="4" w:space="0" w:color="auto"/>
            </w:tcBorders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99.7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(10.3)</w:t>
            </w:r>
          </w:p>
        </w:tc>
      </w:tr>
      <w:tr w:rsidR="00056FD0" w:rsidTr="00AE284E">
        <w:trPr>
          <w:trHeight w:val="341"/>
        </w:trPr>
        <w:tc>
          <w:tcPr>
            <w:tcW w:w="1135" w:type="pct"/>
            <w:vAlign w:val="center"/>
          </w:tcPr>
          <w:p w:rsidR="00056FD0" w:rsidRPr="000A4E84" w:rsidRDefault="00056FD0" w:rsidP="00AE284E">
            <w:pPr>
              <w:tabs>
                <w:tab w:val="left" w:pos="1440"/>
              </w:tabs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Heptachlor</w:t>
            </w:r>
          </w:p>
        </w:tc>
        <w:tc>
          <w:tcPr>
            <w:tcW w:w="628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90.1(17.0)</w:t>
            </w:r>
          </w:p>
        </w:tc>
        <w:tc>
          <w:tcPr>
            <w:tcW w:w="850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97.4(19.1)</w:t>
            </w:r>
          </w:p>
        </w:tc>
        <w:tc>
          <w:tcPr>
            <w:tcW w:w="495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108.7(4.0)</w:t>
            </w:r>
          </w:p>
        </w:tc>
        <w:tc>
          <w:tcPr>
            <w:tcW w:w="547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81.7(11)</w:t>
            </w:r>
          </w:p>
        </w:tc>
        <w:tc>
          <w:tcPr>
            <w:tcW w:w="714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85.8(12.9)</w:t>
            </w:r>
          </w:p>
        </w:tc>
        <w:tc>
          <w:tcPr>
            <w:tcW w:w="631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73.8(18.3)</w:t>
            </w:r>
          </w:p>
        </w:tc>
      </w:tr>
      <w:tr w:rsidR="00056FD0" w:rsidTr="00AE284E">
        <w:trPr>
          <w:trHeight w:val="353"/>
        </w:trPr>
        <w:tc>
          <w:tcPr>
            <w:tcW w:w="1135" w:type="pct"/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Chlorpyrifos</w:t>
            </w:r>
          </w:p>
        </w:tc>
        <w:tc>
          <w:tcPr>
            <w:tcW w:w="628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88.9(20.9)</w:t>
            </w:r>
          </w:p>
        </w:tc>
        <w:tc>
          <w:tcPr>
            <w:tcW w:w="850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73.8(18.3)</w:t>
            </w:r>
          </w:p>
        </w:tc>
        <w:tc>
          <w:tcPr>
            <w:tcW w:w="495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84.2(23)</w:t>
            </w:r>
          </w:p>
        </w:tc>
        <w:tc>
          <w:tcPr>
            <w:tcW w:w="547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92.6(29.2)</w:t>
            </w:r>
          </w:p>
        </w:tc>
        <w:tc>
          <w:tcPr>
            <w:tcW w:w="714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89.8(11.6)</w:t>
            </w:r>
          </w:p>
        </w:tc>
        <w:tc>
          <w:tcPr>
            <w:tcW w:w="631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75.6(8.4)</w:t>
            </w:r>
          </w:p>
        </w:tc>
      </w:tr>
      <w:tr w:rsidR="00056FD0" w:rsidTr="00AE284E">
        <w:trPr>
          <w:trHeight w:val="378"/>
        </w:trPr>
        <w:tc>
          <w:tcPr>
            <w:tcW w:w="1135" w:type="pct"/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Heptachlor-endoepoxide B</w:t>
            </w:r>
          </w:p>
        </w:tc>
        <w:tc>
          <w:tcPr>
            <w:tcW w:w="628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86.3(26.4)</w:t>
            </w:r>
          </w:p>
        </w:tc>
        <w:tc>
          <w:tcPr>
            <w:tcW w:w="850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88.8(20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.0</w:t>
            </w:r>
            <w:r w:rsidRPr="000A4E84">
              <w:rPr>
                <w:rFonts w:asciiTheme="majorBidi" w:hAnsiTheme="majorBidi" w:cstheme="majorBidi"/>
                <w:sz w:val="20"/>
                <w:szCs w:val="20"/>
              </w:rPr>
              <w:t>)</w:t>
            </w:r>
          </w:p>
        </w:tc>
        <w:tc>
          <w:tcPr>
            <w:tcW w:w="495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93.8(11.1)</w:t>
            </w:r>
          </w:p>
        </w:tc>
        <w:tc>
          <w:tcPr>
            <w:tcW w:w="547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87(17.0)</w:t>
            </w:r>
          </w:p>
        </w:tc>
        <w:tc>
          <w:tcPr>
            <w:tcW w:w="714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91.4(17.9)</w:t>
            </w:r>
          </w:p>
        </w:tc>
        <w:tc>
          <w:tcPr>
            <w:tcW w:w="631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74.6(21.5)</w:t>
            </w:r>
          </w:p>
        </w:tc>
      </w:tr>
      <w:tr w:rsidR="00056FD0" w:rsidTr="00AE284E">
        <w:trPr>
          <w:trHeight w:val="80"/>
        </w:trPr>
        <w:tc>
          <w:tcPr>
            <w:tcW w:w="1135" w:type="pct"/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lastRenderedPageBreak/>
              <w:t>Heptachlor-exoepoxide A</w:t>
            </w:r>
          </w:p>
        </w:tc>
        <w:tc>
          <w:tcPr>
            <w:tcW w:w="628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70.7(12.0)</w:t>
            </w:r>
          </w:p>
        </w:tc>
        <w:tc>
          <w:tcPr>
            <w:tcW w:w="850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94.9(18.5)</w:t>
            </w:r>
          </w:p>
        </w:tc>
        <w:tc>
          <w:tcPr>
            <w:tcW w:w="495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109.5(9.0)</w:t>
            </w:r>
          </w:p>
        </w:tc>
        <w:tc>
          <w:tcPr>
            <w:tcW w:w="547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68.1(13.0)</w:t>
            </w:r>
          </w:p>
        </w:tc>
        <w:tc>
          <w:tcPr>
            <w:tcW w:w="714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70.4(1.4)</w:t>
            </w:r>
          </w:p>
        </w:tc>
        <w:tc>
          <w:tcPr>
            <w:tcW w:w="631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91.0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(18</w:t>
            </w:r>
            <w:r w:rsidRPr="000A4E84">
              <w:rPr>
                <w:rFonts w:asciiTheme="majorBidi" w:hAnsiTheme="majorBidi" w:cstheme="majorBidi"/>
                <w:sz w:val="20"/>
                <w:szCs w:val="20"/>
              </w:rPr>
              <w:t>.8)</w:t>
            </w:r>
          </w:p>
        </w:tc>
      </w:tr>
      <w:tr w:rsidR="00056FD0" w:rsidTr="00AE284E">
        <w:trPr>
          <w:trHeight w:val="353"/>
        </w:trPr>
        <w:tc>
          <w:tcPr>
            <w:tcW w:w="1135" w:type="pct"/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Triadimenol</w:t>
            </w:r>
          </w:p>
        </w:tc>
        <w:tc>
          <w:tcPr>
            <w:tcW w:w="628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99.5(21.0)</w:t>
            </w:r>
          </w:p>
        </w:tc>
        <w:tc>
          <w:tcPr>
            <w:tcW w:w="850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81.7(22.2)</w:t>
            </w:r>
          </w:p>
        </w:tc>
        <w:tc>
          <w:tcPr>
            <w:tcW w:w="495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89.0(16)</w:t>
            </w:r>
          </w:p>
        </w:tc>
        <w:tc>
          <w:tcPr>
            <w:tcW w:w="547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96.7(21.7)</w:t>
            </w:r>
          </w:p>
        </w:tc>
        <w:tc>
          <w:tcPr>
            <w:tcW w:w="714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75.4(12.9)</w:t>
            </w:r>
          </w:p>
        </w:tc>
        <w:tc>
          <w:tcPr>
            <w:tcW w:w="631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94.2(7.2)</w:t>
            </w:r>
          </w:p>
        </w:tc>
      </w:tr>
      <w:tr w:rsidR="00056FD0" w:rsidTr="00AE284E">
        <w:trPr>
          <w:trHeight w:val="353"/>
        </w:trPr>
        <w:tc>
          <w:tcPr>
            <w:tcW w:w="1135" w:type="pct"/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α-Endosulfan</w:t>
            </w:r>
          </w:p>
        </w:tc>
        <w:tc>
          <w:tcPr>
            <w:tcW w:w="628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96.0(18.9)</w:t>
            </w:r>
          </w:p>
        </w:tc>
        <w:tc>
          <w:tcPr>
            <w:tcW w:w="850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106(18.8)</w:t>
            </w:r>
          </w:p>
        </w:tc>
        <w:tc>
          <w:tcPr>
            <w:tcW w:w="495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107</w:t>
            </w:r>
            <w:r w:rsidRPr="000A4E84">
              <w:rPr>
                <w:rFonts w:asciiTheme="majorBidi" w:hAnsiTheme="majorBidi" w:cstheme="majorBidi"/>
                <w:sz w:val="20"/>
                <w:szCs w:val="20"/>
              </w:rPr>
              <w:t>(13.9)</w:t>
            </w:r>
          </w:p>
        </w:tc>
        <w:tc>
          <w:tcPr>
            <w:tcW w:w="547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76.8(2.9)</w:t>
            </w:r>
          </w:p>
        </w:tc>
        <w:tc>
          <w:tcPr>
            <w:tcW w:w="714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73.0(2.8)</w:t>
            </w:r>
          </w:p>
        </w:tc>
        <w:tc>
          <w:tcPr>
            <w:tcW w:w="631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85.6(7.6)</w:t>
            </w:r>
          </w:p>
        </w:tc>
      </w:tr>
      <w:tr w:rsidR="00056FD0" w:rsidTr="00AE284E">
        <w:trPr>
          <w:trHeight w:val="341"/>
        </w:trPr>
        <w:tc>
          <w:tcPr>
            <w:tcW w:w="1135" w:type="pct"/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β-Endosulfan</w:t>
            </w:r>
          </w:p>
        </w:tc>
        <w:tc>
          <w:tcPr>
            <w:tcW w:w="628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83.7(7.4)</w:t>
            </w:r>
          </w:p>
        </w:tc>
        <w:tc>
          <w:tcPr>
            <w:tcW w:w="850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73.6(10.5)</w:t>
            </w:r>
          </w:p>
        </w:tc>
        <w:tc>
          <w:tcPr>
            <w:tcW w:w="495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76.1(4.3)</w:t>
            </w:r>
          </w:p>
        </w:tc>
        <w:tc>
          <w:tcPr>
            <w:tcW w:w="547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83.9(13.6)</w:t>
            </w:r>
          </w:p>
        </w:tc>
        <w:tc>
          <w:tcPr>
            <w:tcW w:w="714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89.2(5.6)</w:t>
            </w:r>
          </w:p>
        </w:tc>
        <w:tc>
          <w:tcPr>
            <w:tcW w:w="631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77.8(20.3)</w:t>
            </w:r>
          </w:p>
        </w:tc>
      </w:tr>
      <w:tr w:rsidR="00056FD0" w:rsidTr="00AE284E">
        <w:trPr>
          <w:trHeight w:val="342"/>
        </w:trPr>
        <w:tc>
          <w:tcPr>
            <w:tcW w:w="1135" w:type="pct"/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Endosulfan sulfate</w:t>
            </w:r>
          </w:p>
        </w:tc>
        <w:tc>
          <w:tcPr>
            <w:tcW w:w="628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91.8(24.5)</w:t>
            </w:r>
          </w:p>
        </w:tc>
        <w:tc>
          <w:tcPr>
            <w:tcW w:w="850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137.1(23)</w:t>
            </w:r>
          </w:p>
        </w:tc>
        <w:tc>
          <w:tcPr>
            <w:tcW w:w="495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109 (13.1)</w:t>
            </w:r>
          </w:p>
        </w:tc>
        <w:tc>
          <w:tcPr>
            <w:tcW w:w="547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55.7(26.3)</w:t>
            </w:r>
          </w:p>
        </w:tc>
        <w:tc>
          <w:tcPr>
            <w:tcW w:w="714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89.8(14.9)</w:t>
            </w:r>
          </w:p>
        </w:tc>
        <w:tc>
          <w:tcPr>
            <w:tcW w:w="631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94.2(19.7)</w:t>
            </w:r>
          </w:p>
        </w:tc>
      </w:tr>
      <w:tr w:rsidR="00056FD0" w:rsidTr="00AE284E">
        <w:trPr>
          <w:trHeight w:val="360"/>
        </w:trPr>
        <w:tc>
          <w:tcPr>
            <w:tcW w:w="1135" w:type="pct"/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Bifenthrin</w:t>
            </w:r>
          </w:p>
        </w:tc>
        <w:tc>
          <w:tcPr>
            <w:tcW w:w="628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115.2(3.3)</w:t>
            </w:r>
          </w:p>
        </w:tc>
        <w:tc>
          <w:tcPr>
            <w:tcW w:w="850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117.9(6.6)</w:t>
            </w:r>
          </w:p>
        </w:tc>
        <w:tc>
          <w:tcPr>
            <w:tcW w:w="495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108.8(16)</w:t>
            </w:r>
          </w:p>
        </w:tc>
        <w:tc>
          <w:tcPr>
            <w:tcW w:w="547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65.8(7.2)</w:t>
            </w:r>
          </w:p>
        </w:tc>
        <w:tc>
          <w:tcPr>
            <w:tcW w:w="714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76.3(7.4)</w:t>
            </w:r>
          </w:p>
        </w:tc>
        <w:tc>
          <w:tcPr>
            <w:tcW w:w="631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96.8(10.5)</w:t>
            </w:r>
          </w:p>
        </w:tc>
      </w:tr>
      <w:tr w:rsidR="00056FD0" w:rsidTr="00AE284E">
        <w:trPr>
          <w:trHeight w:val="341"/>
        </w:trPr>
        <w:tc>
          <w:tcPr>
            <w:tcW w:w="1135" w:type="pct"/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λ-Cyhalothrin</w:t>
            </w:r>
          </w:p>
        </w:tc>
        <w:tc>
          <w:tcPr>
            <w:tcW w:w="628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76.4(14.4).</w:t>
            </w:r>
          </w:p>
        </w:tc>
        <w:tc>
          <w:tcPr>
            <w:tcW w:w="850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105(14.4)</w:t>
            </w:r>
          </w:p>
        </w:tc>
        <w:tc>
          <w:tcPr>
            <w:tcW w:w="495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114.8(4.3)</w:t>
            </w:r>
          </w:p>
        </w:tc>
        <w:tc>
          <w:tcPr>
            <w:tcW w:w="547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127.2(15.5)</w:t>
            </w:r>
          </w:p>
        </w:tc>
        <w:tc>
          <w:tcPr>
            <w:tcW w:w="714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94.5(9.8)</w:t>
            </w:r>
          </w:p>
        </w:tc>
        <w:tc>
          <w:tcPr>
            <w:tcW w:w="631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83.2(22.0)</w:t>
            </w:r>
          </w:p>
        </w:tc>
      </w:tr>
      <w:tr w:rsidR="00056FD0" w:rsidTr="00AE284E">
        <w:trPr>
          <w:trHeight w:val="60"/>
        </w:trPr>
        <w:tc>
          <w:tcPr>
            <w:tcW w:w="1135" w:type="pct"/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α-Cypermethrin</w:t>
            </w:r>
          </w:p>
        </w:tc>
        <w:tc>
          <w:tcPr>
            <w:tcW w:w="628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66.5(11.8)</w:t>
            </w:r>
          </w:p>
        </w:tc>
        <w:tc>
          <w:tcPr>
            <w:tcW w:w="850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104(22.4)</w:t>
            </w:r>
          </w:p>
        </w:tc>
        <w:tc>
          <w:tcPr>
            <w:tcW w:w="495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117.0(1.7)</w:t>
            </w:r>
          </w:p>
        </w:tc>
        <w:tc>
          <w:tcPr>
            <w:tcW w:w="547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78.8(6.5)</w:t>
            </w:r>
          </w:p>
        </w:tc>
        <w:tc>
          <w:tcPr>
            <w:tcW w:w="714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95.5(4.5)</w:t>
            </w:r>
          </w:p>
        </w:tc>
        <w:tc>
          <w:tcPr>
            <w:tcW w:w="631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73.6(2.7)</w:t>
            </w:r>
          </w:p>
        </w:tc>
      </w:tr>
      <w:tr w:rsidR="00056FD0" w:rsidTr="00AE284E">
        <w:trPr>
          <w:trHeight w:val="341"/>
        </w:trPr>
        <w:tc>
          <w:tcPr>
            <w:tcW w:w="1135" w:type="pct"/>
            <w:vAlign w:val="center"/>
          </w:tcPr>
          <w:p w:rsidR="00056FD0" w:rsidRPr="000A4E84" w:rsidRDefault="00056FD0" w:rsidP="00AE284E">
            <w:pPr>
              <w:spacing w:before="40" w:after="4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Deltamethrin</w:t>
            </w:r>
          </w:p>
        </w:tc>
        <w:tc>
          <w:tcPr>
            <w:tcW w:w="628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76.5(1.6)</w:t>
            </w:r>
          </w:p>
        </w:tc>
        <w:tc>
          <w:tcPr>
            <w:tcW w:w="850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72.1(11.6)</w:t>
            </w:r>
          </w:p>
        </w:tc>
        <w:tc>
          <w:tcPr>
            <w:tcW w:w="495" w:type="pct"/>
            <w:vAlign w:val="center"/>
          </w:tcPr>
          <w:p w:rsidR="00056FD0" w:rsidRPr="000A4E84" w:rsidRDefault="00056FD0" w:rsidP="00AE284E">
            <w:pPr>
              <w:spacing w:before="40" w:after="40"/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89.4(13.7)</w:t>
            </w:r>
          </w:p>
        </w:tc>
        <w:tc>
          <w:tcPr>
            <w:tcW w:w="547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78.4(4.0)</w:t>
            </w:r>
          </w:p>
        </w:tc>
        <w:tc>
          <w:tcPr>
            <w:tcW w:w="714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94.6(4.2)</w:t>
            </w:r>
          </w:p>
        </w:tc>
        <w:tc>
          <w:tcPr>
            <w:tcW w:w="631" w:type="pct"/>
            <w:vAlign w:val="center"/>
          </w:tcPr>
          <w:p w:rsidR="00056FD0" w:rsidRPr="000A4E84" w:rsidRDefault="00056FD0" w:rsidP="00AE284E">
            <w:pPr>
              <w:rPr>
                <w:rFonts w:asciiTheme="majorBidi" w:hAnsiTheme="majorBidi" w:cstheme="majorBidi"/>
                <w:sz w:val="20"/>
                <w:szCs w:val="20"/>
              </w:rPr>
            </w:pPr>
            <w:r w:rsidRPr="000A4E84">
              <w:rPr>
                <w:rFonts w:asciiTheme="majorBidi" w:hAnsiTheme="majorBidi" w:cstheme="majorBidi"/>
                <w:sz w:val="20"/>
                <w:szCs w:val="20"/>
              </w:rPr>
              <w:t>83.1(14.5)</w:t>
            </w:r>
          </w:p>
        </w:tc>
      </w:tr>
    </w:tbl>
    <w:p w:rsidR="00056FD0" w:rsidRDefault="00056FD0" w:rsidP="00056FD0">
      <w:pPr>
        <w:spacing w:after="0"/>
        <w:ind w:left="720"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056FD0" w:rsidRDefault="00056FD0" w:rsidP="00056FD0">
      <w:pPr>
        <w:spacing w:after="100" w:afterAutospacing="1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056FD0" w:rsidRDefault="00056FD0" w:rsidP="00056FD0"/>
    <w:p w:rsidR="00DA62DB" w:rsidRPr="0053624B" w:rsidRDefault="00DA62DB" w:rsidP="00B87712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:rsidR="0053624B" w:rsidRPr="0053624B" w:rsidRDefault="0053624B" w:rsidP="0053624B">
      <w:pPr>
        <w:autoSpaceDE w:val="0"/>
        <w:autoSpaceDN w:val="0"/>
        <w:adjustRightInd w:val="0"/>
        <w:spacing w:after="100" w:afterAutospacing="1"/>
        <w:jc w:val="both"/>
        <w:rPr>
          <w:rFonts w:ascii="Times New Roman" w:hAnsi="Times New Roman" w:cs="Times New Roman"/>
          <w:bCs/>
          <w:color w:val="FF0000"/>
          <w:sz w:val="24"/>
          <w:szCs w:val="24"/>
        </w:rPr>
      </w:pPr>
    </w:p>
    <w:p w:rsidR="00941A69" w:rsidRDefault="00941A69" w:rsidP="00941A69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DA62DB" w:rsidRDefault="00DA62DB" w:rsidP="00DA62DB">
      <w:pPr>
        <w:rPr>
          <w:rFonts w:ascii="Times New Roman" w:hAnsi="Times New Roman" w:cs="Times New Roman"/>
          <w:b/>
          <w:sz w:val="24"/>
          <w:szCs w:val="24"/>
        </w:rPr>
      </w:pPr>
      <w:bookmarkStart w:id="1" w:name="_Toc45058291"/>
    </w:p>
    <w:bookmarkEnd w:id="1"/>
    <w:p w:rsidR="0019082A" w:rsidRPr="00DA62DB" w:rsidRDefault="00DA62DB" w:rsidP="00DA62DB">
      <w:pPr>
        <w:tabs>
          <w:tab w:val="left" w:pos="4005"/>
          <w:tab w:val="center" w:pos="6480"/>
        </w:tabs>
        <w:jc w:val="left"/>
      </w:pPr>
      <w:r>
        <w:tab/>
      </w:r>
      <w:r>
        <w:tab/>
      </w:r>
      <w:r>
        <w:tab/>
      </w:r>
    </w:p>
    <w:sectPr w:rsidR="0019082A" w:rsidRPr="00DA62DB" w:rsidSect="00484C42"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B482F" w:rsidRDefault="007B482F" w:rsidP="00A51EE7">
      <w:pPr>
        <w:spacing w:after="0"/>
      </w:pPr>
      <w:r>
        <w:separator/>
      </w:r>
    </w:p>
  </w:endnote>
  <w:endnote w:type="continuationSeparator" w:id="0">
    <w:p w:rsidR="007B482F" w:rsidRDefault="007B482F" w:rsidP="00A51EE7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TimesNewRoman">
    <w:altName w:val="Arial Unicode MS"/>
    <w:panose1 w:val="00000000000000000000"/>
    <w:charset w:val="81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B482F" w:rsidRDefault="007B482F" w:rsidP="00A51EE7">
      <w:pPr>
        <w:spacing w:after="0"/>
      </w:pPr>
      <w:r>
        <w:separator/>
      </w:r>
    </w:p>
  </w:footnote>
  <w:footnote w:type="continuationSeparator" w:id="0">
    <w:p w:rsidR="007B482F" w:rsidRDefault="007B482F" w:rsidP="00A51EE7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8610C00"/>
    <w:multiLevelType w:val="multilevel"/>
    <w:tmpl w:val="6A245A38"/>
    <w:lvl w:ilvl="0">
      <w:start w:val="1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pStyle w:val="H1"/>
      <w:lvlText w:val="%1.%2."/>
      <w:lvlJc w:val="left"/>
      <w:pPr>
        <w:ind w:left="720" w:hanging="720"/>
      </w:pPr>
      <w:rPr>
        <w:rFonts w:ascii="Times New Roman" w:hAnsi="Times New Roman" w:cs="Times New Roman" w:hint="default"/>
        <w:b/>
        <w:bCs/>
        <w:i w:val="0"/>
        <w:sz w:val="24"/>
        <w:szCs w:val="24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73F90"/>
    <w:rsid w:val="00053705"/>
    <w:rsid w:val="00056FD0"/>
    <w:rsid w:val="00117B72"/>
    <w:rsid w:val="00135EE1"/>
    <w:rsid w:val="00183EB9"/>
    <w:rsid w:val="00184D03"/>
    <w:rsid w:val="0019082A"/>
    <w:rsid w:val="001B62EA"/>
    <w:rsid w:val="001F74BF"/>
    <w:rsid w:val="002532D3"/>
    <w:rsid w:val="00395E2C"/>
    <w:rsid w:val="00404D61"/>
    <w:rsid w:val="00413828"/>
    <w:rsid w:val="00442927"/>
    <w:rsid w:val="00473F90"/>
    <w:rsid w:val="00484C42"/>
    <w:rsid w:val="00493516"/>
    <w:rsid w:val="004A0DA4"/>
    <w:rsid w:val="0053624B"/>
    <w:rsid w:val="00572F81"/>
    <w:rsid w:val="00577689"/>
    <w:rsid w:val="00586573"/>
    <w:rsid w:val="00596356"/>
    <w:rsid w:val="005F7405"/>
    <w:rsid w:val="0060186B"/>
    <w:rsid w:val="006313D7"/>
    <w:rsid w:val="00653DFD"/>
    <w:rsid w:val="00662A8E"/>
    <w:rsid w:val="00667D38"/>
    <w:rsid w:val="00675B92"/>
    <w:rsid w:val="006A7391"/>
    <w:rsid w:val="006E7E51"/>
    <w:rsid w:val="00777C86"/>
    <w:rsid w:val="007B482F"/>
    <w:rsid w:val="007B4FDE"/>
    <w:rsid w:val="007D762B"/>
    <w:rsid w:val="007E22AA"/>
    <w:rsid w:val="00832E95"/>
    <w:rsid w:val="008376ED"/>
    <w:rsid w:val="00843706"/>
    <w:rsid w:val="00867178"/>
    <w:rsid w:val="00885048"/>
    <w:rsid w:val="008A0473"/>
    <w:rsid w:val="008E6D01"/>
    <w:rsid w:val="008F4796"/>
    <w:rsid w:val="008F54AE"/>
    <w:rsid w:val="00941A69"/>
    <w:rsid w:val="009C5B68"/>
    <w:rsid w:val="00A23C3C"/>
    <w:rsid w:val="00A51EE7"/>
    <w:rsid w:val="00A610CF"/>
    <w:rsid w:val="00AF13CF"/>
    <w:rsid w:val="00AF7E71"/>
    <w:rsid w:val="00B02857"/>
    <w:rsid w:val="00B03D87"/>
    <w:rsid w:val="00B22BE7"/>
    <w:rsid w:val="00B87712"/>
    <w:rsid w:val="00C22990"/>
    <w:rsid w:val="00CB762D"/>
    <w:rsid w:val="00CC2991"/>
    <w:rsid w:val="00CF394A"/>
    <w:rsid w:val="00D10C0E"/>
    <w:rsid w:val="00D11570"/>
    <w:rsid w:val="00DA62DB"/>
    <w:rsid w:val="00DB5EA9"/>
    <w:rsid w:val="00E93C6A"/>
    <w:rsid w:val="00F409CA"/>
    <w:rsid w:val="00FA5BF6"/>
    <w:rsid w:val="00FB5664"/>
    <w:rsid w:val="00FE594C"/>
    <w:rsid w:val="00FF2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1102B66-6BAD-4478-8129-F66E18CEF1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51EE7"/>
    <w:pPr>
      <w:spacing w:line="240" w:lineRule="auto"/>
      <w:jc w:val="center"/>
    </w:pPr>
  </w:style>
  <w:style w:type="paragraph" w:styleId="Heading1">
    <w:name w:val="heading 1"/>
    <w:basedOn w:val="Normal"/>
    <w:next w:val="Normal"/>
    <w:link w:val="Heading1Char"/>
    <w:uiPriority w:val="9"/>
    <w:qFormat/>
    <w:rsid w:val="00A51EE7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Heading1"/>
    <w:next w:val="Normal"/>
    <w:link w:val="Heading2Char"/>
    <w:uiPriority w:val="9"/>
    <w:unhideWhenUsed/>
    <w:qFormat/>
    <w:rsid w:val="00A51EE7"/>
    <w:pPr>
      <w:keepNext w:val="0"/>
      <w:keepLines w:val="0"/>
      <w:spacing w:before="0" w:after="160" w:line="360" w:lineRule="auto"/>
      <w:ind w:left="720" w:hanging="720"/>
      <w:contextualSpacing/>
      <w:jc w:val="both"/>
      <w:outlineLvl w:val="1"/>
    </w:pPr>
    <w:rPr>
      <w:rFonts w:ascii="Times New Roman" w:eastAsiaTheme="minorHAnsi" w:hAnsi="Times New Roman" w:cs="Times New Roman"/>
      <w:b/>
      <w:color w:val="auto"/>
      <w:sz w:val="24"/>
      <w:szCs w:val="24"/>
    </w:rPr>
  </w:style>
  <w:style w:type="paragraph" w:styleId="Heading3">
    <w:name w:val="heading 3"/>
    <w:basedOn w:val="Heading2"/>
    <w:next w:val="Normal"/>
    <w:link w:val="Heading3Char"/>
    <w:uiPriority w:val="9"/>
    <w:unhideWhenUsed/>
    <w:qFormat/>
    <w:rsid w:val="00A51EE7"/>
    <w:pPr>
      <w:numPr>
        <w:ilvl w:val="2"/>
      </w:numPr>
      <w:ind w:left="720" w:hanging="720"/>
      <w:jc w:val="left"/>
      <w:outlineLvl w:val="2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Caption">
    <w:name w:val="caption"/>
    <w:basedOn w:val="Normal"/>
    <w:next w:val="Normal"/>
    <w:uiPriority w:val="35"/>
    <w:unhideWhenUsed/>
    <w:qFormat/>
    <w:rsid w:val="00A51EE7"/>
    <w:pPr>
      <w:spacing w:after="200"/>
    </w:pPr>
    <w:rPr>
      <w:i/>
      <w:iCs/>
      <w:color w:val="44546A" w:themeColor="text2"/>
      <w:sz w:val="18"/>
      <w:szCs w:val="18"/>
    </w:rPr>
  </w:style>
  <w:style w:type="paragraph" w:styleId="Title">
    <w:name w:val="Title"/>
    <w:basedOn w:val="Normal"/>
    <w:next w:val="Normal"/>
    <w:link w:val="TitleChar"/>
    <w:uiPriority w:val="10"/>
    <w:qFormat/>
    <w:rsid w:val="00A51EE7"/>
    <w:pPr>
      <w:spacing w:after="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51EE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table" w:styleId="TableGrid">
    <w:name w:val="Table Grid"/>
    <w:basedOn w:val="TableNormal"/>
    <w:uiPriority w:val="39"/>
    <w:rsid w:val="00A51EE7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2Char">
    <w:name w:val="Heading 2 Char"/>
    <w:basedOn w:val="DefaultParagraphFont"/>
    <w:link w:val="Heading2"/>
    <w:uiPriority w:val="9"/>
    <w:rsid w:val="00A51EE7"/>
    <w:rPr>
      <w:rFonts w:ascii="Times New Roman" w:hAnsi="Times New Roman" w:cs="Times New Roman"/>
      <w:b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A51EE7"/>
    <w:rPr>
      <w:rFonts w:ascii="Times New Roman" w:hAnsi="Times New Roman" w:cs="Times New Roman"/>
      <w:b/>
      <w:sz w:val="24"/>
      <w:szCs w:val="24"/>
    </w:rPr>
  </w:style>
  <w:style w:type="paragraph" w:customStyle="1" w:styleId="H1">
    <w:name w:val="H1"/>
    <w:basedOn w:val="ListParagraph"/>
    <w:next w:val="Heading1"/>
    <w:rsid w:val="00A51EE7"/>
    <w:pPr>
      <w:numPr>
        <w:ilvl w:val="1"/>
        <w:numId w:val="1"/>
      </w:numPr>
      <w:spacing w:line="360" w:lineRule="auto"/>
      <w:ind w:left="0"/>
      <w:jc w:val="both"/>
    </w:pPr>
    <w:rPr>
      <w:rFonts w:ascii="Times New Roman" w:hAnsi="Times New Roman" w:cs="Times New Roman"/>
      <w:b/>
      <w:sz w:val="24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A51EE7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ListParagraph">
    <w:name w:val="List Paragraph"/>
    <w:basedOn w:val="Normal"/>
    <w:link w:val="ListParagraphChar"/>
    <w:uiPriority w:val="34"/>
    <w:qFormat/>
    <w:rsid w:val="00A51EE7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A51EE7"/>
    <w:pPr>
      <w:tabs>
        <w:tab w:val="center" w:pos="4680"/>
        <w:tab w:val="right" w:pos="9360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A51EE7"/>
  </w:style>
  <w:style w:type="paragraph" w:styleId="Footer">
    <w:name w:val="footer"/>
    <w:basedOn w:val="Normal"/>
    <w:link w:val="FooterChar"/>
    <w:uiPriority w:val="99"/>
    <w:unhideWhenUsed/>
    <w:rsid w:val="00A51EE7"/>
    <w:pPr>
      <w:tabs>
        <w:tab w:val="center" w:pos="4680"/>
        <w:tab w:val="right" w:pos="9360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A51EE7"/>
  </w:style>
  <w:style w:type="character" w:customStyle="1" w:styleId="ListParagraphChar">
    <w:name w:val="List Paragraph Char"/>
    <w:basedOn w:val="DefaultParagraphFont"/>
    <w:link w:val="ListParagraph"/>
    <w:uiPriority w:val="34"/>
    <w:rsid w:val="00484C42"/>
  </w:style>
  <w:style w:type="character" w:styleId="CommentReference">
    <w:name w:val="annotation reference"/>
    <w:basedOn w:val="DefaultParagraphFont"/>
    <w:uiPriority w:val="99"/>
    <w:semiHidden/>
    <w:unhideWhenUsed/>
    <w:rsid w:val="00DA62D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DA62DB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DA62DB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A62DB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A62D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717464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pubchem.ncbi.nlm.nih.gov/" TargetMode="External"/><Relationship Id="rId13" Type="http://schemas.openxmlformats.org/officeDocument/2006/relationships/image" Target="media/image4.png"/><Relationship Id="rId18" Type="http://schemas.openxmlformats.org/officeDocument/2006/relationships/hyperlink" Target="https://pubchem.ncbi.nlm.nih.gov/" TargetMode="External"/><Relationship Id="rId26" Type="http://schemas.openxmlformats.org/officeDocument/2006/relationships/hyperlink" Target="https://pubchem.ncbi.nlm.nih.gov/" TargetMode="External"/><Relationship Id="rId3" Type="http://schemas.openxmlformats.org/officeDocument/2006/relationships/settings" Target="settings.xml"/><Relationship Id="rId21" Type="http://schemas.openxmlformats.org/officeDocument/2006/relationships/image" Target="media/image9.png"/><Relationship Id="rId7" Type="http://schemas.openxmlformats.org/officeDocument/2006/relationships/image" Target="media/image1.png"/><Relationship Id="rId12" Type="http://schemas.openxmlformats.org/officeDocument/2006/relationships/hyperlink" Target="https://pubchem.ncbi.nlm.nih.gov/" TargetMode="External"/><Relationship Id="rId17" Type="http://schemas.openxmlformats.org/officeDocument/2006/relationships/image" Target="media/image7.png"/><Relationship Id="rId25" Type="http://schemas.openxmlformats.org/officeDocument/2006/relationships/image" Target="media/image11.png"/><Relationship Id="rId2" Type="http://schemas.openxmlformats.org/officeDocument/2006/relationships/styles" Target="styles.xml"/><Relationship Id="rId16" Type="http://schemas.openxmlformats.org/officeDocument/2006/relationships/image" Target="media/image6.png"/><Relationship Id="rId20" Type="http://schemas.openxmlformats.org/officeDocument/2006/relationships/hyperlink" Target="https://pubchem.ncbi.nlm.nih.gov/" TargetMode="External"/><Relationship Id="rId29" Type="http://schemas.openxmlformats.org/officeDocument/2006/relationships/image" Target="media/image13.pn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3.png"/><Relationship Id="rId24" Type="http://schemas.openxmlformats.org/officeDocument/2006/relationships/hyperlink" Target="https://pubchem.ncbi.nlm.nih.gov/" TargetMode="External"/><Relationship Id="rId5" Type="http://schemas.openxmlformats.org/officeDocument/2006/relationships/footnotes" Target="footnotes.xml"/><Relationship Id="rId15" Type="http://schemas.openxmlformats.org/officeDocument/2006/relationships/image" Target="media/image5.png"/><Relationship Id="rId23" Type="http://schemas.openxmlformats.org/officeDocument/2006/relationships/image" Target="media/image10.png"/><Relationship Id="rId28" Type="http://schemas.openxmlformats.org/officeDocument/2006/relationships/hyperlink" Target="https://pubchem.ncbi.nlm.nih.gov/" TargetMode="External"/><Relationship Id="rId10" Type="http://schemas.openxmlformats.org/officeDocument/2006/relationships/hyperlink" Target="https://pubchem.ncbi.nlm.nih.gov/" TargetMode="External"/><Relationship Id="rId19" Type="http://schemas.openxmlformats.org/officeDocument/2006/relationships/image" Target="media/image8.png"/><Relationship Id="rId31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https://pubchem.ncbi.nlm.nih.gov/" TargetMode="External"/><Relationship Id="rId22" Type="http://schemas.openxmlformats.org/officeDocument/2006/relationships/hyperlink" Target="https://pubchem.ncbi.nlm.nih.gov/" TargetMode="External"/><Relationship Id="rId27" Type="http://schemas.openxmlformats.org/officeDocument/2006/relationships/image" Target="media/image12.png"/><Relationship Id="rId30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7</Pages>
  <Words>1175</Words>
  <Characters>6702</Characters>
  <Application>Microsoft Office Word</Application>
  <DocSecurity>0</DocSecurity>
  <Lines>55</Lines>
  <Paragraphs>15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Farwa</dc:creator>
  <cp:keywords/>
  <dc:description/>
  <cp:lastModifiedBy>Dr. Nazia</cp:lastModifiedBy>
  <cp:revision>7</cp:revision>
  <dcterms:created xsi:type="dcterms:W3CDTF">2021-06-21T11:22:00Z</dcterms:created>
  <dcterms:modified xsi:type="dcterms:W3CDTF">2021-06-22T05:37:00Z</dcterms:modified>
</cp:coreProperties>
</file>