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89F" w:rsidRPr="007C689F" w:rsidRDefault="007C689F" w:rsidP="007C689F">
      <w:pPr>
        <w:keepNext/>
        <w:keepLines/>
        <w:spacing w:before="240" w:after="0" w:line="480" w:lineRule="auto"/>
        <w:jc w:val="both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Additional File 2: </w:t>
      </w:r>
      <w:bookmarkStart w:id="0" w:name="_GoBack"/>
      <w:bookmarkEnd w:id="0"/>
      <w:r w:rsidRPr="007C689F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Windkessel Parameters</w:t>
      </w:r>
    </w:p>
    <w:p w:rsidR="007C689F" w:rsidRPr="007C689F" w:rsidRDefault="007C689F" w:rsidP="007C689F">
      <w:pPr>
        <w:spacing w:line="480" w:lineRule="auto"/>
        <w:jc w:val="both"/>
        <w:rPr>
          <w:rFonts w:ascii="Arial" w:hAnsi="Arial"/>
          <w:sz w:val="24"/>
        </w:rPr>
      </w:pPr>
      <w:r w:rsidRPr="007C689F">
        <w:rPr>
          <w:rFonts w:ascii="Arial" w:hAnsi="Arial"/>
          <w:sz w:val="24"/>
        </w:rPr>
        <w:t xml:space="preserve">The 3-element </w:t>
      </w:r>
      <w:proofErr w:type="spellStart"/>
      <w:r w:rsidRPr="007C689F">
        <w:rPr>
          <w:rFonts w:ascii="Arial" w:hAnsi="Arial"/>
          <w:sz w:val="24"/>
        </w:rPr>
        <w:t>Windkessel</w:t>
      </w:r>
      <w:proofErr w:type="spellEnd"/>
      <w:r w:rsidRPr="007C689F">
        <w:rPr>
          <w:rFonts w:ascii="Arial" w:hAnsi="Arial"/>
          <w:sz w:val="24"/>
        </w:rPr>
        <w:t xml:space="preserve"> functions lump the systemic circulation into peripheral and distal resistances whilst also modeling compliance effects. </w:t>
      </w:r>
      <w:r w:rsidRPr="007C689F">
        <w:rPr>
          <w:rFonts w:ascii="Arial" w:hAnsi="Arial"/>
          <w:sz w:val="24"/>
          <w:lang w:val="en-AU"/>
        </w:rPr>
        <w:t>The relationships between the proximal and distal arterial resistances (</w:t>
      </w:r>
      <w:proofErr w:type="spellStart"/>
      <w:r w:rsidRPr="007C689F">
        <w:rPr>
          <w:rFonts w:ascii="Arial" w:hAnsi="Arial"/>
          <w:sz w:val="24"/>
          <w:lang w:val="en-AU"/>
        </w:rPr>
        <w:t>R</w:t>
      </w:r>
      <w:r w:rsidRPr="007C689F">
        <w:rPr>
          <w:rFonts w:ascii="Arial" w:hAnsi="Arial"/>
          <w:sz w:val="24"/>
          <w:vertAlign w:val="subscript"/>
          <w:lang w:val="en-AU"/>
        </w:rPr>
        <w:t>p</w:t>
      </w:r>
      <w:proofErr w:type="spellEnd"/>
      <w:r w:rsidRPr="007C689F">
        <w:rPr>
          <w:rFonts w:ascii="Arial" w:hAnsi="Arial"/>
          <w:sz w:val="24"/>
          <w:lang w:val="en-AU"/>
        </w:rPr>
        <w:t xml:space="preserve"> and R</w:t>
      </w:r>
      <w:r w:rsidRPr="007C689F">
        <w:rPr>
          <w:rFonts w:ascii="Arial" w:hAnsi="Arial"/>
          <w:sz w:val="24"/>
          <w:vertAlign w:val="subscript"/>
          <w:lang w:val="en-AU"/>
        </w:rPr>
        <w:t>d</w:t>
      </w:r>
      <w:r w:rsidRPr="007C689F">
        <w:rPr>
          <w:rFonts w:ascii="Arial" w:hAnsi="Arial"/>
          <w:sz w:val="24"/>
          <w:lang w:val="en-AU"/>
        </w:rPr>
        <w:t>, respectively), compliance (C), pressure (P) and flow (Q) result in the following ordinary differential equation which was solved iteratively at each branch outlet:</w:t>
      </w:r>
    </w:p>
    <w:p w:rsidR="007C689F" w:rsidRPr="007C689F" w:rsidRDefault="007C689F" w:rsidP="007C689F">
      <w:pPr>
        <w:spacing w:line="480" w:lineRule="auto"/>
        <w:jc w:val="both"/>
        <w:rPr>
          <w:rFonts w:ascii="Cambria Math" w:hAnsi="Cambria Math"/>
          <w:i/>
          <w:sz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4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dP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dt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P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Q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C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p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d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/>
                  <w:sz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p</m:t>
                  </m:r>
                </m:sub>
              </m:sSub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dQ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dt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 xml:space="preserve"> #1</m:t>
              </m:r>
            </m:e>
          </m:eqArr>
        </m:oMath>
      </m:oMathPara>
    </w:p>
    <w:p w:rsidR="007C689F" w:rsidRPr="007C689F" w:rsidRDefault="007C689F" w:rsidP="007C689F">
      <w:pPr>
        <w:keepNext/>
        <w:spacing w:after="0" w:line="240" w:lineRule="auto"/>
        <w:rPr>
          <w:rFonts w:ascii="Arial" w:hAnsi="Arial" w:cs="Arial"/>
          <w:iCs/>
          <w:sz w:val="24"/>
          <w:szCs w:val="24"/>
          <w:lang w:val="en-AU"/>
        </w:rPr>
      </w:pPr>
      <w:r w:rsidRPr="007C689F">
        <w:rPr>
          <w:rFonts w:ascii="Arial" w:hAnsi="Arial" w:cs="Arial"/>
          <w:iCs/>
          <w:sz w:val="24"/>
          <w:szCs w:val="24"/>
          <w:lang w:val="en-AU"/>
        </w:rPr>
        <w:t xml:space="preserve">The parameters for resistance and compliance were obtained from literature and are outlined in Table 1 </w:t>
      </w:r>
      <w:r w:rsidRPr="007C689F">
        <w:rPr>
          <w:rFonts w:ascii="Arial" w:hAnsi="Arial" w:cs="Arial"/>
          <w:iCs/>
          <w:sz w:val="24"/>
          <w:szCs w:val="24"/>
          <w:lang w:val="en-AU"/>
        </w:rPr>
        <w:fldChar w:fldCharType="begin"/>
      </w:r>
      <w:r w:rsidRPr="007C689F">
        <w:rPr>
          <w:rFonts w:ascii="Arial" w:hAnsi="Arial" w:cs="Arial"/>
          <w:iCs/>
          <w:sz w:val="24"/>
          <w:szCs w:val="24"/>
          <w:lang w:val="en-AU"/>
        </w:rPr>
        <w:instrText xml:space="preserve"> ADDIN EN.CITE &lt;EndNote&gt;&lt;Cite&gt;&lt;Author&gt;Xiao&lt;/Author&gt;&lt;Year&gt;2014&lt;/Year&gt;&lt;RecNum&gt;230&lt;/RecNum&gt;&lt;DisplayText&gt;[1]&lt;/DisplayText&gt;&lt;record&gt;&lt;rec-number&gt;230&lt;/rec-number&gt;&lt;foreign-keys&gt;&lt;key app="EN" db-id="t0wpvzv2d2z2p7e09dqv525vz9t9dfvtpw0z" timestamp="1628991254"&gt;230&lt;/key&gt;&lt;/foreign-keys&gt;&lt;ref-type name="Journal Article"&gt;17&lt;/ref-type&gt;&lt;contributors&gt;&lt;authors&gt;&lt;author&gt;Xiao, Nan&lt;/author&gt;&lt;author&gt;Alastruey, Jordi&lt;/author&gt;&lt;author&gt;Alberto Figueroa, C&lt;/author&gt;&lt;/authors&gt;&lt;/contributors&gt;&lt;titles&gt;&lt;title&gt;A systematic comparison between 1</w:instrText>
      </w:r>
      <w:r w:rsidRPr="007C689F">
        <w:rPr>
          <w:rFonts w:ascii="Cambria Math" w:hAnsi="Cambria Math" w:cs="Cambria Math"/>
          <w:iCs/>
          <w:sz w:val="24"/>
          <w:szCs w:val="24"/>
          <w:lang w:val="en-AU"/>
        </w:rPr>
        <w:instrText>‐</w:instrText>
      </w:r>
      <w:r w:rsidRPr="007C689F">
        <w:rPr>
          <w:rFonts w:ascii="Arial" w:hAnsi="Arial" w:cs="Arial"/>
          <w:iCs/>
          <w:sz w:val="24"/>
          <w:szCs w:val="24"/>
          <w:lang w:val="en-AU"/>
        </w:rPr>
        <w:instrText>D and 3</w:instrText>
      </w:r>
      <w:r w:rsidRPr="007C689F">
        <w:rPr>
          <w:rFonts w:ascii="Cambria Math" w:hAnsi="Cambria Math" w:cs="Cambria Math"/>
          <w:iCs/>
          <w:sz w:val="24"/>
          <w:szCs w:val="24"/>
          <w:lang w:val="en-AU"/>
        </w:rPr>
        <w:instrText>‐</w:instrText>
      </w:r>
      <w:r w:rsidRPr="007C689F">
        <w:rPr>
          <w:rFonts w:ascii="Arial" w:hAnsi="Arial" w:cs="Arial"/>
          <w:iCs/>
          <w:sz w:val="24"/>
          <w:szCs w:val="24"/>
          <w:lang w:val="en-AU"/>
        </w:rPr>
        <w:instrText>D hemodynamics in compliant arterial models&lt;/title&gt;&lt;secondary-title&gt;International journal for numerical methods in biomedical engineering&lt;/secondary-title&gt;&lt;/titles&gt;&lt;periodical&gt;&lt;full-title&gt;International journal for numerical methods in biomedical engineering&lt;/full-title&gt;&lt;/periodical&gt;&lt;pages&gt;204-231&lt;/pages&gt;&lt;volume&gt;30&lt;/volume&gt;&lt;number&gt;2&lt;/number&gt;&lt;dates&gt;&lt;year&gt;2014&lt;/year&gt;&lt;/dates&gt;&lt;isbn&gt;2040-7939&lt;/isbn&gt;&lt;urls&gt;&lt;/urls&gt;&lt;electronic-resource-num&gt;https://www.doi.org/10.1002/cnm.2598&lt;/electronic-resource-num&gt;&lt;/record&gt;&lt;/Cite&gt;&lt;/EndNote&gt;</w:instrText>
      </w:r>
      <w:r w:rsidRPr="007C689F">
        <w:rPr>
          <w:rFonts w:ascii="Arial" w:hAnsi="Arial" w:cs="Arial"/>
          <w:iCs/>
          <w:sz w:val="24"/>
          <w:szCs w:val="24"/>
          <w:lang w:val="en-AU"/>
        </w:rPr>
        <w:fldChar w:fldCharType="separate"/>
      </w:r>
      <w:r w:rsidRPr="007C689F">
        <w:rPr>
          <w:rFonts w:ascii="Arial" w:hAnsi="Arial" w:cs="Arial"/>
          <w:iCs/>
          <w:noProof/>
          <w:sz w:val="24"/>
          <w:szCs w:val="24"/>
          <w:lang w:val="en-AU"/>
        </w:rPr>
        <w:t>[1]</w:t>
      </w:r>
      <w:r w:rsidRPr="007C689F">
        <w:rPr>
          <w:rFonts w:ascii="Arial" w:hAnsi="Arial" w:cs="Arial"/>
          <w:iCs/>
          <w:sz w:val="24"/>
          <w:szCs w:val="24"/>
          <w:lang w:val="en-AU"/>
        </w:rPr>
        <w:fldChar w:fldCharType="end"/>
      </w:r>
      <w:r w:rsidRPr="007C689F">
        <w:rPr>
          <w:rFonts w:ascii="Arial" w:hAnsi="Arial" w:cs="Arial"/>
          <w:iCs/>
          <w:sz w:val="24"/>
          <w:szCs w:val="24"/>
          <w:lang w:val="en-AU"/>
        </w:rPr>
        <w:t>.</w:t>
      </w:r>
    </w:p>
    <w:p w:rsidR="007C689F" w:rsidRPr="007C689F" w:rsidRDefault="007C689F" w:rsidP="007C689F">
      <w:pPr>
        <w:keepNext/>
        <w:spacing w:after="0" w:line="240" w:lineRule="auto"/>
        <w:rPr>
          <w:rFonts w:ascii="Arial" w:hAnsi="Arial" w:cs="Arial"/>
          <w:iCs/>
          <w:sz w:val="24"/>
          <w:szCs w:val="24"/>
          <w:lang w:val="en-AU"/>
        </w:rPr>
      </w:pPr>
    </w:p>
    <w:p w:rsidR="007C689F" w:rsidRPr="007C689F" w:rsidRDefault="007C689F" w:rsidP="007C689F">
      <w:pPr>
        <w:keepNext/>
        <w:spacing w:after="0" w:line="240" w:lineRule="auto"/>
        <w:rPr>
          <w:rFonts w:ascii="Arial" w:hAnsi="Arial" w:cs="Arial"/>
          <w:iCs/>
          <w:sz w:val="24"/>
          <w:szCs w:val="24"/>
          <w:lang w:val="en-AU"/>
        </w:rPr>
      </w:pPr>
      <w:r w:rsidRPr="007C689F">
        <w:rPr>
          <w:rFonts w:ascii="Arial" w:hAnsi="Arial" w:cs="Arial"/>
          <w:iCs/>
          <w:sz w:val="24"/>
          <w:szCs w:val="24"/>
          <w:lang w:val="en-AU"/>
        </w:rPr>
        <w:t xml:space="preserve">Table 1. Resistance and compliance values for each branch </w:t>
      </w:r>
      <w:r w:rsidRPr="007C689F">
        <w:rPr>
          <w:rFonts w:ascii="Arial" w:hAnsi="Arial" w:cs="Arial"/>
          <w:iCs/>
          <w:sz w:val="24"/>
          <w:szCs w:val="24"/>
          <w:lang w:val="en-AU"/>
        </w:rPr>
        <w:fldChar w:fldCharType="begin"/>
      </w:r>
      <w:r w:rsidRPr="007C689F">
        <w:rPr>
          <w:rFonts w:ascii="Arial" w:hAnsi="Arial" w:cs="Arial"/>
          <w:iCs/>
          <w:sz w:val="24"/>
          <w:szCs w:val="24"/>
          <w:lang w:val="en-AU"/>
        </w:rPr>
        <w:instrText xml:space="preserve"> ADDIN EN.CITE &lt;EndNote&gt;&lt;Cite&gt;&lt;Author&gt;Xiao&lt;/Author&gt;&lt;Year&gt;2014&lt;/Year&gt;&lt;RecNum&gt;230&lt;/RecNum&gt;&lt;DisplayText&gt;[1]&lt;/DisplayText&gt;&lt;record&gt;&lt;rec-number&gt;230&lt;/rec-number&gt;&lt;foreign-keys&gt;&lt;key app="EN" db-id="t0wpvzv2d2z2p7e09dqv525vz9t9dfvtpw0z" timestamp="1628991254"&gt;230&lt;/key&gt;&lt;/foreign-keys&gt;&lt;ref-type name="Journal Article"&gt;17&lt;/ref-type&gt;&lt;contributors&gt;&lt;authors&gt;&lt;author&gt;Xiao, Nan&lt;/author&gt;&lt;author&gt;Alastruey, Jordi&lt;/author&gt;&lt;author&gt;Alberto Figueroa, C&lt;/author&gt;&lt;/authors&gt;&lt;/contributors&gt;&lt;titles&gt;&lt;title&gt;A systematic comparison between 1</w:instrText>
      </w:r>
      <w:r w:rsidRPr="007C689F">
        <w:rPr>
          <w:rFonts w:ascii="Cambria Math" w:hAnsi="Cambria Math" w:cs="Cambria Math"/>
          <w:iCs/>
          <w:sz w:val="24"/>
          <w:szCs w:val="24"/>
          <w:lang w:val="en-AU"/>
        </w:rPr>
        <w:instrText>‐</w:instrText>
      </w:r>
      <w:r w:rsidRPr="007C689F">
        <w:rPr>
          <w:rFonts w:ascii="Arial" w:hAnsi="Arial" w:cs="Arial"/>
          <w:iCs/>
          <w:sz w:val="24"/>
          <w:szCs w:val="24"/>
          <w:lang w:val="en-AU"/>
        </w:rPr>
        <w:instrText>D and 3</w:instrText>
      </w:r>
      <w:r w:rsidRPr="007C689F">
        <w:rPr>
          <w:rFonts w:ascii="Cambria Math" w:hAnsi="Cambria Math" w:cs="Cambria Math"/>
          <w:iCs/>
          <w:sz w:val="24"/>
          <w:szCs w:val="24"/>
          <w:lang w:val="en-AU"/>
        </w:rPr>
        <w:instrText>‐</w:instrText>
      </w:r>
      <w:r w:rsidRPr="007C689F">
        <w:rPr>
          <w:rFonts w:ascii="Arial" w:hAnsi="Arial" w:cs="Arial"/>
          <w:iCs/>
          <w:sz w:val="24"/>
          <w:szCs w:val="24"/>
          <w:lang w:val="en-AU"/>
        </w:rPr>
        <w:instrText>D hemodynamics in compliant arterial models&lt;/title&gt;&lt;secondary-title&gt;International journal for numerical methods in biomedical engineering&lt;/secondary-title&gt;&lt;/titles&gt;&lt;periodical&gt;&lt;full-title&gt;International journal for numerical methods in biomedical engineering&lt;/full-title&gt;&lt;/periodical&gt;&lt;pages&gt;204-231&lt;/pages&gt;&lt;volume&gt;30&lt;/volume&gt;&lt;number&gt;2&lt;/number&gt;&lt;dates&gt;&lt;year&gt;2014&lt;/year&gt;&lt;/dates&gt;&lt;isbn&gt;2040-7939&lt;/isbn&gt;&lt;urls&gt;&lt;/urls&gt;&lt;electronic-resource-num&gt;https://www.doi.org/10.1002/cnm.2598&lt;/electronic-resource-num&gt;&lt;/record&gt;&lt;/Cite&gt;&lt;/EndNote&gt;</w:instrText>
      </w:r>
      <w:r w:rsidRPr="007C689F">
        <w:rPr>
          <w:rFonts w:ascii="Arial" w:hAnsi="Arial" w:cs="Arial"/>
          <w:iCs/>
          <w:sz w:val="24"/>
          <w:szCs w:val="24"/>
          <w:lang w:val="en-AU"/>
        </w:rPr>
        <w:fldChar w:fldCharType="separate"/>
      </w:r>
      <w:r w:rsidRPr="007C689F">
        <w:rPr>
          <w:rFonts w:ascii="Arial" w:hAnsi="Arial" w:cs="Arial"/>
          <w:iCs/>
          <w:noProof/>
          <w:sz w:val="24"/>
          <w:szCs w:val="24"/>
          <w:lang w:val="en-AU"/>
        </w:rPr>
        <w:t>[1]</w:t>
      </w:r>
      <w:r w:rsidRPr="007C689F">
        <w:rPr>
          <w:rFonts w:ascii="Arial" w:hAnsi="Arial" w:cs="Arial"/>
          <w:iCs/>
          <w:sz w:val="24"/>
          <w:szCs w:val="24"/>
          <w:lang w:val="en-AU"/>
        </w:rPr>
        <w:fldChar w:fldCharType="end"/>
      </w:r>
      <w:r w:rsidRPr="007C689F">
        <w:rPr>
          <w:rFonts w:ascii="Arial" w:hAnsi="Arial" w:cs="Arial"/>
          <w:iCs/>
          <w:sz w:val="24"/>
          <w:szCs w:val="24"/>
          <w:lang w:val="en-AU"/>
        </w:rPr>
        <w:t xml:space="preserve">. </w:t>
      </w:r>
    </w:p>
    <w:p w:rsidR="007C689F" w:rsidRPr="007C689F" w:rsidRDefault="007C689F" w:rsidP="007C689F">
      <w:pPr>
        <w:keepNext/>
        <w:spacing w:after="0" w:line="240" w:lineRule="auto"/>
        <w:rPr>
          <w:rFonts w:ascii="Arial" w:hAnsi="Arial" w:cs="Arial"/>
          <w:iCs/>
          <w:sz w:val="24"/>
          <w:szCs w:val="24"/>
          <w:lang w:val="en-AU"/>
        </w:rPr>
      </w:pPr>
      <w:r w:rsidRPr="007C689F">
        <w:rPr>
          <w:rFonts w:ascii="Arial" w:hAnsi="Arial" w:cs="Arial"/>
          <w:iCs/>
          <w:sz w:val="24"/>
          <w:szCs w:val="24"/>
          <w:lang w:val="en-AU"/>
        </w:rPr>
        <w:t>BCA – Brachiocephalic artery, LCCA – Left Common Carotid artery, LSCA – Left Subclavian artery, SMA – Superior Mesenteric artery, L-Renal – Left Renal artery, R-Renal – Right Renal artery, IMA – Inferior Mesenteric artery, LCI – Left Common Iliac artery and RCI – Right Common Iliac artery.</w:t>
      </w:r>
    </w:p>
    <w:tbl>
      <w:tblPr>
        <w:tblStyle w:val="GridTable5Dark-Accent3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6"/>
      </w:tblGrid>
      <w:tr w:rsidR="007C689F" w:rsidRPr="007C689F" w:rsidTr="00E949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9F" w:rsidRPr="007C689F" w:rsidRDefault="007C689F" w:rsidP="007C689F">
            <w:pPr>
              <w:jc w:val="center"/>
              <w:rPr>
                <w:rFonts w:ascii="Arial" w:hAnsi="Arial"/>
                <w:color w:val="auto"/>
                <w:sz w:val="24"/>
              </w:rPr>
            </w:pPr>
            <w:bookmarkStart w:id="1" w:name="_Hlk96003197"/>
            <w:r w:rsidRPr="007C689F">
              <w:rPr>
                <w:rFonts w:ascii="Arial" w:hAnsi="Arial"/>
                <w:color w:val="auto"/>
                <w:sz w:val="24"/>
              </w:rPr>
              <w:t>Artery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9F" w:rsidRPr="007C689F" w:rsidRDefault="007C689F" w:rsidP="007C6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24"/>
              </w:rPr>
            </w:pPr>
            <w:r w:rsidRPr="007C689F">
              <w:rPr>
                <w:rFonts w:ascii="Arial" w:hAnsi="Arial"/>
                <w:color w:val="auto"/>
                <w:sz w:val="24"/>
              </w:rPr>
              <w:t>Peripheral Resistance (mmHg ∙ min ∙ L</w:t>
            </w:r>
            <w:r w:rsidRPr="007C689F">
              <w:rPr>
                <w:rFonts w:ascii="Arial" w:hAnsi="Arial"/>
                <w:color w:val="auto"/>
                <w:sz w:val="24"/>
                <w:vertAlign w:val="superscript"/>
              </w:rPr>
              <w:t>-1</w:t>
            </w:r>
            <w:r w:rsidRPr="007C689F">
              <w:rPr>
                <w:rFonts w:ascii="Arial" w:hAnsi="Arial"/>
                <w:color w:val="auto"/>
                <w:sz w:val="24"/>
              </w:rPr>
              <w:t>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9F" w:rsidRPr="007C689F" w:rsidRDefault="007C689F" w:rsidP="007C6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24"/>
              </w:rPr>
            </w:pPr>
            <w:r w:rsidRPr="007C689F">
              <w:rPr>
                <w:rFonts w:ascii="Arial" w:hAnsi="Arial"/>
                <w:color w:val="auto"/>
                <w:sz w:val="24"/>
              </w:rPr>
              <w:t>Distal Resistance (mmHg ∙ min ∙ L</w:t>
            </w:r>
            <w:r w:rsidRPr="007C689F">
              <w:rPr>
                <w:rFonts w:ascii="Arial" w:hAnsi="Arial"/>
                <w:color w:val="auto"/>
                <w:sz w:val="24"/>
                <w:vertAlign w:val="superscript"/>
              </w:rPr>
              <w:t>-1</w:t>
            </w:r>
            <w:r w:rsidRPr="007C689F">
              <w:rPr>
                <w:rFonts w:ascii="Arial" w:hAnsi="Arial"/>
                <w:color w:val="auto"/>
                <w:sz w:val="24"/>
              </w:rPr>
              <w:t>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9F" w:rsidRPr="007C689F" w:rsidRDefault="007C689F" w:rsidP="007C6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24"/>
              </w:rPr>
            </w:pPr>
            <w:r w:rsidRPr="007C689F">
              <w:rPr>
                <w:rFonts w:ascii="Arial" w:hAnsi="Arial"/>
                <w:color w:val="auto"/>
                <w:sz w:val="24"/>
              </w:rPr>
              <w:t>Compliance</w:t>
            </w:r>
          </w:p>
          <w:p w:rsidR="007C689F" w:rsidRPr="007C689F" w:rsidRDefault="007C689F" w:rsidP="007C6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24"/>
              </w:rPr>
            </w:pPr>
            <w:r w:rsidRPr="007C689F">
              <w:rPr>
                <w:rFonts w:ascii="Arial" w:hAnsi="Arial"/>
                <w:color w:val="auto"/>
                <w:sz w:val="24"/>
              </w:rPr>
              <w:t>(10</w:t>
            </w:r>
            <w:r w:rsidRPr="007C689F">
              <w:rPr>
                <w:rFonts w:ascii="Arial" w:hAnsi="Arial"/>
                <w:color w:val="auto"/>
                <w:sz w:val="24"/>
                <w:vertAlign w:val="superscript"/>
              </w:rPr>
              <w:t>-5</w:t>
            </w:r>
            <w:r w:rsidRPr="007C689F">
              <w:rPr>
                <w:rFonts w:ascii="Arial" w:hAnsi="Arial"/>
                <w:color w:val="auto"/>
                <w:sz w:val="24"/>
              </w:rPr>
              <w:t xml:space="preserve"> ∙ mmHg</w:t>
            </w:r>
            <w:r w:rsidRPr="007C689F">
              <w:rPr>
                <w:rFonts w:ascii="Arial" w:hAnsi="Arial"/>
                <w:color w:val="auto"/>
                <w:sz w:val="24"/>
                <w:vertAlign w:val="superscript"/>
              </w:rPr>
              <w:t>-1</w:t>
            </w:r>
            <w:r w:rsidRPr="007C689F">
              <w:rPr>
                <w:rFonts w:ascii="Arial" w:hAnsi="Arial"/>
                <w:color w:val="auto"/>
                <w:sz w:val="24"/>
              </w:rPr>
              <w:t xml:space="preserve"> ∙ L)</w:t>
            </w:r>
          </w:p>
        </w:tc>
      </w:tr>
      <w:tr w:rsidR="007C689F" w:rsidRPr="007C689F" w:rsidTr="00E94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689F" w:rsidRPr="007C689F" w:rsidRDefault="007C689F" w:rsidP="007C689F">
            <w:pPr>
              <w:jc w:val="center"/>
              <w:rPr>
                <w:rFonts w:ascii="Arial" w:hAnsi="Arial"/>
                <w:color w:val="auto"/>
                <w:sz w:val="24"/>
              </w:rPr>
            </w:pPr>
            <w:r w:rsidRPr="007C689F">
              <w:rPr>
                <w:rFonts w:ascii="Arial" w:hAnsi="Arial"/>
                <w:color w:val="auto"/>
                <w:sz w:val="24"/>
              </w:rPr>
              <w:t>BCA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6.49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132.61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11.60</w:t>
            </w:r>
          </w:p>
        </w:tc>
      </w:tr>
      <w:tr w:rsidR="007C689F" w:rsidRPr="007C689F" w:rsidTr="00E9497F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689F" w:rsidRPr="007C689F" w:rsidRDefault="007C689F" w:rsidP="007C689F">
            <w:pPr>
              <w:jc w:val="center"/>
              <w:rPr>
                <w:rFonts w:ascii="Arial" w:hAnsi="Arial"/>
                <w:color w:val="auto"/>
                <w:sz w:val="24"/>
              </w:rPr>
            </w:pPr>
            <w:r w:rsidRPr="007C689F">
              <w:rPr>
                <w:rFonts w:ascii="Arial" w:hAnsi="Arial"/>
                <w:color w:val="auto"/>
                <w:sz w:val="24"/>
              </w:rPr>
              <w:t>LCCA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23.94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652.72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2.36</w:t>
            </w:r>
          </w:p>
        </w:tc>
      </w:tr>
      <w:tr w:rsidR="007C689F" w:rsidRPr="007C689F" w:rsidTr="00E94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689F" w:rsidRPr="007C689F" w:rsidRDefault="007C689F" w:rsidP="007C689F">
            <w:pPr>
              <w:jc w:val="center"/>
              <w:rPr>
                <w:rFonts w:ascii="Arial" w:hAnsi="Arial"/>
                <w:color w:val="auto"/>
                <w:sz w:val="24"/>
              </w:rPr>
            </w:pPr>
            <w:r w:rsidRPr="007C689F">
              <w:rPr>
                <w:rFonts w:ascii="Arial" w:hAnsi="Arial"/>
                <w:color w:val="auto"/>
                <w:sz w:val="24"/>
              </w:rPr>
              <w:t>LSCA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12.35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162.74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9.45</w:t>
            </w:r>
          </w:p>
        </w:tc>
      </w:tr>
      <w:tr w:rsidR="007C689F" w:rsidRPr="007C689F" w:rsidTr="00E9497F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689F" w:rsidRPr="007C689F" w:rsidRDefault="007C689F" w:rsidP="007C689F">
            <w:pPr>
              <w:jc w:val="center"/>
              <w:rPr>
                <w:rFonts w:ascii="Arial" w:hAnsi="Arial"/>
                <w:color w:val="auto"/>
                <w:sz w:val="24"/>
              </w:rPr>
            </w:pPr>
            <w:r w:rsidRPr="007C689F">
              <w:rPr>
                <w:rFonts w:ascii="Arial" w:hAnsi="Arial"/>
                <w:color w:val="auto"/>
                <w:sz w:val="24"/>
              </w:rPr>
              <w:t>Coeliac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14.70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94.67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16.24</w:t>
            </w:r>
          </w:p>
        </w:tc>
      </w:tr>
      <w:tr w:rsidR="007C689F" w:rsidRPr="007C689F" w:rsidTr="00E94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689F" w:rsidRPr="007C689F" w:rsidRDefault="007C689F" w:rsidP="007C689F">
            <w:pPr>
              <w:jc w:val="center"/>
              <w:rPr>
                <w:rFonts w:ascii="Arial" w:hAnsi="Arial"/>
                <w:color w:val="auto"/>
                <w:sz w:val="24"/>
              </w:rPr>
            </w:pPr>
            <w:r w:rsidRPr="007C689F">
              <w:rPr>
                <w:rFonts w:ascii="Arial" w:hAnsi="Arial"/>
                <w:color w:val="auto"/>
                <w:sz w:val="24"/>
              </w:rPr>
              <w:t>SMA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21.80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68.88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22.33</w:t>
            </w:r>
          </w:p>
        </w:tc>
      </w:tr>
      <w:tr w:rsidR="007C689F" w:rsidRPr="007C689F" w:rsidTr="00E9497F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689F" w:rsidRPr="007C689F" w:rsidRDefault="007C689F" w:rsidP="007C689F">
            <w:pPr>
              <w:jc w:val="center"/>
              <w:rPr>
                <w:rFonts w:ascii="Arial" w:hAnsi="Arial"/>
                <w:color w:val="auto"/>
                <w:sz w:val="24"/>
              </w:rPr>
            </w:pPr>
            <w:r w:rsidRPr="007C689F">
              <w:rPr>
                <w:rFonts w:ascii="Arial" w:hAnsi="Arial"/>
                <w:color w:val="auto"/>
                <w:sz w:val="24"/>
              </w:rPr>
              <w:t>L-Renal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42.68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67.44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22.80</w:t>
            </w:r>
          </w:p>
        </w:tc>
      </w:tr>
      <w:tr w:rsidR="007C689F" w:rsidRPr="007C689F" w:rsidTr="00E94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689F" w:rsidRPr="007C689F" w:rsidRDefault="007C689F" w:rsidP="007C689F">
            <w:pPr>
              <w:jc w:val="center"/>
              <w:rPr>
                <w:rFonts w:ascii="Arial" w:hAnsi="Arial"/>
                <w:color w:val="auto"/>
                <w:sz w:val="24"/>
              </w:rPr>
            </w:pPr>
            <w:r w:rsidRPr="007C689F">
              <w:rPr>
                <w:rFonts w:ascii="Arial" w:hAnsi="Arial"/>
                <w:color w:val="auto"/>
                <w:sz w:val="24"/>
              </w:rPr>
              <w:t>R-Renal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42.68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67.44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22.80</w:t>
            </w:r>
          </w:p>
        </w:tc>
      </w:tr>
      <w:tr w:rsidR="007C689F" w:rsidRPr="007C689F" w:rsidTr="00E9497F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689F" w:rsidRPr="007C689F" w:rsidRDefault="007C689F" w:rsidP="007C689F">
            <w:pPr>
              <w:jc w:val="center"/>
              <w:rPr>
                <w:rFonts w:ascii="Arial" w:hAnsi="Arial"/>
                <w:color w:val="auto"/>
                <w:sz w:val="24"/>
              </w:rPr>
            </w:pPr>
            <w:r w:rsidRPr="007C689F">
              <w:rPr>
                <w:rFonts w:ascii="Arial" w:hAnsi="Arial"/>
                <w:color w:val="auto"/>
                <w:sz w:val="24"/>
              </w:rPr>
              <w:t>IMA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92.53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577.86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2.66</w:t>
            </w:r>
          </w:p>
        </w:tc>
      </w:tr>
      <w:tr w:rsidR="007C689F" w:rsidRPr="007C689F" w:rsidTr="00E94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689F" w:rsidRPr="007C689F" w:rsidRDefault="007C689F" w:rsidP="007C689F">
            <w:pPr>
              <w:jc w:val="center"/>
              <w:rPr>
                <w:rFonts w:ascii="Arial" w:hAnsi="Arial"/>
                <w:color w:val="auto"/>
                <w:sz w:val="24"/>
              </w:rPr>
            </w:pPr>
            <w:r w:rsidRPr="007C689F">
              <w:rPr>
                <w:rFonts w:ascii="Arial" w:hAnsi="Arial"/>
                <w:color w:val="auto"/>
                <w:sz w:val="24"/>
              </w:rPr>
              <w:t>LCI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7.39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127.19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12.09</w:t>
            </w:r>
          </w:p>
        </w:tc>
      </w:tr>
      <w:tr w:rsidR="007C689F" w:rsidRPr="007C689F" w:rsidTr="00E9497F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689F" w:rsidRPr="007C689F" w:rsidRDefault="007C689F" w:rsidP="007C689F">
            <w:pPr>
              <w:jc w:val="center"/>
              <w:rPr>
                <w:rFonts w:ascii="Arial" w:hAnsi="Arial"/>
                <w:color w:val="auto"/>
                <w:sz w:val="24"/>
              </w:rPr>
            </w:pPr>
            <w:r w:rsidRPr="007C689F">
              <w:rPr>
                <w:rFonts w:ascii="Arial" w:hAnsi="Arial"/>
                <w:color w:val="auto"/>
                <w:sz w:val="24"/>
              </w:rPr>
              <w:t>RCI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7.39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127.19</w:t>
            </w:r>
          </w:p>
        </w:tc>
        <w:tc>
          <w:tcPr>
            <w:tcW w:w="2196" w:type="dxa"/>
            <w:vAlign w:val="center"/>
          </w:tcPr>
          <w:p w:rsidR="007C689F" w:rsidRPr="007C689F" w:rsidRDefault="007C689F" w:rsidP="007C6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</w:rPr>
            </w:pPr>
            <w:r w:rsidRPr="007C689F">
              <w:rPr>
                <w:rFonts w:ascii="Arial" w:hAnsi="Arial"/>
                <w:sz w:val="24"/>
              </w:rPr>
              <w:t>12.09</w:t>
            </w:r>
          </w:p>
        </w:tc>
      </w:tr>
      <w:bookmarkEnd w:id="1"/>
    </w:tbl>
    <w:p w:rsidR="007C689F" w:rsidRPr="007C689F" w:rsidRDefault="007C689F" w:rsidP="007C689F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7C689F" w:rsidRPr="007C689F" w:rsidRDefault="007C689F" w:rsidP="007C689F">
      <w:pPr>
        <w:spacing w:line="240" w:lineRule="auto"/>
        <w:ind w:left="720" w:hanging="720"/>
        <w:jc w:val="both"/>
        <w:rPr>
          <w:rFonts w:ascii="Arial" w:hAnsi="Arial" w:cs="Arial"/>
          <w:noProof/>
          <w:sz w:val="24"/>
          <w:szCs w:val="24"/>
        </w:rPr>
      </w:pPr>
      <w:r w:rsidRPr="007C689F">
        <w:rPr>
          <w:rFonts w:ascii="Arial" w:hAnsi="Arial" w:cs="Arial"/>
          <w:noProof/>
          <w:sz w:val="24"/>
          <w:szCs w:val="24"/>
        </w:rPr>
        <w:fldChar w:fldCharType="begin"/>
      </w:r>
      <w:r w:rsidRPr="007C689F">
        <w:rPr>
          <w:rFonts w:ascii="Arial" w:hAnsi="Arial" w:cs="Arial"/>
          <w:noProof/>
          <w:sz w:val="24"/>
          <w:szCs w:val="24"/>
        </w:rPr>
        <w:instrText xml:space="preserve"> ADDIN EN.REFLIST </w:instrText>
      </w:r>
      <w:r w:rsidRPr="007C689F">
        <w:rPr>
          <w:rFonts w:ascii="Arial" w:hAnsi="Arial" w:cs="Arial"/>
          <w:noProof/>
          <w:sz w:val="24"/>
          <w:szCs w:val="24"/>
        </w:rPr>
        <w:fldChar w:fldCharType="separate"/>
      </w:r>
      <w:r w:rsidRPr="007C689F">
        <w:rPr>
          <w:rFonts w:ascii="Arial" w:hAnsi="Arial" w:cs="Arial"/>
          <w:noProof/>
          <w:sz w:val="24"/>
          <w:szCs w:val="24"/>
        </w:rPr>
        <w:t>1.</w:t>
      </w:r>
      <w:r w:rsidRPr="007C689F">
        <w:rPr>
          <w:rFonts w:ascii="Arial" w:hAnsi="Arial" w:cs="Arial"/>
          <w:noProof/>
          <w:sz w:val="24"/>
          <w:szCs w:val="24"/>
        </w:rPr>
        <w:tab/>
        <w:t>Xiao, N., Alastruey, J., &amp; Alberto Figueroa, C. (2014). A systematic comparison between 1</w:t>
      </w:r>
      <w:r w:rsidRPr="007C689F">
        <w:rPr>
          <w:rFonts w:ascii="Cambria Math" w:hAnsi="Cambria Math" w:cs="Cambria Math"/>
          <w:noProof/>
          <w:sz w:val="24"/>
          <w:szCs w:val="24"/>
        </w:rPr>
        <w:t>‐</w:t>
      </w:r>
      <w:r w:rsidRPr="007C689F">
        <w:rPr>
          <w:rFonts w:ascii="Arial" w:hAnsi="Arial" w:cs="Arial"/>
          <w:noProof/>
          <w:sz w:val="24"/>
          <w:szCs w:val="24"/>
        </w:rPr>
        <w:t>D and 3</w:t>
      </w:r>
      <w:r w:rsidRPr="007C689F">
        <w:rPr>
          <w:rFonts w:ascii="Cambria Math" w:hAnsi="Cambria Math" w:cs="Cambria Math"/>
          <w:noProof/>
          <w:sz w:val="24"/>
          <w:szCs w:val="24"/>
        </w:rPr>
        <w:t>‐</w:t>
      </w:r>
      <w:r w:rsidRPr="007C689F">
        <w:rPr>
          <w:rFonts w:ascii="Arial" w:hAnsi="Arial" w:cs="Arial"/>
          <w:noProof/>
          <w:sz w:val="24"/>
          <w:szCs w:val="24"/>
        </w:rPr>
        <w:t xml:space="preserve">D hemodynamics in compliant arterial models. </w:t>
      </w:r>
      <w:r w:rsidRPr="007C689F">
        <w:rPr>
          <w:rFonts w:ascii="Arial" w:hAnsi="Arial" w:cs="Arial"/>
          <w:i/>
          <w:noProof/>
          <w:sz w:val="24"/>
          <w:szCs w:val="24"/>
        </w:rPr>
        <w:t>International journal for numerical methods in biomedical engineering, 30</w:t>
      </w:r>
      <w:r w:rsidRPr="007C689F">
        <w:rPr>
          <w:rFonts w:ascii="Arial" w:hAnsi="Arial" w:cs="Arial"/>
          <w:noProof/>
          <w:sz w:val="24"/>
          <w:szCs w:val="24"/>
        </w:rPr>
        <w:t xml:space="preserve">(2), 204-231.  </w:t>
      </w:r>
      <w:hyperlink r:id="rId4" w:history="1">
        <w:r w:rsidRPr="007C689F">
          <w:rPr>
            <w:rFonts w:ascii="Arial" w:hAnsi="Arial" w:cs="Arial"/>
            <w:noProof/>
            <w:color w:val="0563C1" w:themeColor="hyperlink"/>
            <w:sz w:val="24"/>
            <w:szCs w:val="24"/>
            <w:u w:val="single"/>
          </w:rPr>
          <w:t>https://www.doi.org/10.1002/cnm.2598</w:t>
        </w:r>
      </w:hyperlink>
    </w:p>
    <w:p w:rsidR="00DC6326" w:rsidRDefault="007C689F" w:rsidP="007C689F">
      <w:r w:rsidRPr="007C689F">
        <w:rPr>
          <w:rFonts w:ascii="Arial" w:hAnsi="Arial" w:cs="Arial"/>
          <w:sz w:val="24"/>
          <w:szCs w:val="24"/>
        </w:rPr>
        <w:fldChar w:fldCharType="end"/>
      </w:r>
    </w:p>
    <w:sectPr w:rsidR="00DC6326" w:rsidSect="00E046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89F"/>
    <w:rsid w:val="00013BD2"/>
    <w:rsid w:val="00317700"/>
    <w:rsid w:val="00494D2A"/>
    <w:rsid w:val="005F45F3"/>
    <w:rsid w:val="007C689F"/>
    <w:rsid w:val="00A47E2A"/>
    <w:rsid w:val="00E0466C"/>
    <w:rsid w:val="00FF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A0C6D"/>
  <w15:chartTrackingRefBased/>
  <w15:docId w15:val="{8D8E3FF9-CE08-4785-AED3-E45D6813B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3">
    <w:name w:val="Grid Table 5 Dark Accent 3"/>
    <w:basedOn w:val="TableNormal"/>
    <w:uiPriority w:val="50"/>
    <w:rsid w:val="007C689F"/>
    <w:pPr>
      <w:spacing w:after="0" w:line="240" w:lineRule="auto"/>
    </w:pPr>
    <w:rPr>
      <w:lang w:val="en-A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oi.org/10.1002/cnm.2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3228</Characters>
  <Application>Microsoft Office Word</Application>
  <DocSecurity>0</DocSecurity>
  <Lines>82</Lines>
  <Paragraphs>69</Paragraphs>
  <ScaleCrop>false</ScaleCrop>
  <Company>Monash University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Avishka Wickramarachchi</dc:creator>
  <cp:keywords/>
  <dc:description/>
  <cp:lastModifiedBy>Avishka Wickramarachchi</cp:lastModifiedBy>
  <cp:revision>1</cp:revision>
  <dcterms:created xsi:type="dcterms:W3CDTF">2022-04-08T01:23:00Z</dcterms:created>
  <dcterms:modified xsi:type="dcterms:W3CDTF">2022-04-08T01:23:00Z</dcterms:modified>
</cp:coreProperties>
</file>