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A335C7" w14:textId="3E0F26E3" w:rsidR="00156EDD" w:rsidRPr="008D40E5" w:rsidRDefault="008306DB" w:rsidP="008D40E5">
      <w:pPr>
        <w:pStyle w:val="Heading1"/>
        <w:spacing w:line="480" w:lineRule="auto"/>
        <w:jc w:val="center"/>
        <w:rPr>
          <w:rFonts w:eastAsia="Times New Roman"/>
          <w:lang w:eastAsia="nl-NL"/>
        </w:rPr>
      </w:pPr>
      <w:r w:rsidRPr="006F6CD4">
        <w:rPr>
          <w:rFonts w:eastAsia="Times New Roman"/>
          <w:lang w:eastAsia="nl-NL"/>
        </w:rPr>
        <w:t>Supplemental Online Content</w:t>
      </w:r>
    </w:p>
    <w:p w14:paraId="33A335C8" w14:textId="375A4CCD" w:rsidR="005B7BAD" w:rsidRPr="008D40E5" w:rsidRDefault="005B7BAD" w:rsidP="005B7BAD">
      <w:pPr>
        <w:spacing w:line="480" w:lineRule="auto"/>
        <w:jc w:val="center"/>
        <w:rPr>
          <w:rFonts w:eastAsia="Times New Roman" w:cs="Times New Roman"/>
          <w:b/>
          <w:color w:val="333333"/>
          <w:szCs w:val="24"/>
          <w:lang w:eastAsia="en-GB"/>
        </w:rPr>
      </w:pPr>
      <w:r w:rsidRPr="008D40E5">
        <w:rPr>
          <w:rFonts w:eastAsia="Times New Roman" w:cs="Times New Roman"/>
          <w:b/>
          <w:color w:val="333333"/>
          <w:szCs w:val="24"/>
          <w:lang w:eastAsia="en-GB"/>
        </w:rPr>
        <w:t xml:space="preserve">In-hospital mortality of COVID-19 patients hospitalized with ST-segment elevation myocardial infarction: </w:t>
      </w:r>
      <w:r w:rsidR="008D40E5" w:rsidRPr="008D40E5">
        <w:rPr>
          <w:rFonts w:eastAsia="Times New Roman" w:cs="Times New Roman"/>
          <w:b/>
          <w:color w:val="333333"/>
          <w:szCs w:val="24"/>
          <w:lang w:eastAsia="en-GB"/>
        </w:rPr>
        <w:t>A</w:t>
      </w:r>
      <w:r w:rsidRPr="008D40E5">
        <w:rPr>
          <w:rFonts w:eastAsia="Times New Roman" w:cs="Times New Roman"/>
          <w:b/>
          <w:color w:val="333333"/>
          <w:szCs w:val="24"/>
          <w:lang w:eastAsia="en-GB"/>
        </w:rPr>
        <w:t xml:space="preserve"> meta-analysis</w:t>
      </w:r>
    </w:p>
    <w:p w14:paraId="46721B09" w14:textId="77777777" w:rsidR="008D40E5" w:rsidRPr="008D40E5" w:rsidRDefault="008D40E5" w:rsidP="008D40E5">
      <w:pPr>
        <w:spacing w:line="480" w:lineRule="auto"/>
        <w:rPr>
          <w:rFonts w:cs="Times New Roman"/>
          <w:b/>
          <w:sz w:val="22"/>
        </w:rPr>
      </w:pPr>
      <w:r w:rsidRPr="008D40E5">
        <w:rPr>
          <w:rFonts w:cs="Times New Roman"/>
          <w:b/>
          <w:sz w:val="22"/>
        </w:rPr>
        <w:t>Authors:</w:t>
      </w:r>
    </w:p>
    <w:p w14:paraId="1E4133EF" w14:textId="6760D209" w:rsidR="008D40E5" w:rsidRDefault="008D40E5" w:rsidP="008D40E5">
      <w:pPr>
        <w:spacing w:line="480" w:lineRule="auto"/>
        <w:rPr>
          <w:rFonts w:cs="Times New Roman"/>
          <w:sz w:val="22"/>
        </w:rPr>
      </w:pPr>
      <w:bookmarkStart w:id="0" w:name="_Hlk91542412"/>
      <w:r w:rsidRPr="008D40E5">
        <w:rPr>
          <w:rFonts w:cs="Times New Roman"/>
          <w:sz w:val="22"/>
        </w:rPr>
        <w:t xml:space="preserve">Huzaifa Ahmad Cheema, MBBS; Muhammad Ehsan, MBBS; Muhammad Ayyan, MBBS; Abia Shahid, MBBS; Minaam Farooq, MBBS; Muhammad Usman Javed, MD; Hassan Mehmood Lak, MD; Malik </w:t>
      </w:r>
      <w:proofErr w:type="spellStart"/>
      <w:r w:rsidRPr="008D40E5">
        <w:rPr>
          <w:rFonts w:cs="Times New Roman"/>
          <w:sz w:val="22"/>
        </w:rPr>
        <w:t>Qistas</w:t>
      </w:r>
      <w:proofErr w:type="spellEnd"/>
      <w:r w:rsidRPr="008D40E5">
        <w:rPr>
          <w:rFonts w:cs="Times New Roman"/>
          <w:sz w:val="22"/>
        </w:rPr>
        <w:t xml:space="preserve"> Ahmad, MD; Hafeez Ul Hassan Virk, MD; Vladimir </w:t>
      </w:r>
      <w:proofErr w:type="spellStart"/>
      <w:r w:rsidRPr="008D40E5">
        <w:rPr>
          <w:rFonts w:cs="Times New Roman"/>
          <w:sz w:val="22"/>
        </w:rPr>
        <w:t>Lakhter</w:t>
      </w:r>
      <w:proofErr w:type="spellEnd"/>
      <w:r w:rsidRPr="008D40E5">
        <w:rPr>
          <w:rFonts w:cs="Times New Roman"/>
          <w:sz w:val="22"/>
        </w:rPr>
        <w:t>, DO</w:t>
      </w:r>
      <w:bookmarkEnd w:id="0"/>
    </w:p>
    <w:p w14:paraId="0FED547B" w14:textId="77777777" w:rsidR="008D40E5" w:rsidRPr="008D40E5" w:rsidRDefault="008D40E5" w:rsidP="008D40E5">
      <w:pPr>
        <w:spacing w:after="0" w:line="480" w:lineRule="auto"/>
        <w:rPr>
          <w:rFonts w:cs="Times New Roman"/>
          <w:b/>
          <w:sz w:val="22"/>
        </w:rPr>
      </w:pPr>
      <w:r w:rsidRPr="008D40E5">
        <w:rPr>
          <w:rFonts w:cs="Times New Roman"/>
          <w:b/>
          <w:sz w:val="22"/>
        </w:rPr>
        <w:t>Corresponding author:</w:t>
      </w:r>
    </w:p>
    <w:p w14:paraId="1ECEB273" w14:textId="77777777" w:rsidR="008D40E5" w:rsidRDefault="008D40E5" w:rsidP="008D40E5">
      <w:pPr>
        <w:pStyle w:val="NormalWeb"/>
        <w:shd w:val="clear" w:color="auto" w:fill="FFFFFF"/>
        <w:spacing w:after="0" w:line="480" w:lineRule="auto"/>
        <w:rPr>
          <w:sz w:val="22"/>
          <w:szCs w:val="22"/>
        </w:rPr>
      </w:pPr>
      <w:r w:rsidRPr="008F7CE3">
        <w:rPr>
          <w:sz w:val="22"/>
          <w:szCs w:val="22"/>
        </w:rPr>
        <w:t xml:space="preserve">Huzaifa Ahmad Cheema, MBBS: </w:t>
      </w:r>
      <w:hyperlink r:id="rId7" w:history="1">
        <w:r w:rsidRPr="008F7CE3">
          <w:rPr>
            <w:rStyle w:val="Hyperlink"/>
            <w:sz w:val="22"/>
            <w:szCs w:val="22"/>
          </w:rPr>
          <w:t>huzaifaahmadcheema@gmail.com</w:t>
        </w:r>
      </w:hyperlink>
      <w:r w:rsidRPr="008F7CE3">
        <w:rPr>
          <w:sz w:val="22"/>
          <w:szCs w:val="22"/>
        </w:rPr>
        <w:t xml:space="preserve">; </w:t>
      </w:r>
    </w:p>
    <w:p w14:paraId="33A335C9" w14:textId="14D8A401" w:rsidR="008306DB" w:rsidRDefault="008D40E5" w:rsidP="008D40E5">
      <w:pPr>
        <w:pStyle w:val="NormalWeb"/>
        <w:shd w:val="clear" w:color="auto" w:fill="FFFFFF"/>
        <w:spacing w:after="0" w:line="480" w:lineRule="auto"/>
        <w:rPr>
          <w:rFonts w:eastAsia="Times New Roman"/>
          <w:sz w:val="22"/>
          <w:szCs w:val="22"/>
          <w:lang w:val="en-GB" w:eastAsia="en-GB"/>
        </w:rPr>
      </w:pPr>
      <w:r w:rsidRPr="008F7CE3">
        <w:rPr>
          <w:rFonts w:eastAsia="Times New Roman"/>
          <w:b/>
          <w:sz w:val="22"/>
          <w:szCs w:val="22"/>
          <w:lang w:val="en-GB" w:eastAsia="en-GB"/>
        </w:rPr>
        <w:t>Address:</w:t>
      </w:r>
      <w:r w:rsidRPr="008F7CE3">
        <w:rPr>
          <w:rFonts w:eastAsia="Times New Roman"/>
          <w:sz w:val="22"/>
          <w:szCs w:val="22"/>
          <w:lang w:val="en-GB" w:eastAsia="en-GB"/>
        </w:rPr>
        <w:t xml:space="preserve"> </w:t>
      </w:r>
      <w:r>
        <w:rPr>
          <w:rFonts w:eastAsia="Times New Roman"/>
          <w:sz w:val="22"/>
          <w:szCs w:val="22"/>
          <w:lang w:val="en-GB" w:eastAsia="en-GB"/>
        </w:rPr>
        <w:t xml:space="preserve">Department of Medicine, </w:t>
      </w:r>
      <w:r w:rsidRPr="008F7CE3">
        <w:rPr>
          <w:rFonts w:eastAsia="Times New Roman"/>
          <w:sz w:val="22"/>
          <w:szCs w:val="22"/>
          <w:lang w:val="en-GB" w:eastAsia="en-GB"/>
        </w:rPr>
        <w:t>King Edward Medical University, Nila Gumbad Chowk, Neela Gumbad Lahore, Punjab 54000</w:t>
      </w:r>
    </w:p>
    <w:p w14:paraId="56187E8C" w14:textId="28CBCE2D" w:rsidR="008D40E5" w:rsidRPr="008D40E5" w:rsidRDefault="008D40E5" w:rsidP="008D40E5">
      <w:pPr>
        <w:pStyle w:val="Heading1"/>
        <w:spacing w:after="240"/>
        <w:rPr>
          <w:rFonts w:eastAsia="Times New Roman" w:cs="Times New Roman"/>
          <w:lang w:eastAsia="en-GB"/>
        </w:rPr>
      </w:pPr>
      <w:r w:rsidRPr="008D40E5">
        <w:rPr>
          <w:rFonts w:eastAsia="Times New Roman"/>
          <w:lang w:eastAsia="en-GB"/>
        </w:rPr>
        <w:t>Contents:</w:t>
      </w:r>
    </w:p>
    <w:p w14:paraId="33A335CA" w14:textId="77777777" w:rsidR="008306DB" w:rsidRPr="006F6CD4" w:rsidRDefault="008306DB" w:rsidP="006F6CD4">
      <w:pPr>
        <w:tabs>
          <w:tab w:val="left" w:pos="567"/>
        </w:tabs>
        <w:spacing w:after="0" w:line="480" w:lineRule="auto"/>
        <w:rPr>
          <w:rFonts w:eastAsia="Times New Roman" w:cs="Times New Roman"/>
          <w:spacing w:val="1"/>
          <w:sz w:val="22"/>
          <w:lang w:val="en" w:eastAsia="nl-NL"/>
        </w:rPr>
      </w:pPr>
      <w:r w:rsidRPr="006F6CD4">
        <w:rPr>
          <w:rFonts w:eastAsia="Times New Roman" w:cs="Times New Roman"/>
          <w:b/>
          <w:bCs/>
          <w:spacing w:val="1"/>
          <w:sz w:val="22"/>
          <w:lang w:val="en" w:eastAsia="nl-NL"/>
        </w:rPr>
        <w:t xml:space="preserve">Table </w:t>
      </w:r>
      <w:r w:rsidR="006F6CD4" w:rsidRPr="006F6CD4">
        <w:rPr>
          <w:rFonts w:eastAsia="Times New Roman" w:cs="Times New Roman"/>
          <w:b/>
          <w:bCs/>
          <w:spacing w:val="1"/>
          <w:sz w:val="22"/>
          <w:lang w:val="en" w:eastAsia="nl-NL"/>
        </w:rPr>
        <w:t>S</w:t>
      </w:r>
      <w:r w:rsidRPr="006F6CD4">
        <w:rPr>
          <w:rFonts w:eastAsia="Times New Roman" w:cs="Times New Roman"/>
          <w:b/>
          <w:bCs/>
          <w:spacing w:val="1"/>
          <w:sz w:val="22"/>
          <w:lang w:val="en" w:eastAsia="nl-NL"/>
        </w:rPr>
        <w:t>1</w:t>
      </w:r>
      <w:r w:rsidRPr="006F6CD4">
        <w:rPr>
          <w:rFonts w:eastAsia="Times New Roman" w:cs="Times New Roman"/>
          <w:b/>
          <w:spacing w:val="1"/>
          <w:sz w:val="22"/>
          <w:lang w:val="en" w:eastAsia="nl-NL"/>
        </w:rPr>
        <w:t>.</w:t>
      </w:r>
      <w:r w:rsidRPr="006F6CD4">
        <w:rPr>
          <w:rFonts w:eastAsia="Times New Roman" w:cs="Times New Roman"/>
          <w:spacing w:val="1"/>
          <w:sz w:val="22"/>
          <w:lang w:val="en" w:eastAsia="nl-NL"/>
        </w:rPr>
        <w:t xml:space="preserve"> Eligibility criteria for including studies in the review (PECOS)</w:t>
      </w:r>
    </w:p>
    <w:p w14:paraId="41329200" w14:textId="77777777" w:rsidR="000C59C8" w:rsidRDefault="008306DB" w:rsidP="006F6CD4">
      <w:pPr>
        <w:tabs>
          <w:tab w:val="left" w:pos="567"/>
        </w:tabs>
        <w:spacing w:after="0" w:line="480" w:lineRule="auto"/>
        <w:rPr>
          <w:rFonts w:eastAsia="Times New Roman" w:cs="Times New Roman"/>
          <w:spacing w:val="1"/>
          <w:sz w:val="22"/>
          <w:lang w:val="en" w:eastAsia="nl-NL"/>
        </w:rPr>
      </w:pPr>
      <w:r w:rsidRPr="006F6CD4">
        <w:rPr>
          <w:rFonts w:eastAsia="Times New Roman" w:cs="Times New Roman"/>
          <w:b/>
          <w:bCs/>
          <w:spacing w:val="1"/>
          <w:sz w:val="22"/>
          <w:lang w:val="en" w:eastAsia="nl-NL"/>
        </w:rPr>
        <w:t xml:space="preserve">Table </w:t>
      </w:r>
      <w:r w:rsidR="006F6CD4" w:rsidRPr="006F6CD4">
        <w:rPr>
          <w:rFonts w:eastAsia="Times New Roman" w:cs="Times New Roman"/>
          <w:b/>
          <w:bCs/>
          <w:spacing w:val="1"/>
          <w:sz w:val="22"/>
          <w:lang w:val="en" w:eastAsia="nl-NL"/>
        </w:rPr>
        <w:t>S</w:t>
      </w:r>
      <w:r w:rsidRPr="006F6CD4">
        <w:rPr>
          <w:rFonts w:eastAsia="Times New Roman" w:cs="Times New Roman"/>
          <w:b/>
          <w:bCs/>
          <w:spacing w:val="1"/>
          <w:sz w:val="22"/>
          <w:lang w:val="en" w:eastAsia="nl-NL"/>
        </w:rPr>
        <w:t>2</w:t>
      </w:r>
      <w:r w:rsidRPr="006F6CD4">
        <w:rPr>
          <w:rFonts w:eastAsia="Times New Roman" w:cs="Times New Roman"/>
          <w:b/>
          <w:spacing w:val="1"/>
          <w:sz w:val="22"/>
          <w:lang w:val="en" w:eastAsia="nl-NL"/>
        </w:rPr>
        <w:t>.</w:t>
      </w:r>
      <w:r w:rsidRPr="006F6CD4">
        <w:rPr>
          <w:rFonts w:eastAsia="Times New Roman" w:cs="Times New Roman"/>
          <w:spacing w:val="1"/>
          <w:sz w:val="22"/>
          <w:lang w:val="en" w:eastAsia="nl-NL"/>
        </w:rPr>
        <w:t xml:space="preserve"> Search strategy for Medline (PubMed) which was adapted accordingly for Embase (Ovid)</w:t>
      </w:r>
    </w:p>
    <w:p w14:paraId="33A335CB" w14:textId="57238C2E" w:rsidR="008306DB" w:rsidRPr="000C59C8" w:rsidRDefault="000C59C8" w:rsidP="000C59C8">
      <w:pPr>
        <w:spacing w:after="0" w:line="480" w:lineRule="auto"/>
        <w:rPr>
          <w:rFonts w:cs="Times New Roman"/>
        </w:rPr>
      </w:pPr>
      <w:r>
        <w:rPr>
          <w:rFonts w:cs="Times New Roman"/>
          <w:b/>
        </w:rPr>
        <w:t>Table S3.</w:t>
      </w:r>
      <w:r>
        <w:rPr>
          <w:rFonts w:cs="Times New Roman"/>
        </w:rPr>
        <w:t xml:space="preserve"> Characteristics of included studies</w:t>
      </w:r>
      <w:r w:rsidR="008306DB" w:rsidRPr="006F6CD4">
        <w:rPr>
          <w:rFonts w:eastAsia="Times New Roman" w:cs="Times New Roman"/>
          <w:spacing w:val="1"/>
          <w:sz w:val="22"/>
          <w:lang w:val="en" w:eastAsia="nl-NL"/>
        </w:rPr>
        <w:tab/>
      </w:r>
      <w:r w:rsidR="008306DB" w:rsidRPr="006F6CD4">
        <w:rPr>
          <w:rFonts w:eastAsia="Times New Roman" w:cs="Times New Roman"/>
          <w:spacing w:val="1"/>
          <w:sz w:val="22"/>
          <w:lang w:val="en" w:eastAsia="nl-NL"/>
        </w:rPr>
        <w:tab/>
      </w:r>
      <w:r w:rsidR="008306DB" w:rsidRPr="006F6CD4">
        <w:rPr>
          <w:rFonts w:eastAsia="Times New Roman" w:cs="Times New Roman"/>
          <w:spacing w:val="1"/>
          <w:sz w:val="22"/>
          <w:lang w:val="en" w:eastAsia="nl-NL"/>
        </w:rPr>
        <w:tab/>
      </w:r>
    </w:p>
    <w:p w14:paraId="338769CE" w14:textId="77777777" w:rsidR="008D40E5" w:rsidRDefault="008306DB" w:rsidP="008D40E5">
      <w:pPr>
        <w:tabs>
          <w:tab w:val="left" w:pos="567"/>
        </w:tabs>
        <w:spacing w:after="0" w:line="480" w:lineRule="auto"/>
        <w:rPr>
          <w:rFonts w:eastAsia="Calibri" w:cs="Times New Roman"/>
          <w:sz w:val="22"/>
          <w:lang w:val="en-US"/>
        </w:rPr>
      </w:pPr>
      <w:r w:rsidRPr="006F6CD4">
        <w:rPr>
          <w:rFonts w:eastAsia="Calibri" w:cs="Times New Roman"/>
          <w:b/>
          <w:sz w:val="22"/>
          <w:lang w:val="en-US"/>
        </w:rPr>
        <w:t xml:space="preserve">Table </w:t>
      </w:r>
      <w:r w:rsidR="006F6CD4" w:rsidRPr="006F6CD4">
        <w:rPr>
          <w:rFonts w:eastAsia="Calibri" w:cs="Times New Roman"/>
          <w:b/>
          <w:sz w:val="22"/>
          <w:lang w:val="en-US"/>
        </w:rPr>
        <w:t>S</w:t>
      </w:r>
      <w:r w:rsidR="000C59C8">
        <w:rPr>
          <w:rFonts w:eastAsia="Calibri" w:cs="Times New Roman"/>
          <w:b/>
          <w:sz w:val="22"/>
          <w:lang w:val="en-US"/>
        </w:rPr>
        <w:t>4</w:t>
      </w:r>
      <w:r w:rsidRPr="006F6CD4">
        <w:rPr>
          <w:rFonts w:eastAsia="Calibri" w:cs="Times New Roman"/>
          <w:b/>
          <w:sz w:val="22"/>
          <w:lang w:val="en-US"/>
        </w:rPr>
        <w:t xml:space="preserve">. </w:t>
      </w:r>
      <w:r w:rsidRPr="006F6CD4">
        <w:rPr>
          <w:rFonts w:eastAsia="Calibri" w:cs="Times New Roman"/>
          <w:sz w:val="22"/>
          <w:lang w:val="en-US"/>
        </w:rPr>
        <w:t>Quality Assessment of each included cohort study according to Newcastle-Ottawa Scale</w:t>
      </w:r>
      <w:r w:rsidRPr="006F6CD4">
        <w:rPr>
          <w:rFonts w:eastAsia="Calibri" w:cs="Times New Roman"/>
          <w:sz w:val="22"/>
          <w:lang w:val="en-US"/>
        </w:rPr>
        <w:tab/>
      </w:r>
      <w:r w:rsidRPr="006F6CD4">
        <w:rPr>
          <w:rFonts w:eastAsia="Calibri" w:cs="Times New Roman"/>
          <w:sz w:val="22"/>
          <w:lang w:val="en-US"/>
        </w:rPr>
        <w:tab/>
      </w:r>
    </w:p>
    <w:p w14:paraId="33A335CD" w14:textId="6808C556" w:rsidR="008306DB" w:rsidRPr="008D40E5" w:rsidRDefault="008306DB" w:rsidP="008D40E5">
      <w:pPr>
        <w:tabs>
          <w:tab w:val="left" w:pos="567"/>
        </w:tabs>
        <w:spacing w:after="0" w:line="480" w:lineRule="auto"/>
        <w:rPr>
          <w:rFonts w:eastAsia="Times New Roman" w:cs="Times New Roman"/>
          <w:sz w:val="22"/>
          <w:lang w:eastAsia="nl-NL"/>
        </w:rPr>
      </w:pPr>
      <w:r w:rsidRPr="006F6CD4">
        <w:rPr>
          <w:rFonts w:eastAsia="Times New Roman" w:cs="Times New Roman"/>
          <w:b/>
          <w:bCs/>
          <w:spacing w:val="1"/>
          <w:sz w:val="22"/>
          <w:lang w:val="en" w:eastAsia="nl-NL"/>
        </w:rPr>
        <w:t xml:space="preserve">Figure </w:t>
      </w:r>
      <w:r w:rsidR="006F6CD4" w:rsidRPr="006F6CD4">
        <w:rPr>
          <w:rFonts w:eastAsia="Times New Roman" w:cs="Times New Roman"/>
          <w:b/>
          <w:bCs/>
          <w:spacing w:val="1"/>
          <w:sz w:val="22"/>
          <w:lang w:val="en" w:eastAsia="nl-NL"/>
        </w:rPr>
        <w:t>S</w:t>
      </w:r>
      <w:r w:rsidRPr="006F6CD4">
        <w:rPr>
          <w:rFonts w:eastAsia="Times New Roman" w:cs="Times New Roman"/>
          <w:b/>
          <w:bCs/>
          <w:spacing w:val="1"/>
          <w:sz w:val="22"/>
          <w:lang w:val="en" w:eastAsia="nl-NL"/>
        </w:rPr>
        <w:t>1</w:t>
      </w:r>
      <w:r w:rsidRPr="006F6CD4">
        <w:rPr>
          <w:rFonts w:eastAsia="Times New Roman" w:cs="Times New Roman"/>
          <w:b/>
          <w:spacing w:val="1"/>
          <w:sz w:val="22"/>
          <w:lang w:val="en" w:eastAsia="nl-NL"/>
        </w:rPr>
        <w:t>.</w:t>
      </w:r>
      <w:r w:rsidRPr="006F6CD4">
        <w:rPr>
          <w:rFonts w:eastAsia="Times New Roman" w:cs="Times New Roman"/>
          <w:spacing w:val="1"/>
          <w:sz w:val="22"/>
          <w:lang w:val="en" w:eastAsia="nl-NL"/>
        </w:rPr>
        <w:t xml:space="preserve"> PRISMA flowchart depicting study selection process</w:t>
      </w:r>
    </w:p>
    <w:p w14:paraId="33A335CE" w14:textId="77777777" w:rsidR="008306DB" w:rsidRPr="006F6CD4" w:rsidRDefault="008306DB" w:rsidP="006F6CD4">
      <w:pPr>
        <w:shd w:val="clear" w:color="auto" w:fill="FFFFFF"/>
        <w:tabs>
          <w:tab w:val="left" w:pos="567"/>
        </w:tabs>
        <w:spacing w:after="0" w:line="480" w:lineRule="auto"/>
        <w:rPr>
          <w:rFonts w:eastAsia="Times New Roman" w:cs="Times New Roman"/>
          <w:spacing w:val="1"/>
          <w:sz w:val="22"/>
          <w:lang w:val="en" w:eastAsia="nl-NL"/>
        </w:rPr>
      </w:pPr>
      <w:r w:rsidRPr="006F6CD4">
        <w:rPr>
          <w:rFonts w:eastAsia="Times New Roman" w:cs="Times New Roman"/>
          <w:b/>
          <w:bCs/>
          <w:spacing w:val="1"/>
          <w:sz w:val="22"/>
          <w:lang w:val="en" w:eastAsia="nl-NL"/>
        </w:rPr>
        <w:t xml:space="preserve">Figure </w:t>
      </w:r>
      <w:r w:rsidR="006F6CD4" w:rsidRPr="006F6CD4">
        <w:rPr>
          <w:rFonts w:eastAsia="Times New Roman" w:cs="Times New Roman"/>
          <w:b/>
          <w:bCs/>
          <w:spacing w:val="1"/>
          <w:sz w:val="22"/>
          <w:lang w:val="en" w:eastAsia="nl-NL"/>
        </w:rPr>
        <w:t>S</w:t>
      </w:r>
      <w:r w:rsidRPr="006F6CD4">
        <w:rPr>
          <w:rFonts w:eastAsia="Times New Roman" w:cs="Times New Roman"/>
          <w:b/>
          <w:bCs/>
          <w:spacing w:val="1"/>
          <w:sz w:val="22"/>
          <w:lang w:val="en" w:eastAsia="nl-NL"/>
        </w:rPr>
        <w:t>2</w:t>
      </w:r>
      <w:r w:rsidRPr="006F6CD4">
        <w:rPr>
          <w:rFonts w:eastAsia="Times New Roman" w:cs="Times New Roman"/>
          <w:b/>
          <w:spacing w:val="1"/>
          <w:sz w:val="22"/>
          <w:lang w:val="en" w:eastAsia="nl-NL"/>
        </w:rPr>
        <w:t>.</w:t>
      </w:r>
      <w:r w:rsidRPr="006F6CD4">
        <w:rPr>
          <w:rFonts w:eastAsia="Times New Roman" w:cs="Times New Roman"/>
          <w:spacing w:val="1"/>
          <w:sz w:val="22"/>
          <w:lang w:val="en" w:eastAsia="nl-NL"/>
        </w:rPr>
        <w:t xml:space="preserve"> Subgroup analysis for in-hospital mortality on the basis of use of unadjusted vs adjusted ORs</w:t>
      </w:r>
      <w:r w:rsidRPr="006F6CD4">
        <w:rPr>
          <w:rFonts w:eastAsia="Times New Roman" w:cs="Times New Roman"/>
          <w:spacing w:val="1"/>
          <w:sz w:val="22"/>
          <w:lang w:val="en" w:eastAsia="nl-NL"/>
        </w:rPr>
        <w:tab/>
      </w:r>
    </w:p>
    <w:p w14:paraId="33A335CF" w14:textId="77777777" w:rsidR="008306DB" w:rsidRPr="006F6CD4" w:rsidRDefault="008306DB" w:rsidP="006F6CD4">
      <w:pPr>
        <w:tabs>
          <w:tab w:val="left" w:pos="567"/>
        </w:tabs>
        <w:spacing w:after="0" w:line="480" w:lineRule="auto"/>
        <w:rPr>
          <w:rFonts w:eastAsia="Times New Roman" w:cs="Times New Roman"/>
          <w:spacing w:val="1"/>
          <w:sz w:val="22"/>
          <w:lang w:val="en" w:eastAsia="nl-NL"/>
        </w:rPr>
      </w:pPr>
      <w:r w:rsidRPr="006F6CD4">
        <w:rPr>
          <w:rFonts w:eastAsia="Times New Roman" w:cs="Times New Roman"/>
          <w:b/>
          <w:bCs/>
          <w:spacing w:val="1"/>
          <w:sz w:val="22"/>
          <w:lang w:val="en" w:eastAsia="nl-NL"/>
        </w:rPr>
        <w:t xml:space="preserve">Figure </w:t>
      </w:r>
      <w:r w:rsidR="006F6CD4" w:rsidRPr="006F6CD4">
        <w:rPr>
          <w:rFonts w:eastAsia="Times New Roman" w:cs="Times New Roman"/>
          <w:b/>
          <w:bCs/>
          <w:spacing w:val="1"/>
          <w:sz w:val="22"/>
          <w:lang w:val="en" w:eastAsia="nl-NL"/>
        </w:rPr>
        <w:t>S</w:t>
      </w:r>
      <w:r w:rsidRPr="006F6CD4">
        <w:rPr>
          <w:rFonts w:eastAsia="Times New Roman" w:cs="Times New Roman"/>
          <w:b/>
          <w:bCs/>
          <w:spacing w:val="1"/>
          <w:sz w:val="22"/>
          <w:lang w:val="en" w:eastAsia="nl-NL"/>
        </w:rPr>
        <w:t>3</w:t>
      </w:r>
      <w:r w:rsidRPr="006F6CD4">
        <w:rPr>
          <w:rFonts w:eastAsia="Times New Roman" w:cs="Times New Roman"/>
          <w:b/>
          <w:spacing w:val="1"/>
          <w:sz w:val="22"/>
          <w:lang w:val="en" w:eastAsia="nl-NL"/>
        </w:rPr>
        <w:t>.</w:t>
      </w:r>
      <w:r w:rsidRPr="006F6CD4">
        <w:rPr>
          <w:rFonts w:eastAsia="Times New Roman" w:cs="Times New Roman"/>
          <w:spacing w:val="1"/>
          <w:sz w:val="22"/>
          <w:lang w:val="en" w:eastAsia="nl-NL"/>
        </w:rPr>
        <w:t xml:space="preserve"> Subgroup analysis for in-hospital mortality on the basis of use of historical vs concurrent cohorts</w:t>
      </w:r>
    </w:p>
    <w:p w14:paraId="33A335D0" w14:textId="77777777" w:rsidR="008306DB" w:rsidRPr="006F6CD4" w:rsidRDefault="008306DB" w:rsidP="006F6CD4">
      <w:pPr>
        <w:tabs>
          <w:tab w:val="left" w:pos="567"/>
        </w:tabs>
        <w:spacing w:after="0" w:line="480" w:lineRule="auto"/>
        <w:rPr>
          <w:rFonts w:eastAsia="Calibri" w:cs="Times New Roman"/>
          <w:sz w:val="22"/>
        </w:rPr>
      </w:pPr>
      <w:r w:rsidRPr="006F6CD4">
        <w:rPr>
          <w:rFonts w:eastAsia="Calibri" w:cs="Times New Roman"/>
          <w:b/>
          <w:sz w:val="22"/>
        </w:rPr>
        <w:t xml:space="preserve">Figure </w:t>
      </w:r>
      <w:r w:rsidR="006F6CD4" w:rsidRPr="006F6CD4">
        <w:rPr>
          <w:rFonts w:eastAsia="Calibri" w:cs="Times New Roman"/>
          <w:b/>
          <w:sz w:val="22"/>
        </w:rPr>
        <w:t>S</w:t>
      </w:r>
      <w:r w:rsidRPr="006F6CD4">
        <w:rPr>
          <w:rFonts w:eastAsia="Calibri" w:cs="Times New Roman"/>
          <w:b/>
          <w:sz w:val="22"/>
        </w:rPr>
        <w:t xml:space="preserve">4. </w:t>
      </w:r>
      <w:r w:rsidRPr="006F6CD4">
        <w:rPr>
          <w:rFonts w:eastAsia="Calibri" w:cs="Times New Roman"/>
          <w:sz w:val="22"/>
        </w:rPr>
        <w:t>Funnel plot for in-hospital mortality</w:t>
      </w:r>
    </w:p>
    <w:p w14:paraId="33A335D1" w14:textId="77777777" w:rsidR="008306DB" w:rsidRPr="006F6CD4" w:rsidRDefault="006F6CD4" w:rsidP="006F6CD4">
      <w:pPr>
        <w:tabs>
          <w:tab w:val="left" w:pos="567"/>
        </w:tabs>
        <w:spacing w:after="0" w:line="480" w:lineRule="auto"/>
        <w:rPr>
          <w:rFonts w:eastAsia="Times New Roman" w:cs="Times New Roman"/>
          <w:sz w:val="22"/>
          <w:lang w:eastAsia="nl-NL"/>
        </w:rPr>
      </w:pPr>
      <w:r w:rsidRPr="006F6CD4">
        <w:rPr>
          <w:rFonts w:eastAsia="Times New Roman" w:cs="Times New Roman"/>
          <w:b/>
          <w:sz w:val="22"/>
          <w:lang w:eastAsia="nl-NL"/>
        </w:rPr>
        <w:t xml:space="preserve">Supplementary </w:t>
      </w:r>
      <w:r w:rsidR="008306DB" w:rsidRPr="006F6CD4">
        <w:rPr>
          <w:rFonts w:eastAsia="Times New Roman" w:cs="Times New Roman"/>
          <w:b/>
          <w:sz w:val="22"/>
          <w:lang w:eastAsia="nl-NL"/>
        </w:rPr>
        <w:t>Methods</w:t>
      </w:r>
      <w:r w:rsidR="008306DB" w:rsidRPr="006F6CD4">
        <w:rPr>
          <w:rFonts w:eastAsia="Times New Roman" w:cs="Times New Roman"/>
          <w:sz w:val="22"/>
          <w:lang w:eastAsia="nl-NL"/>
        </w:rPr>
        <w:tab/>
      </w:r>
    </w:p>
    <w:p w14:paraId="33A335D6" w14:textId="479F6904" w:rsidR="008306DB" w:rsidRPr="006F6CD4" w:rsidRDefault="006F6CD4" w:rsidP="008D40E5">
      <w:pPr>
        <w:tabs>
          <w:tab w:val="left" w:pos="567"/>
        </w:tabs>
        <w:spacing w:after="0" w:line="480" w:lineRule="auto"/>
        <w:rPr>
          <w:rFonts w:eastAsia="Times New Roman" w:cs="Times New Roman"/>
          <w:i/>
          <w:sz w:val="22"/>
          <w:lang w:eastAsia="nl-NL"/>
        </w:rPr>
      </w:pPr>
      <w:r w:rsidRPr="006F6CD4">
        <w:rPr>
          <w:rFonts w:eastAsia="Times New Roman" w:cs="Times New Roman"/>
          <w:b/>
          <w:sz w:val="22"/>
          <w:lang w:eastAsia="nl-NL"/>
        </w:rPr>
        <w:t xml:space="preserve">Supplementary </w:t>
      </w:r>
      <w:r w:rsidR="008306DB" w:rsidRPr="006F6CD4">
        <w:rPr>
          <w:rFonts w:eastAsia="Times New Roman" w:cs="Times New Roman"/>
          <w:b/>
          <w:sz w:val="22"/>
          <w:lang w:eastAsia="nl-NL"/>
        </w:rPr>
        <w:t>References</w:t>
      </w:r>
    </w:p>
    <w:p w14:paraId="33A335D7" w14:textId="77777777" w:rsidR="001C5052" w:rsidRPr="006F6CD4" w:rsidRDefault="008306DB" w:rsidP="006F6CD4">
      <w:pPr>
        <w:spacing w:line="480" w:lineRule="auto"/>
        <w:rPr>
          <w:rFonts w:eastAsia="Times New Roman" w:cs="Times New Roman"/>
          <w:i/>
          <w:sz w:val="22"/>
          <w:lang w:eastAsia="nl-NL"/>
        </w:rPr>
      </w:pPr>
      <w:r w:rsidRPr="006F6CD4">
        <w:rPr>
          <w:rFonts w:eastAsia="Times New Roman" w:cs="Times New Roman"/>
          <w:i/>
          <w:sz w:val="22"/>
          <w:lang w:eastAsia="nl-NL"/>
        </w:rPr>
        <w:br w:type="page"/>
      </w:r>
    </w:p>
    <w:p w14:paraId="33A335D8" w14:textId="77777777" w:rsidR="00156EDD" w:rsidRPr="006F6CD4" w:rsidRDefault="00156EDD" w:rsidP="006F6CD4">
      <w:pPr>
        <w:spacing w:after="0" w:line="480" w:lineRule="auto"/>
        <w:rPr>
          <w:rFonts w:ascii="Arial" w:hAnsi="Arial" w:cs="Arial"/>
          <w:b/>
          <w:sz w:val="22"/>
        </w:rPr>
      </w:pPr>
      <w:r w:rsidRPr="006F6CD4">
        <w:rPr>
          <w:rFonts w:ascii="Arial" w:hAnsi="Arial" w:cs="Arial"/>
          <w:b/>
          <w:sz w:val="22"/>
        </w:rPr>
        <w:lastRenderedPageBreak/>
        <w:t xml:space="preserve">Table </w:t>
      </w:r>
      <w:r w:rsidR="006F6CD4">
        <w:rPr>
          <w:rFonts w:ascii="Arial" w:hAnsi="Arial" w:cs="Arial"/>
          <w:b/>
          <w:sz w:val="22"/>
        </w:rPr>
        <w:t>S</w:t>
      </w:r>
      <w:r w:rsidRPr="006F6CD4">
        <w:rPr>
          <w:rFonts w:ascii="Arial" w:hAnsi="Arial" w:cs="Arial"/>
          <w:b/>
          <w:sz w:val="22"/>
        </w:rPr>
        <w:t xml:space="preserve">1: </w:t>
      </w:r>
      <w:bookmarkStart w:id="1" w:name="_Hlk91543423"/>
      <w:r w:rsidRPr="006F6CD4">
        <w:rPr>
          <w:rFonts w:ascii="Arial" w:hAnsi="Arial" w:cs="Arial"/>
          <w:b/>
          <w:sz w:val="22"/>
        </w:rPr>
        <w:t>Eligibility criteria for including studies in the review</w:t>
      </w:r>
      <w:r w:rsidR="00B15E72" w:rsidRPr="006F6CD4">
        <w:rPr>
          <w:rFonts w:ascii="Arial" w:hAnsi="Arial" w:cs="Arial"/>
          <w:b/>
          <w:sz w:val="22"/>
        </w:rPr>
        <w:t xml:space="preserve"> (PECOS)</w:t>
      </w:r>
      <w:bookmarkEnd w:id="1"/>
    </w:p>
    <w:tbl>
      <w:tblPr>
        <w:tblStyle w:val="TableGrid"/>
        <w:tblW w:w="0" w:type="auto"/>
        <w:tblLook w:val="04A0" w:firstRow="1" w:lastRow="0" w:firstColumn="1" w:lastColumn="0" w:noHBand="0" w:noVBand="1"/>
      </w:tblPr>
      <w:tblGrid>
        <w:gridCol w:w="2875"/>
        <w:gridCol w:w="7915"/>
      </w:tblGrid>
      <w:tr w:rsidR="00B15E72" w:rsidRPr="006F6CD4" w14:paraId="33A335DB" w14:textId="77777777" w:rsidTr="00B15E72">
        <w:tc>
          <w:tcPr>
            <w:tcW w:w="2875" w:type="dxa"/>
            <w:shd w:val="clear" w:color="auto" w:fill="D0CECE" w:themeFill="background2" w:themeFillShade="E6"/>
          </w:tcPr>
          <w:p w14:paraId="33A335D9" w14:textId="77777777" w:rsidR="00B15E72" w:rsidRPr="006F6CD4" w:rsidRDefault="00B15E72" w:rsidP="006F6CD4">
            <w:pPr>
              <w:spacing w:line="480" w:lineRule="auto"/>
              <w:rPr>
                <w:rFonts w:ascii="Arial" w:hAnsi="Arial" w:cs="Arial"/>
                <w:b/>
                <w:sz w:val="22"/>
              </w:rPr>
            </w:pPr>
            <w:r w:rsidRPr="006F6CD4">
              <w:rPr>
                <w:rFonts w:ascii="Arial" w:hAnsi="Arial" w:cs="Arial"/>
                <w:b/>
                <w:sz w:val="22"/>
              </w:rPr>
              <w:t>Category</w:t>
            </w:r>
          </w:p>
        </w:tc>
        <w:tc>
          <w:tcPr>
            <w:tcW w:w="7915" w:type="dxa"/>
            <w:shd w:val="clear" w:color="auto" w:fill="D0CECE" w:themeFill="background2" w:themeFillShade="E6"/>
          </w:tcPr>
          <w:p w14:paraId="33A335DA" w14:textId="77777777" w:rsidR="00B15E72" w:rsidRPr="006F6CD4" w:rsidRDefault="00B15E72" w:rsidP="006F6CD4">
            <w:pPr>
              <w:spacing w:line="480" w:lineRule="auto"/>
              <w:rPr>
                <w:rFonts w:ascii="Arial" w:hAnsi="Arial" w:cs="Arial"/>
                <w:b/>
                <w:sz w:val="22"/>
              </w:rPr>
            </w:pPr>
            <w:r w:rsidRPr="006F6CD4">
              <w:rPr>
                <w:rFonts w:ascii="Arial" w:hAnsi="Arial" w:cs="Arial"/>
                <w:b/>
                <w:sz w:val="22"/>
              </w:rPr>
              <w:t>Inclusion and exclusion criteria</w:t>
            </w:r>
          </w:p>
        </w:tc>
      </w:tr>
      <w:tr w:rsidR="00B15E72" w:rsidRPr="006F6CD4" w14:paraId="33A335DE" w14:textId="77777777" w:rsidTr="00B15E72">
        <w:tc>
          <w:tcPr>
            <w:tcW w:w="2875" w:type="dxa"/>
          </w:tcPr>
          <w:p w14:paraId="33A335DC" w14:textId="77777777" w:rsidR="00B15E72" w:rsidRPr="006F6CD4" w:rsidRDefault="00B15E72" w:rsidP="006F6CD4">
            <w:pPr>
              <w:spacing w:line="480" w:lineRule="auto"/>
              <w:rPr>
                <w:rFonts w:ascii="Arial" w:hAnsi="Arial" w:cs="Arial"/>
                <w:sz w:val="22"/>
              </w:rPr>
            </w:pPr>
            <w:r w:rsidRPr="006F6CD4">
              <w:rPr>
                <w:rFonts w:ascii="Arial" w:hAnsi="Arial" w:cs="Arial"/>
                <w:sz w:val="22"/>
              </w:rPr>
              <w:t>Participants/population (P)</w:t>
            </w:r>
          </w:p>
        </w:tc>
        <w:tc>
          <w:tcPr>
            <w:tcW w:w="7915" w:type="dxa"/>
          </w:tcPr>
          <w:p w14:paraId="33A335DD" w14:textId="77777777" w:rsidR="00B15E72" w:rsidRPr="006F6CD4" w:rsidRDefault="00B15E72" w:rsidP="006F6CD4">
            <w:pPr>
              <w:shd w:val="clear" w:color="auto" w:fill="FFFFFF"/>
              <w:spacing w:line="480" w:lineRule="auto"/>
              <w:rPr>
                <w:rFonts w:ascii="Arial" w:eastAsia="Times New Roman" w:hAnsi="Arial" w:cs="Arial"/>
                <w:color w:val="333333"/>
                <w:sz w:val="22"/>
                <w:lang w:eastAsia="en-GB"/>
              </w:rPr>
            </w:pPr>
            <w:r w:rsidRPr="006F6CD4">
              <w:rPr>
                <w:rFonts w:ascii="Arial" w:eastAsia="Times New Roman" w:hAnsi="Arial" w:cs="Arial"/>
                <w:color w:val="333333"/>
                <w:sz w:val="22"/>
                <w:lang w:eastAsia="en-GB"/>
              </w:rPr>
              <w:t>Patients with primarily out-of-hospital STEMI and a concomitant diagnosis of COVID-19 without any restriction of gender, race or setting will be included. Studies comparing pre-pandemic population</w:t>
            </w:r>
            <w:r w:rsidR="008F4D66" w:rsidRPr="006F6CD4">
              <w:rPr>
                <w:rFonts w:ascii="Arial" w:eastAsia="Times New Roman" w:hAnsi="Arial" w:cs="Arial"/>
                <w:color w:val="333333"/>
                <w:sz w:val="22"/>
                <w:lang w:eastAsia="en-GB"/>
              </w:rPr>
              <w:t>s</w:t>
            </w:r>
            <w:r w:rsidRPr="006F6CD4">
              <w:rPr>
                <w:rFonts w:ascii="Arial" w:eastAsia="Times New Roman" w:hAnsi="Arial" w:cs="Arial"/>
                <w:color w:val="333333"/>
                <w:sz w:val="22"/>
                <w:lang w:eastAsia="en-GB"/>
              </w:rPr>
              <w:t xml:space="preserve"> with pandemic population</w:t>
            </w:r>
            <w:r w:rsidR="008F4D66" w:rsidRPr="006F6CD4">
              <w:rPr>
                <w:rFonts w:ascii="Arial" w:eastAsia="Times New Roman" w:hAnsi="Arial" w:cs="Arial"/>
                <w:color w:val="333333"/>
                <w:sz w:val="22"/>
                <w:lang w:eastAsia="en-GB"/>
              </w:rPr>
              <w:t>s</w:t>
            </w:r>
            <w:r w:rsidRPr="006F6CD4">
              <w:rPr>
                <w:rFonts w:ascii="Arial" w:eastAsia="Times New Roman" w:hAnsi="Arial" w:cs="Arial"/>
                <w:color w:val="333333"/>
                <w:sz w:val="22"/>
                <w:lang w:eastAsia="en-GB"/>
              </w:rPr>
              <w:t xml:space="preserve"> will be excluded.</w:t>
            </w:r>
          </w:p>
        </w:tc>
      </w:tr>
      <w:tr w:rsidR="00B15E72" w:rsidRPr="006F6CD4" w14:paraId="33A335E1" w14:textId="77777777" w:rsidTr="00B15E72">
        <w:tc>
          <w:tcPr>
            <w:tcW w:w="2875" w:type="dxa"/>
          </w:tcPr>
          <w:p w14:paraId="33A335DF" w14:textId="77777777" w:rsidR="00B15E72" w:rsidRPr="006F6CD4" w:rsidRDefault="00B15E72" w:rsidP="006F6CD4">
            <w:pPr>
              <w:spacing w:line="480" w:lineRule="auto"/>
              <w:rPr>
                <w:rFonts w:ascii="Arial" w:hAnsi="Arial" w:cs="Arial"/>
                <w:sz w:val="22"/>
              </w:rPr>
            </w:pPr>
            <w:r w:rsidRPr="006F6CD4">
              <w:rPr>
                <w:rFonts w:ascii="Arial" w:hAnsi="Arial" w:cs="Arial"/>
                <w:sz w:val="22"/>
              </w:rPr>
              <w:t>Exposure (E)</w:t>
            </w:r>
          </w:p>
        </w:tc>
        <w:tc>
          <w:tcPr>
            <w:tcW w:w="7915" w:type="dxa"/>
          </w:tcPr>
          <w:p w14:paraId="33A335E0" w14:textId="77777777" w:rsidR="00B15E72" w:rsidRPr="006F6CD4" w:rsidRDefault="00B15E72" w:rsidP="006F6CD4">
            <w:pPr>
              <w:shd w:val="clear" w:color="auto" w:fill="FFFFFF"/>
              <w:spacing w:line="480" w:lineRule="auto"/>
              <w:rPr>
                <w:rFonts w:ascii="Arial" w:eastAsia="Times New Roman" w:hAnsi="Arial" w:cs="Arial"/>
                <w:color w:val="333333"/>
                <w:sz w:val="22"/>
                <w:lang w:eastAsia="en-GB"/>
              </w:rPr>
            </w:pPr>
            <w:r w:rsidRPr="006F6CD4">
              <w:rPr>
                <w:rFonts w:ascii="Arial" w:eastAsia="Times New Roman" w:hAnsi="Arial" w:cs="Arial"/>
                <w:color w:val="333333"/>
                <w:sz w:val="22"/>
                <w:lang w:eastAsia="en-GB"/>
              </w:rPr>
              <w:t>Patients with active COVID-19 infection will be included.</w:t>
            </w:r>
          </w:p>
        </w:tc>
      </w:tr>
      <w:tr w:rsidR="00B15E72" w:rsidRPr="006F6CD4" w14:paraId="33A335E4" w14:textId="77777777" w:rsidTr="00B15E72">
        <w:tc>
          <w:tcPr>
            <w:tcW w:w="2875" w:type="dxa"/>
          </w:tcPr>
          <w:p w14:paraId="33A335E2" w14:textId="77777777" w:rsidR="00B15E72" w:rsidRPr="006F6CD4" w:rsidRDefault="00B15E72" w:rsidP="006F6CD4">
            <w:pPr>
              <w:spacing w:line="480" w:lineRule="auto"/>
              <w:rPr>
                <w:rFonts w:ascii="Arial" w:hAnsi="Arial" w:cs="Arial"/>
                <w:sz w:val="22"/>
              </w:rPr>
            </w:pPr>
            <w:r w:rsidRPr="006F6CD4">
              <w:rPr>
                <w:rFonts w:ascii="Arial" w:hAnsi="Arial" w:cs="Arial"/>
                <w:sz w:val="22"/>
              </w:rPr>
              <w:t>Comparator (C)</w:t>
            </w:r>
          </w:p>
        </w:tc>
        <w:tc>
          <w:tcPr>
            <w:tcW w:w="7915" w:type="dxa"/>
          </w:tcPr>
          <w:p w14:paraId="33A335E3" w14:textId="77777777" w:rsidR="00B15E72" w:rsidRPr="006F6CD4" w:rsidRDefault="00B15E72" w:rsidP="006F6CD4">
            <w:pPr>
              <w:shd w:val="clear" w:color="auto" w:fill="FFFFFF"/>
              <w:spacing w:line="480" w:lineRule="auto"/>
              <w:rPr>
                <w:rFonts w:ascii="Arial" w:eastAsia="Times New Roman" w:hAnsi="Arial" w:cs="Arial"/>
                <w:color w:val="333333"/>
                <w:sz w:val="22"/>
                <w:lang w:eastAsia="en-GB"/>
              </w:rPr>
            </w:pPr>
            <w:r w:rsidRPr="006F6CD4">
              <w:rPr>
                <w:rFonts w:ascii="Arial" w:eastAsia="Times New Roman" w:hAnsi="Arial" w:cs="Arial"/>
                <w:color w:val="333333"/>
                <w:sz w:val="22"/>
                <w:lang w:eastAsia="en-GB"/>
              </w:rPr>
              <w:t xml:space="preserve">Patients with STEMI and no active COVID-19 infection will be considered eligible. </w:t>
            </w:r>
            <w:r w:rsidR="008F4D66" w:rsidRPr="006F6CD4">
              <w:rPr>
                <w:rFonts w:ascii="Arial" w:eastAsia="Times New Roman" w:hAnsi="Arial" w:cs="Arial"/>
                <w:color w:val="333333"/>
                <w:sz w:val="22"/>
                <w:lang w:eastAsia="en-GB"/>
              </w:rPr>
              <w:t>The c</w:t>
            </w:r>
            <w:r w:rsidRPr="006F6CD4">
              <w:rPr>
                <w:rFonts w:ascii="Arial" w:eastAsia="Times New Roman" w:hAnsi="Arial" w:cs="Arial"/>
                <w:color w:val="333333"/>
                <w:sz w:val="22"/>
                <w:lang w:eastAsia="en-GB"/>
              </w:rPr>
              <w:t>omparator period may be concurrent or historical.</w:t>
            </w:r>
          </w:p>
        </w:tc>
      </w:tr>
      <w:tr w:rsidR="00B15E72" w:rsidRPr="006F6CD4" w14:paraId="33A335E7" w14:textId="77777777" w:rsidTr="00B15E72">
        <w:tc>
          <w:tcPr>
            <w:tcW w:w="2875" w:type="dxa"/>
          </w:tcPr>
          <w:p w14:paraId="33A335E5" w14:textId="77777777" w:rsidR="00B15E72" w:rsidRPr="006F6CD4" w:rsidRDefault="00B15E72" w:rsidP="006F6CD4">
            <w:pPr>
              <w:spacing w:line="480" w:lineRule="auto"/>
              <w:rPr>
                <w:rFonts w:ascii="Arial" w:hAnsi="Arial" w:cs="Arial"/>
                <w:sz w:val="22"/>
              </w:rPr>
            </w:pPr>
            <w:r w:rsidRPr="006F6CD4">
              <w:rPr>
                <w:rFonts w:ascii="Arial" w:hAnsi="Arial" w:cs="Arial"/>
                <w:sz w:val="22"/>
              </w:rPr>
              <w:t>Outcome (O)</w:t>
            </w:r>
          </w:p>
        </w:tc>
        <w:tc>
          <w:tcPr>
            <w:tcW w:w="7915" w:type="dxa"/>
          </w:tcPr>
          <w:p w14:paraId="33A335E6" w14:textId="77777777" w:rsidR="00B15E72" w:rsidRPr="006F6CD4" w:rsidRDefault="00B15E72" w:rsidP="006F6CD4">
            <w:pPr>
              <w:shd w:val="clear" w:color="auto" w:fill="FFFFFF"/>
              <w:spacing w:line="480" w:lineRule="auto"/>
              <w:rPr>
                <w:rFonts w:ascii="Arial" w:eastAsia="Times New Roman" w:hAnsi="Arial" w:cs="Arial"/>
                <w:color w:val="333333"/>
                <w:sz w:val="22"/>
                <w:lang w:eastAsia="en-GB"/>
              </w:rPr>
            </w:pPr>
            <w:r w:rsidRPr="006F6CD4">
              <w:rPr>
                <w:rFonts w:ascii="Arial" w:eastAsia="Times New Roman" w:hAnsi="Arial" w:cs="Arial"/>
                <w:color w:val="333333"/>
                <w:sz w:val="22"/>
                <w:lang w:eastAsia="en-GB"/>
              </w:rPr>
              <w:t>Only studies evaluating all-cause in-hospital mortality will be considered eligible.</w:t>
            </w:r>
          </w:p>
        </w:tc>
      </w:tr>
      <w:tr w:rsidR="00B15E72" w:rsidRPr="006F6CD4" w14:paraId="33A335EA" w14:textId="77777777" w:rsidTr="00B15E72">
        <w:tc>
          <w:tcPr>
            <w:tcW w:w="2875" w:type="dxa"/>
          </w:tcPr>
          <w:p w14:paraId="33A335E8" w14:textId="77777777" w:rsidR="00B15E72" w:rsidRPr="006F6CD4" w:rsidRDefault="00B15E72" w:rsidP="006F6CD4">
            <w:pPr>
              <w:spacing w:line="480" w:lineRule="auto"/>
              <w:rPr>
                <w:rFonts w:ascii="Arial" w:hAnsi="Arial" w:cs="Arial"/>
                <w:sz w:val="22"/>
              </w:rPr>
            </w:pPr>
            <w:r w:rsidRPr="006F6CD4">
              <w:rPr>
                <w:rFonts w:ascii="Arial" w:hAnsi="Arial" w:cs="Arial"/>
                <w:sz w:val="22"/>
              </w:rPr>
              <w:t>Studies (S)</w:t>
            </w:r>
          </w:p>
        </w:tc>
        <w:tc>
          <w:tcPr>
            <w:tcW w:w="7915" w:type="dxa"/>
          </w:tcPr>
          <w:p w14:paraId="33A335E9" w14:textId="77777777" w:rsidR="00B15E72" w:rsidRPr="006F6CD4" w:rsidRDefault="00B15E72" w:rsidP="006F6CD4">
            <w:pPr>
              <w:shd w:val="clear" w:color="auto" w:fill="FFFFFF"/>
              <w:spacing w:line="480" w:lineRule="auto"/>
              <w:rPr>
                <w:rFonts w:ascii="Arial" w:eastAsia="Times New Roman" w:hAnsi="Arial" w:cs="Arial"/>
                <w:color w:val="333333"/>
                <w:sz w:val="22"/>
                <w:lang w:eastAsia="en-GB"/>
              </w:rPr>
            </w:pPr>
            <w:r w:rsidRPr="006F6CD4">
              <w:rPr>
                <w:rFonts w:ascii="Arial" w:eastAsia="Times New Roman" w:hAnsi="Arial" w:cs="Arial"/>
                <w:color w:val="333333"/>
                <w:sz w:val="22"/>
                <w:lang w:eastAsia="en-GB"/>
              </w:rPr>
              <w:t>All types of comparative observational studies will be included. Non-comparative studies (e.g., case reports, case series) will be excluded.</w:t>
            </w:r>
          </w:p>
        </w:tc>
      </w:tr>
    </w:tbl>
    <w:p w14:paraId="33A335EB" w14:textId="77777777" w:rsidR="00156EDD" w:rsidRPr="006F6CD4" w:rsidRDefault="00156EDD" w:rsidP="006F6CD4">
      <w:pPr>
        <w:spacing w:line="480" w:lineRule="auto"/>
        <w:rPr>
          <w:rFonts w:cs="Times New Roman"/>
          <w:b/>
          <w:sz w:val="22"/>
        </w:rPr>
      </w:pPr>
      <w:r w:rsidRPr="006F6CD4">
        <w:rPr>
          <w:rFonts w:cs="Times New Roman"/>
          <w:b/>
          <w:sz w:val="22"/>
        </w:rPr>
        <w:br w:type="page"/>
      </w:r>
    </w:p>
    <w:p w14:paraId="33A335EC" w14:textId="77777777" w:rsidR="002577BD" w:rsidRPr="006F6CD4" w:rsidRDefault="00ED3681" w:rsidP="006F6CD4">
      <w:pPr>
        <w:spacing w:after="0" w:line="480" w:lineRule="auto"/>
        <w:rPr>
          <w:rFonts w:ascii="Arial" w:hAnsi="Arial" w:cs="Arial"/>
          <w:b/>
          <w:sz w:val="22"/>
        </w:rPr>
      </w:pPr>
      <w:r w:rsidRPr="006F6CD4">
        <w:rPr>
          <w:rFonts w:ascii="Arial" w:hAnsi="Arial" w:cs="Arial"/>
          <w:b/>
          <w:sz w:val="22"/>
        </w:rPr>
        <w:lastRenderedPageBreak/>
        <w:t xml:space="preserve">Table </w:t>
      </w:r>
      <w:r w:rsidR="006F6CD4">
        <w:rPr>
          <w:rFonts w:ascii="Arial" w:hAnsi="Arial" w:cs="Arial"/>
          <w:b/>
          <w:sz w:val="22"/>
        </w:rPr>
        <w:t>S</w:t>
      </w:r>
      <w:r w:rsidRPr="006F6CD4">
        <w:rPr>
          <w:rFonts w:ascii="Arial" w:hAnsi="Arial" w:cs="Arial"/>
          <w:b/>
          <w:sz w:val="22"/>
        </w:rPr>
        <w:t>2: Search strategy for Medline (PubMed) which was adapted accordingly for Embase (Ovid)</w:t>
      </w:r>
    </w:p>
    <w:tbl>
      <w:tblPr>
        <w:tblStyle w:val="PlainTable2"/>
        <w:tblW w:w="0" w:type="auto"/>
        <w:tblLook w:val="04A0" w:firstRow="1" w:lastRow="0" w:firstColumn="1" w:lastColumn="0" w:noHBand="0" w:noVBand="1"/>
      </w:tblPr>
      <w:tblGrid>
        <w:gridCol w:w="1620"/>
        <w:gridCol w:w="7730"/>
      </w:tblGrid>
      <w:tr w:rsidR="00C32D9C" w:rsidRPr="006F6CD4" w14:paraId="33A335EF" w14:textId="77777777" w:rsidTr="00C32D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0" w:type="dxa"/>
            <w:tcBorders>
              <w:bottom w:val="single" w:sz="4" w:space="0" w:color="auto"/>
            </w:tcBorders>
          </w:tcPr>
          <w:p w14:paraId="33A335ED" w14:textId="77777777" w:rsidR="00C32D9C" w:rsidRPr="006F6CD4" w:rsidRDefault="00C32D9C" w:rsidP="006F6CD4">
            <w:pPr>
              <w:spacing w:line="480" w:lineRule="auto"/>
              <w:rPr>
                <w:rFonts w:ascii="Arial" w:hAnsi="Arial" w:cs="Arial"/>
                <w:sz w:val="22"/>
              </w:rPr>
            </w:pPr>
            <w:r w:rsidRPr="006F6CD4">
              <w:rPr>
                <w:rFonts w:ascii="Arial" w:hAnsi="Arial" w:cs="Arial"/>
                <w:sz w:val="22"/>
              </w:rPr>
              <w:t>Number</w:t>
            </w:r>
          </w:p>
        </w:tc>
        <w:tc>
          <w:tcPr>
            <w:tcW w:w="7730" w:type="dxa"/>
            <w:tcBorders>
              <w:bottom w:val="single" w:sz="4" w:space="0" w:color="auto"/>
            </w:tcBorders>
          </w:tcPr>
          <w:p w14:paraId="33A335EE" w14:textId="77777777" w:rsidR="00C32D9C" w:rsidRPr="006F6CD4" w:rsidRDefault="00C32D9C" w:rsidP="006F6CD4">
            <w:pPr>
              <w:spacing w:line="480" w:lineRule="auto"/>
              <w:cnfStyle w:val="100000000000" w:firstRow="1" w:lastRow="0" w:firstColumn="0" w:lastColumn="0" w:oddVBand="0" w:evenVBand="0" w:oddHBand="0" w:evenHBand="0" w:firstRowFirstColumn="0" w:firstRowLastColumn="0" w:lastRowFirstColumn="0" w:lastRowLastColumn="0"/>
              <w:rPr>
                <w:rFonts w:ascii="Arial" w:hAnsi="Arial" w:cs="Arial"/>
                <w:sz w:val="22"/>
              </w:rPr>
            </w:pPr>
            <w:r w:rsidRPr="006F6CD4">
              <w:rPr>
                <w:rFonts w:ascii="Arial" w:hAnsi="Arial" w:cs="Arial"/>
                <w:sz w:val="22"/>
              </w:rPr>
              <w:t>Search terms</w:t>
            </w:r>
          </w:p>
        </w:tc>
      </w:tr>
      <w:tr w:rsidR="00C32D9C" w:rsidRPr="006F6CD4" w14:paraId="33A335F2" w14:textId="77777777" w:rsidTr="00C32D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0" w:type="dxa"/>
            <w:tcBorders>
              <w:top w:val="single" w:sz="4" w:space="0" w:color="auto"/>
            </w:tcBorders>
          </w:tcPr>
          <w:p w14:paraId="33A335F0" w14:textId="77777777" w:rsidR="00C32D9C" w:rsidRPr="006F6CD4" w:rsidRDefault="00C32D9C" w:rsidP="006F6CD4">
            <w:pPr>
              <w:spacing w:line="480" w:lineRule="auto"/>
              <w:rPr>
                <w:rFonts w:ascii="Arial" w:hAnsi="Arial" w:cs="Arial"/>
                <w:b w:val="0"/>
                <w:sz w:val="22"/>
              </w:rPr>
            </w:pPr>
            <w:r w:rsidRPr="006F6CD4">
              <w:rPr>
                <w:rFonts w:ascii="Arial" w:hAnsi="Arial" w:cs="Arial"/>
                <w:b w:val="0"/>
                <w:sz w:val="22"/>
              </w:rPr>
              <w:t>#1</w:t>
            </w:r>
          </w:p>
        </w:tc>
        <w:tc>
          <w:tcPr>
            <w:tcW w:w="7730" w:type="dxa"/>
            <w:tcBorders>
              <w:top w:val="single" w:sz="4" w:space="0" w:color="auto"/>
            </w:tcBorders>
          </w:tcPr>
          <w:p w14:paraId="33A335F1" w14:textId="77777777" w:rsidR="00C32D9C" w:rsidRPr="006F6CD4" w:rsidRDefault="00C32D9C" w:rsidP="006F6CD4">
            <w:pPr>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sz w:val="22"/>
              </w:rPr>
            </w:pPr>
            <w:r w:rsidRPr="006F6CD4">
              <w:rPr>
                <w:rFonts w:ascii="Arial" w:hAnsi="Arial" w:cs="Arial"/>
                <w:sz w:val="22"/>
              </w:rPr>
              <w:t>("COVID-19" OR "COVID-19"[</w:t>
            </w:r>
            <w:proofErr w:type="spellStart"/>
            <w:r w:rsidRPr="006F6CD4">
              <w:rPr>
                <w:rFonts w:ascii="Arial" w:hAnsi="Arial" w:cs="Arial"/>
                <w:sz w:val="22"/>
              </w:rPr>
              <w:t>MeSH</w:t>
            </w:r>
            <w:proofErr w:type="spellEnd"/>
            <w:r w:rsidRPr="006F6CD4">
              <w:rPr>
                <w:rFonts w:ascii="Arial" w:hAnsi="Arial" w:cs="Arial"/>
                <w:sz w:val="22"/>
              </w:rPr>
              <w:t xml:space="preserve"> Terms] OR "SARS-CoV-2" OR "sars-cov-2"[</w:t>
            </w:r>
            <w:proofErr w:type="spellStart"/>
            <w:r w:rsidRPr="006F6CD4">
              <w:rPr>
                <w:rFonts w:ascii="Arial" w:hAnsi="Arial" w:cs="Arial"/>
                <w:sz w:val="22"/>
              </w:rPr>
              <w:t>MeSH</w:t>
            </w:r>
            <w:proofErr w:type="spellEnd"/>
            <w:r w:rsidRPr="006F6CD4">
              <w:rPr>
                <w:rFonts w:ascii="Arial" w:hAnsi="Arial" w:cs="Arial"/>
                <w:sz w:val="22"/>
              </w:rPr>
              <w:t xml:space="preserve"> Terms] OR "Severe Acute Respiratory Syndrome Coronavirus 2" OR "NCOV" OR "2019 NCOV" OR (("coronavirus"[</w:t>
            </w:r>
            <w:proofErr w:type="spellStart"/>
            <w:r w:rsidRPr="006F6CD4">
              <w:rPr>
                <w:rFonts w:ascii="Arial" w:hAnsi="Arial" w:cs="Arial"/>
                <w:sz w:val="22"/>
              </w:rPr>
              <w:t>MeSH</w:t>
            </w:r>
            <w:proofErr w:type="spellEnd"/>
            <w:r w:rsidRPr="006F6CD4">
              <w:rPr>
                <w:rFonts w:ascii="Arial" w:hAnsi="Arial" w:cs="Arial"/>
                <w:sz w:val="22"/>
              </w:rPr>
              <w:t xml:space="preserve"> Terms] OR "coronavirus" OR "COV") AND 2019/11/01[PDAT</w:t>
            </w:r>
            <w:proofErr w:type="gramStart"/>
            <w:r w:rsidRPr="006F6CD4">
              <w:rPr>
                <w:rFonts w:ascii="Arial" w:hAnsi="Arial" w:cs="Arial"/>
                <w:sz w:val="22"/>
              </w:rPr>
              <w:t>] :</w:t>
            </w:r>
            <w:proofErr w:type="gramEnd"/>
            <w:r w:rsidRPr="006F6CD4">
              <w:rPr>
                <w:rFonts w:ascii="Arial" w:hAnsi="Arial" w:cs="Arial"/>
                <w:sz w:val="22"/>
              </w:rPr>
              <w:t xml:space="preserve"> 3000/12/31[PDAT]))</w:t>
            </w:r>
          </w:p>
        </w:tc>
      </w:tr>
      <w:tr w:rsidR="00C32D9C" w:rsidRPr="006F6CD4" w14:paraId="33A335F5" w14:textId="77777777" w:rsidTr="00C32D9C">
        <w:tc>
          <w:tcPr>
            <w:cnfStyle w:val="001000000000" w:firstRow="0" w:lastRow="0" w:firstColumn="1" w:lastColumn="0" w:oddVBand="0" w:evenVBand="0" w:oddHBand="0" w:evenHBand="0" w:firstRowFirstColumn="0" w:firstRowLastColumn="0" w:lastRowFirstColumn="0" w:lastRowLastColumn="0"/>
            <w:tcW w:w="1620" w:type="dxa"/>
          </w:tcPr>
          <w:p w14:paraId="33A335F3" w14:textId="77777777" w:rsidR="00C32D9C" w:rsidRPr="006F6CD4" w:rsidRDefault="00C32D9C" w:rsidP="006F6CD4">
            <w:pPr>
              <w:spacing w:line="480" w:lineRule="auto"/>
              <w:rPr>
                <w:rFonts w:ascii="Arial" w:hAnsi="Arial" w:cs="Arial"/>
                <w:b w:val="0"/>
                <w:sz w:val="22"/>
              </w:rPr>
            </w:pPr>
            <w:r w:rsidRPr="006F6CD4">
              <w:rPr>
                <w:rFonts w:ascii="Arial" w:hAnsi="Arial" w:cs="Arial"/>
                <w:b w:val="0"/>
                <w:sz w:val="22"/>
              </w:rPr>
              <w:t>#2</w:t>
            </w:r>
          </w:p>
        </w:tc>
        <w:tc>
          <w:tcPr>
            <w:tcW w:w="7730" w:type="dxa"/>
          </w:tcPr>
          <w:p w14:paraId="33A335F4" w14:textId="77777777" w:rsidR="00C32D9C" w:rsidRPr="006F6CD4" w:rsidRDefault="00C32D9C" w:rsidP="006F6CD4">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sz w:val="22"/>
              </w:rPr>
            </w:pPr>
            <w:r w:rsidRPr="006F6CD4">
              <w:rPr>
                <w:rFonts w:ascii="Arial" w:eastAsia="Times New Roman" w:hAnsi="Arial" w:cs="Arial"/>
                <w:color w:val="212121"/>
                <w:sz w:val="22"/>
                <w:lang w:eastAsia="en-GB"/>
              </w:rPr>
              <w:t>"</w:t>
            </w:r>
            <w:proofErr w:type="spellStart"/>
            <w:r w:rsidRPr="006F6CD4">
              <w:rPr>
                <w:rFonts w:ascii="Arial" w:eastAsia="Times New Roman" w:hAnsi="Arial" w:cs="Arial"/>
                <w:color w:val="212121"/>
                <w:sz w:val="22"/>
                <w:lang w:eastAsia="en-GB"/>
              </w:rPr>
              <w:t>st</w:t>
            </w:r>
            <w:proofErr w:type="spellEnd"/>
            <w:r w:rsidRPr="006F6CD4">
              <w:rPr>
                <w:rFonts w:ascii="Arial" w:eastAsia="Times New Roman" w:hAnsi="Arial" w:cs="Arial"/>
                <w:color w:val="212121"/>
                <w:sz w:val="22"/>
                <w:lang w:eastAsia="en-GB"/>
              </w:rPr>
              <w:t xml:space="preserve"> elevation myocardial infarction"[</w:t>
            </w:r>
            <w:proofErr w:type="spellStart"/>
            <w:r w:rsidRPr="006F6CD4">
              <w:rPr>
                <w:rFonts w:ascii="Arial" w:eastAsia="Times New Roman" w:hAnsi="Arial" w:cs="Arial"/>
                <w:color w:val="212121"/>
                <w:sz w:val="22"/>
                <w:lang w:eastAsia="en-GB"/>
              </w:rPr>
              <w:t>MeSH</w:t>
            </w:r>
            <w:proofErr w:type="spellEnd"/>
            <w:r w:rsidRPr="006F6CD4">
              <w:rPr>
                <w:rFonts w:ascii="Arial" w:eastAsia="Times New Roman" w:hAnsi="Arial" w:cs="Arial"/>
                <w:color w:val="212121"/>
                <w:sz w:val="22"/>
                <w:lang w:eastAsia="en-GB"/>
              </w:rPr>
              <w:t xml:space="preserve"> Terms] OR ("</w:t>
            </w:r>
            <w:proofErr w:type="spellStart"/>
            <w:r w:rsidRPr="006F6CD4">
              <w:rPr>
                <w:rFonts w:ascii="Arial" w:eastAsia="Times New Roman" w:hAnsi="Arial" w:cs="Arial"/>
                <w:color w:val="212121"/>
                <w:sz w:val="22"/>
                <w:lang w:eastAsia="en-GB"/>
              </w:rPr>
              <w:t>st</w:t>
            </w:r>
            <w:proofErr w:type="spellEnd"/>
            <w:r w:rsidRPr="006F6CD4">
              <w:rPr>
                <w:rFonts w:ascii="Arial" w:eastAsia="Times New Roman" w:hAnsi="Arial" w:cs="Arial"/>
                <w:color w:val="212121"/>
                <w:sz w:val="22"/>
                <w:lang w:eastAsia="en-GB"/>
              </w:rPr>
              <w:t>"[All Fields] AND "elevation"[All Fields] AND "myocardial"[All Fields] AND "infarction"[All Fields]) OR "</w:t>
            </w:r>
            <w:proofErr w:type="spellStart"/>
            <w:r w:rsidRPr="006F6CD4">
              <w:rPr>
                <w:rFonts w:ascii="Arial" w:eastAsia="Times New Roman" w:hAnsi="Arial" w:cs="Arial"/>
                <w:color w:val="212121"/>
                <w:sz w:val="22"/>
                <w:lang w:eastAsia="en-GB"/>
              </w:rPr>
              <w:t>st</w:t>
            </w:r>
            <w:proofErr w:type="spellEnd"/>
            <w:r w:rsidRPr="006F6CD4">
              <w:rPr>
                <w:rFonts w:ascii="Arial" w:eastAsia="Times New Roman" w:hAnsi="Arial" w:cs="Arial"/>
                <w:color w:val="212121"/>
                <w:sz w:val="22"/>
                <w:lang w:eastAsia="en-GB"/>
              </w:rPr>
              <w:t xml:space="preserve"> elevation myocardial infarction"[All Fields] OR "</w:t>
            </w:r>
            <w:proofErr w:type="spellStart"/>
            <w:r w:rsidRPr="006F6CD4">
              <w:rPr>
                <w:rFonts w:ascii="Arial" w:eastAsia="Times New Roman" w:hAnsi="Arial" w:cs="Arial"/>
                <w:color w:val="212121"/>
                <w:sz w:val="22"/>
                <w:lang w:eastAsia="en-GB"/>
              </w:rPr>
              <w:t>stemi</w:t>
            </w:r>
            <w:proofErr w:type="spellEnd"/>
            <w:r w:rsidRPr="006F6CD4">
              <w:rPr>
                <w:rFonts w:ascii="Arial" w:eastAsia="Times New Roman" w:hAnsi="Arial" w:cs="Arial"/>
                <w:color w:val="212121"/>
                <w:sz w:val="22"/>
                <w:lang w:eastAsia="en-GB"/>
              </w:rPr>
              <w:t>"[All Fields]</w:t>
            </w:r>
          </w:p>
        </w:tc>
      </w:tr>
      <w:tr w:rsidR="00C32D9C" w:rsidRPr="006F6CD4" w14:paraId="33A335F8" w14:textId="77777777" w:rsidTr="00C32D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0" w:type="dxa"/>
          </w:tcPr>
          <w:p w14:paraId="33A335F6" w14:textId="77777777" w:rsidR="00C32D9C" w:rsidRPr="006F6CD4" w:rsidRDefault="00C32D9C" w:rsidP="006F6CD4">
            <w:pPr>
              <w:spacing w:line="480" w:lineRule="auto"/>
              <w:rPr>
                <w:rFonts w:ascii="Arial" w:hAnsi="Arial" w:cs="Arial"/>
                <w:b w:val="0"/>
                <w:sz w:val="22"/>
              </w:rPr>
            </w:pPr>
            <w:r w:rsidRPr="006F6CD4">
              <w:rPr>
                <w:rFonts w:ascii="Arial" w:hAnsi="Arial" w:cs="Arial"/>
                <w:b w:val="0"/>
                <w:sz w:val="22"/>
              </w:rPr>
              <w:t>#3</w:t>
            </w:r>
          </w:p>
        </w:tc>
        <w:tc>
          <w:tcPr>
            <w:tcW w:w="7730" w:type="dxa"/>
          </w:tcPr>
          <w:p w14:paraId="33A335F7" w14:textId="77777777" w:rsidR="00C32D9C" w:rsidRPr="006F6CD4" w:rsidRDefault="00C32D9C" w:rsidP="006F6CD4">
            <w:pPr>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sz w:val="22"/>
              </w:rPr>
            </w:pPr>
            <w:r w:rsidRPr="006F6CD4">
              <w:rPr>
                <w:rFonts w:ascii="Arial" w:eastAsia="Times New Roman" w:hAnsi="Arial" w:cs="Arial"/>
                <w:color w:val="212121"/>
                <w:sz w:val="22"/>
                <w:lang w:eastAsia="en-GB"/>
              </w:rPr>
              <w:t>"mortality"[</w:t>
            </w:r>
            <w:proofErr w:type="spellStart"/>
            <w:r w:rsidRPr="006F6CD4">
              <w:rPr>
                <w:rFonts w:ascii="Arial" w:eastAsia="Times New Roman" w:hAnsi="Arial" w:cs="Arial"/>
                <w:color w:val="212121"/>
                <w:sz w:val="22"/>
                <w:lang w:eastAsia="en-GB"/>
              </w:rPr>
              <w:t>MeSH</w:t>
            </w:r>
            <w:proofErr w:type="spellEnd"/>
            <w:r w:rsidRPr="006F6CD4">
              <w:rPr>
                <w:rFonts w:ascii="Arial" w:eastAsia="Times New Roman" w:hAnsi="Arial" w:cs="Arial"/>
                <w:color w:val="212121"/>
                <w:sz w:val="22"/>
                <w:lang w:eastAsia="en-GB"/>
              </w:rPr>
              <w:t xml:space="preserve"> Terms] OR "mortality"[All Fields] OR "mortalities"[All Fields] OR "mortality"[Subheading]</w:t>
            </w:r>
          </w:p>
        </w:tc>
      </w:tr>
      <w:tr w:rsidR="00C32D9C" w:rsidRPr="006F6CD4" w14:paraId="33A335FB" w14:textId="77777777" w:rsidTr="00C32D9C">
        <w:tblPrEx>
          <w:tblBorders>
            <w:top w:val="none" w:sz="0" w:space="0" w:color="auto"/>
            <w:bottom w:val="none" w:sz="0" w:space="0" w:color="auto"/>
          </w:tblBorders>
        </w:tblPrEx>
        <w:tc>
          <w:tcPr>
            <w:cnfStyle w:val="001000000000" w:firstRow="0" w:lastRow="0" w:firstColumn="1" w:lastColumn="0" w:oddVBand="0" w:evenVBand="0" w:oddHBand="0" w:evenHBand="0" w:firstRowFirstColumn="0" w:firstRowLastColumn="0" w:lastRowFirstColumn="0" w:lastRowLastColumn="0"/>
            <w:tcW w:w="1620" w:type="dxa"/>
          </w:tcPr>
          <w:p w14:paraId="33A335F9" w14:textId="77777777" w:rsidR="00C32D9C" w:rsidRPr="006F6CD4" w:rsidRDefault="00C32D9C" w:rsidP="006F6CD4">
            <w:pPr>
              <w:spacing w:line="480" w:lineRule="auto"/>
              <w:rPr>
                <w:rFonts w:ascii="Arial" w:hAnsi="Arial" w:cs="Arial"/>
                <w:b w:val="0"/>
                <w:sz w:val="22"/>
              </w:rPr>
            </w:pPr>
            <w:r w:rsidRPr="006F6CD4">
              <w:rPr>
                <w:rFonts w:ascii="Arial" w:hAnsi="Arial" w:cs="Arial"/>
                <w:b w:val="0"/>
                <w:sz w:val="22"/>
              </w:rPr>
              <w:t>#4</w:t>
            </w:r>
          </w:p>
        </w:tc>
        <w:tc>
          <w:tcPr>
            <w:tcW w:w="7730" w:type="dxa"/>
          </w:tcPr>
          <w:p w14:paraId="33A335FA" w14:textId="77777777" w:rsidR="00C32D9C" w:rsidRPr="006F6CD4" w:rsidRDefault="00C32D9C" w:rsidP="006F6CD4">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sz w:val="22"/>
              </w:rPr>
            </w:pPr>
            <w:r w:rsidRPr="006F6CD4">
              <w:rPr>
                <w:rFonts w:ascii="Arial" w:eastAsia="Times New Roman" w:hAnsi="Arial" w:cs="Arial"/>
                <w:color w:val="212121"/>
                <w:sz w:val="22"/>
                <w:lang w:eastAsia="en-GB"/>
              </w:rPr>
              <w:t>"hospital mortality"[</w:t>
            </w:r>
            <w:proofErr w:type="spellStart"/>
            <w:r w:rsidRPr="006F6CD4">
              <w:rPr>
                <w:rFonts w:ascii="Arial" w:eastAsia="Times New Roman" w:hAnsi="Arial" w:cs="Arial"/>
                <w:color w:val="212121"/>
                <w:sz w:val="22"/>
                <w:lang w:eastAsia="en-GB"/>
              </w:rPr>
              <w:t>MeSH</w:t>
            </w:r>
            <w:proofErr w:type="spellEnd"/>
            <w:r w:rsidRPr="006F6CD4">
              <w:rPr>
                <w:rFonts w:ascii="Arial" w:eastAsia="Times New Roman" w:hAnsi="Arial" w:cs="Arial"/>
                <w:color w:val="212121"/>
                <w:sz w:val="22"/>
                <w:lang w:eastAsia="en-GB"/>
              </w:rPr>
              <w:t xml:space="preserve"> Terms] OR ("hospital"[All Fields] AND "mortality"[All Fields]) OR "hospital mortality"[All Fields] OR ("hospital"[All Fields] AND "mortality"[All Fields]) OR "in hospital mortality"[All Fields]</w:t>
            </w:r>
          </w:p>
        </w:tc>
      </w:tr>
      <w:tr w:rsidR="00C32D9C" w:rsidRPr="006F6CD4" w14:paraId="33A335FE" w14:textId="77777777" w:rsidTr="00C32D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0" w:type="dxa"/>
          </w:tcPr>
          <w:p w14:paraId="33A335FC" w14:textId="77777777" w:rsidR="00C32D9C" w:rsidRPr="006F6CD4" w:rsidRDefault="00C32D9C" w:rsidP="006F6CD4">
            <w:pPr>
              <w:spacing w:line="480" w:lineRule="auto"/>
              <w:rPr>
                <w:rFonts w:ascii="Arial" w:hAnsi="Arial" w:cs="Arial"/>
                <w:b w:val="0"/>
                <w:sz w:val="22"/>
              </w:rPr>
            </w:pPr>
            <w:r w:rsidRPr="006F6CD4">
              <w:rPr>
                <w:rFonts w:ascii="Arial" w:hAnsi="Arial" w:cs="Arial"/>
                <w:b w:val="0"/>
                <w:sz w:val="22"/>
              </w:rPr>
              <w:t>#5</w:t>
            </w:r>
          </w:p>
        </w:tc>
        <w:tc>
          <w:tcPr>
            <w:tcW w:w="7730" w:type="dxa"/>
          </w:tcPr>
          <w:p w14:paraId="33A335FD" w14:textId="77777777" w:rsidR="00C32D9C" w:rsidRPr="006F6CD4" w:rsidRDefault="00C32D9C" w:rsidP="006F6CD4">
            <w:pPr>
              <w:spacing w:line="480" w:lineRule="auto"/>
              <w:cnfStyle w:val="000000100000" w:firstRow="0" w:lastRow="0" w:firstColumn="0" w:lastColumn="0" w:oddVBand="0" w:evenVBand="0" w:oddHBand="1" w:evenHBand="0" w:firstRowFirstColumn="0" w:firstRowLastColumn="0" w:lastRowFirstColumn="0" w:lastRowLastColumn="0"/>
              <w:rPr>
                <w:rFonts w:ascii="Arial" w:hAnsi="Arial" w:cs="Arial"/>
                <w:sz w:val="22"/>
              </w:rPr>
            </w:pPr>
            <w:r w:rsidRPr="006F6CD4">
              <w:rPr>
                <w:rFonts w:ascii="Arial" w:hAnsi="Arial" w:cs="Arial"/>
                <w:sz w:val="22"/>
              </w:rPr>
              <w:t># 3 OR #4</w:t>
            </w:r>
          </w:p>
        </w:tc>
      </w:tr>
      <w:tr w:rsidR="00C32D9C" w:rsidRPr="006F6CD4" w14:paraId="33A33601" w14:textId="77777777" w:rsidTr="00C32D9C">
        <w:tblPrEx>
          <w:tblBorders>
            <w:top w:val="none" w:sz="0" w:space="0" w:color="auto"/>
            <w:bottom w:val="none" w:sz="0" w:space="0" w:color="auto"/>
          </w:tblBorders>
        </w:tblPrEx>
        <w:tc>
          <w:tcPr>
            <w:cnfStyle w:val="001000000000" w:firstRow="0" w:lastRow="0" w:firstColumn="1" w:lastColumn="0" w:oddVBand="0" w:evenVBand="0" w:oddHBand="0" w:evenHBand="0" w:firstRowFirstColumn="0" w:firstRowLastColumn="0" w:lastRowFirstColumn="0" w:lastRowLastColumn="0"/>
            <w:tcW w:w="1620" w:type="dxa"/>
            <w:tcBorders>
              <w:top w:val="single" w:sz="4" w:space="0" w:color="7F7F7F" w:themeColor="text1" w:themeTint="80"/>
              <w:bottom w:val="single" w:sz="4" w:space="0" w:color="auto"/>
            </w:tcBorders>
          </w:tcPr>
          <w:p w14:paraId="33A335FF" w14:textId="77777777" w:rsidR="00C32D9C" w:rsidRPr="006F6CD4" w:rsidRDefault="00C32D9C" w:rsidP="006F6CD4">
            <w:pPr>
              <w:spacing w:line="480" w:lineRule="auto"/>
              <w:rPr>
                <w:rFonts w:ascii="Arial" w:hAnsi="Arial" w:cs="Arial"/>
                <w:b w:val="0"/>
                <w:sz w:val="22"/>
              </w:rPr>
            </w:pPr>
            <w:r w:rsidRPr="006F6CD4">
              <w:rPr>
                <w:rFonts w:ascii="Arial" w:hAnsi="Arial" w:cs="Arial"/>
                <w:b w:val="0"/>
                <w:sz w:val="22"/>
              </w:rPr>
              <w:t>#6</w:t>
            </w:r>
          </w:p>
        </w:tc>
        <w:tc>
          <w:tcPr>
            <w:tcW w:w="7730" w:type="dxa"/>
            <w:tcBorders>
              <w:top w:val="single" w:sz="4" w:space="0" w:color="7F7F7F" w:themeColor="text1" w:themeTint="80"/>
              <w:bottom w:val="single" w:sz="4" w:space="0" w:color="auto"/>
            </w:tcBorders>
          </w:tcPr>
          <w:p w14:paraId="33A33600" w14:textId="77777777" w:rsidR="00C32D9C" w:rsidRPr="006F6CD4" w:rsidRDefault="00C32D9C" w:rsidP="006F6CD4">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sz w:val="22"/>
              </w:rPr>
            </w:pPr>
            <w:r w:rsidRPr="006F6CD4">
              <w:rPr>
                <w:rFonts w:ascii="Arial" w:hAnsi="Arial" w:cs="Arial"/>
                <w:sz w:val="22"/>
              </w:rPr>
              <w:t>#1 AND #2 AND #5</w:t>
            </w:r>
          </w:p>
        </w:tc>
      </w:tr>
    </w:tbl>
    <w:p w14:paraId="33A33602" w14:textId="77777777" w:rsidR="00C32D9C" w:rsidRPr="006F6CD4" w:rsidRDefault="00C32D9C" w:rsidP="006F6CD4">
      <w:pPr>
        <w:spacing w:line="480" w:lineRule="auto"/>
        <w:rPr>
          <w:rFonts w:cs="Times New Roman"/>
          <w:sz w:val="22"/>
        </w:rPr>
      </w:pPr>
    </w:p>
    <w:p w14:paraId="17C73FC9" w14:textId="77777777" w:rsidR="000C59C8" w:rsidRDefault="000C59C8">
      <w:pPr>
        <w:rPr>
          <w:rFonts w:cs="Times New Roman"/>
          <w:sz w:val="22"/>
        </w:rPr>
      </w:pPr>
      <w:r>
        <w:rPr>
          <w:rFonts w:cs="Times New Roman"/>
          <w:sz w:val="22"/>
        </w:rPr>
        <w:br w:type="page"/>
      </w:r>
    </w:p>
    <w:p w14:paraId="56ADDFE7" w14:textId="77777777" w:rsidR="000C59C8" w:rsidRDefault="000C59C8" w:rsidP="000C59C8">
      <w:pPr>
        <w:spacing w:line="480" w:lineRule="auto"/>
        <w:rPr>
          <w:rFonts w:cs="Times New Roman"/>
          <w:b/>
        </w:rPr>
        <w:sectPr w:rsidR="000C59C8" w:rsidSect="00ED3681">
          <w:headerReference w:type="default" r:id="rId8"/>
          <w:pgSz w:w="12240" w:h="15840"/>
          <w:pgMar w:top="720" w:right="720" w:bottom="720" w:left="720" w:header="720" w:footer="720" w:gutter="0"/>
          <w:cols w:space="720"/>
          <w:docGrid w:linePitch="360"/>
        </w:sectPr>
      </w:pPr>
      <w:bookmarkStart w:id="2" w:name="_Hlk99580629"/>
    </w:p>
    <w:p w14:paraId="51E6B56B" w14:textId="72558A77" w:rsidR="000C59C8" w:rsidRPr="000C59C8" w:rsidRDefault="000C59C8" w:rsidP="000C59C8">
      <w:pPr>
        <w:spacing w:after="0" w:line="480" w:lineRule="auto"/>
        <w:rPr>
          <w:rFonts w:cs="Times New Roman"/>
          <w:b/>
        </w:rPr>
      </w:pPr>
      <w:r w:rsidRPr="000C59C8">
        <w:rPr>
          <w:rFonts w:cs="Times New Roman"/>
          <w:b/>
        </w:rPr>
        <w:lastRenderedPageBreak/>
        <w:t>Table S3. Characteristics of included studies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4A0" w:firstRow="1" w:lastRow="0" w:firstColumn="1" w:lastColumn="0" w:noHBand="0" w:noVBand="1"/>
      </w:tblPr>
      <w:tblGrid>
        <w:gridCol w:w="776"/>
        <w:gridCol w:w="1387"/>
        <w:gridCol w:w="322"/>
        <w:gridCol w:w="876"/>
        <w:gridCol w:w="829"/>
        <w:gridCol w:w="446"/>
        <w:gridCol w:w="490"/>
        <w:gridCol w:w="465"/>
        <w:gridCol w:w="531"/>
        <w:gridCol w:w="644"/>
        <w:gridCol w:w="538"/>
        <w:gridCol w:w="542"/>
        <w:gridCol w:w="565"/>
        <w:gridCol w:w="908"/>
        <w:gridCol w:w="578"/>
        <w:gridCol w:w="722"/>
        <w:gridCol w:w="578"/>
        <w:gridCol w:w="722"/>
        <w:gridCol w:w="688"/>
        <w:gridCol w:w="789"/>
        <w:gridCol w:w="879"/>
      </w:tblGrid>
      <w:tr w:rsidR="000C59C8" w14:paraId="48B9CE04" w14:textId="77777777" w:rsidTr="0012076C">
        <w:trPr>
          <w:trHeight w:val="315"/>
        </w:trPr>
        <w:tc>
          <w:tcPr>
            <w:tcW w:w="0" w:type="auto"/>
            <w:vMerge w:val="restart"/>
            <w:noWrap/>
            <w:vAlign w:val="bottom"/>
            <w:hideMark/>
          </w:tcPr>
          <w:bookmarkEnd w:id="2"/>
          <w:p w14:paraId="1ACABAF1"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Study ID</w:t>
            </w:r>
          </w:p>
        </w:tc>
        <w:tc>
          <w:tcPr>
            <w:tcW w:w="0" w:type="auto"/>
            <w:vMerge w:val="restart"/>
            <w:noWrap/>
            <w:vAlign w:val="bottom"/>
            <w:hideMark/>
          </w:tcPr>
          <w:p w14:paraId="6E7266B2"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Location</w:t>
            </w:r>
          </w:p>
        </w:tc>
        <w:tc>
          <w:tcPr>
            <w:tcW w:w="0" w:type="auto"/>
            <w:vMerge w:val="restart"/>
            <w:noWrap/>
            <w:vAlign w:val="bottom"/>
            <w:hideMark/>
          </w:tcPr>
          <w:p w14:paraId="35DAAEE1"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Cohort</w:t>
            </w:r>
          </w:p>
        </w:tc>
        <w:tc>
          <w:tcPr>
            <w:tcW w:w="0" w:type="auto"/>
            <w:vMerge w:val="restart"/>
            <w:noWrap/>
            <w:vAlign w:val="bottom"/>
            <w:hideMark/>
          </w:tcPr>
          <w:p w14:paraId="2173BD17"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Time period</w:t>
            </w:r>
          </w:p>
        </w:tc>
        <w:tc>
          <w:tcPr>
            <w:tcW w:w="0" w:type="auto"/>
            <w:vMerge w:val="restart"/>
            <w:noWrap/>
            <w:vAlign w:val="bottom"/>
            <w:hideMark/>
          </w:tcPr>
          <w:p w14:paraId="7029DC8A"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Number of STEMI patients</w:t>
            </w:r>
          </w:p>
        </w:tc>
        <w:tc>
          <w:tcPr>
            <w:tcW w:w="0" w:type="auto"/>
            <w:vMerge w:val="restart"/>
            <w:noWrap/>
            <w:vAlign w:val="bottom"/>
            <w:hideMark/>
          </w:tcPr>
          <w:p w14:paraId="10FE9B63"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Age (years)</w:t>
            </w:r>
            <w:r>
              <w:rPr>
                <w:rFonts w:eastAsia="Times New Roman" w:cs="Times New Roman"/>
                <w:b/>
                <w:bCs/>
                <w:color w:val="000000"/>
                <w:sz w:val="20"/>
                <w:szCs w:val="20"/>
                <w:vertAlign w:val="superscript"/>
                <w:lang w:eastAsia="en-GB"/>
              </w:rPr>
              <w:t>*</w:t>
            </w:r>
          </w:p>
        </w:tc>
        <w:tc>
          <w:tcPr>
            <w:tcW w:w="0" w:type="auto"/>
            <w:vMerge w:val="restart"/>
            <w:noWrap/>
            <w:vAlign w:val="bottom"/>
            <w:hideMark/>
          </w:tcPr>
          <w:p w14:paraId="129BE52E"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Male, n (%)</w:t>
            </w:r>
          </w:p>
        </w:tc>
        <w:tc>
          <w:tcPr>
            <w:tcW w:w="0" w:type="auto"/>
            <w:vMerge w:val="restart"/>
            <w:noWrap/>
            <w:vAlign w:val="bottom"/>
            <w:hideMark/>
          </w:tcPr>
          <w:p w14:paraId="01B3E2BE"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HTN, n (%)</w:t>
            </w:r>
          </w:p>
        </w:tc>
        <w:tc>
          <w:tcPr>
            <w:tcW w:w="0" w:type="auto"/>
            <w:vMerge w:val="restart"/>
            <w:noWrap/>
            <w:vAlign w:val="bottom"/>
            <w:hideMark/>
          </w:tcPr>
          <w:p w14:paraId="6D0E3C02"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Diabetes, n (%)</w:t>
            </w:r>
          </w:p>
        </w:tc>
        <w:tc>
          <w:tcPr>
            <w:tcW w:w="0" w:type="auto"/>
            <w:vMerge w:val="restart"/>
            <w:noWrap/>
            <w:vAlign w:val="bottom"/>
            <w:hideMark/>
          </w:tcPr>
          <w:p w14:paraId="56210047" w14:textId="77777777" w:rsidR="000C59C8" w:rsidRDefault="000C59C8" w:rsidP="0012076C">
            <w:pPr>
              <w:spacing w:after="0" w:line="480" w:lineRule="auto"/>
              <w:jc w:val="center"/>
              <w:rPr>
                <w:rFonts w:eastAsia="Times New Roman" w:cs="Times New Roman"/>
                <w:b/>
                <w:bCs/>
                <w:color w:val="000000"/>
                <w:sz w:val="20"/>
                <w:szCs w:val="20"/>
                <w:lang w:eastAsia="en-GB"/>
              </w:rPr>
            </w:pPr>
            <w:proofErr w:type="spellStart"/>
            <w:r>
              <w:rPr>
                <w:rFonts w:eastAsia="Times New Roman" w:cs="Times New Roman"/>
                <w:b/>
                <w:bCs/>
                <w:color w:val="000000"/>
                <w:sz w:val="20"/>
                <w:szCs w:val="20"/>
                <w:lang w:eastAsia="en-GB"/>
              </w:rPr>
              <w:t>Dyslipidemia</w:t>
            </w:r>
            <w:proofErr w:type="spellEnd"/>
            <w:r>
              <w:rPr>
                <w:rFonts w:eastAsia="Times New Roman" w:cs="Times New Roman"/>
                <w:b/>
                <w:bCs/>
                <w:color w:val="000000"/>
                <w:sz w:val="20"/>
                <w:szCs w:val="20"/>
                <w:lang w:eastAsia="en-GB"/>
              </w:rPr>
              <w:t>, n (%)</w:t>
            </w:r>
          </w:p>
        </w:tc>
        <w:tc>
          <w:tcPr>
            <w:tcW w:w="0" w:type="auto"/>
            <w:vMerge w:val="restart"/>
            <w:noWrap/>
            <w:vAlign w:val="bottom"/>
            <w:hideMark/>
          </w:tcPr>
          <w:p w14:paraId="4B1495C2"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Smoking, n (%)</w:t>
            </w:r>
          </w:p>
        </w:tc>
        <w:tc>
          <w:tcPr>
            <w:tcW w:w="0" w:type="auto"/>
            <w:vMerge w:val="restart"/>
            <w:noWrap/>
            <w:vAlign w:val="bottom"/>
            <w:hideMark/>
          </w:tcPr>
          <w:p w14:paraId="6FC217E1"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Prior MI, n (%)</w:t>
            </w:r>
          </w:p>
        </w:tc>
        <w:tc>
          <w:tcPr>
            <w:tcW w:w="0" w:type="auto"/>
            <w:vMerge w:val="restart"/>
            <w:noWrap/>
            <w:vAlign w:val="bottom"/>
            <w:hideMark/>
          </w:tcPr>
          <w:p w14:paraId="041AFBDE"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Prior PCI, n (%)</w:t>
            </w:r>
          </w:p>
        </w:tc>
        <w:tc>
          <w:tcPr>
            <w:tcW w:w="0" w:type="auto"/>
            <w:vMerge w:val="restart"/>
            <w:noWrap/>
            <w:vAlign w:val="bottom"/>
            <w:hideMark/>
          </w:tcPr>
          <w:p w14:paraId="1A3D2122"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Door to balloon time (minutes)</w:t>
            </w:r>
          </w:p>
        </w:tc>
        <w:tc>
          <w:tcPr>
            <w:tcW w:w="0" w:type="auto"/>
            <w:gridSpan w:val="2"/>
            <w:noWrap/>
            <w:vAlign w:val="bottom"/>
            <w:hideMark/>
          </w:tcPr>
          <w:p w14:paraId="362CD2A5"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Cardiogenic shock</w:t>
            </w:r>
          </w:p>
        </w:tc>
        <w:tc>
          <w:tcPr>
            <w:tcW w:w="0" w:type="auto"/>
            <w:gridSpan w:val="2"/>
            <w:noWrap/>
            <w:vAlign w:val="bottom"/>
            <w:hideMark/>
          </w:tcPr>
          <w:p w14:paraId="7099CDBE"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In-hospital mortality</w:t>
            </w:r>
          </w:p>
        </w:tc>
        <w:tc>
          <w:tcPr>
            <w:tcW w:w="0" w:type="auto"/>
            <w:vMerge w:val="restart"/>
            <w:noWrap/>
            <w:vAlign w:val="bottom"/>
            <w:hideMark/>
          </w:tcPr>
          <w:p w14:paraId="5776EF01"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ICU admission, n (%)</w:t>
            </w:r>
          </w:p>
        </w:tc>
        <w:tc>
          <w:tcPr>
            <w:tcW w:w="0" w:type="auto"/>
            <w:vMerge w:val="restart"/>
            <w:noWrap/>
            <w:vAlign w:val="bottom"/>
            <w:hideMark/>
          </w:tcPr>
          <w:p w14:paraId="08BBD24F"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Length of ICU stay (days)</w:t>
            </w:r>
          </w:p>
        </w:tc>
        <w:tc>
          <w:tcPr>
            <w:tcW w:w="0" w:type="auto"/>
            <w:vMerge w:val="restart"/>
            <w:noWrap/>
            <w:vAlign w:val="bottom"/>
            <w:hideMark/>
          </w:tcPr>
          <w:p w14:paraId="287FC51E"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Length of hospital stay (days)</w:t>
            </w:r>
          </w:p>
        </w:tc>
      </w:tr>
      <w:tr w:rsidR="000C59C8" w14:paraId="212848B2" w14:textId="77777777" w:rsidTr="0012076C">
        <w:trPr>
          <w:trHeight w:val="315"/>
        </w:trPr>
        <w:tc>
          <w:tcPr>
            <w:tcW w:w="0" w:type="auto"/>
            <w:vMerge/>
            <w:vAlign w:val="center"/>
            <w:hideMark/>
          </w:tcPr>
          <w:p w14:paraId="1B21392F" w14:textId="77777777" w:rsidR="000C59C8" w:rsidRDefault="000C59C8" w:rsidP="0012076C">
            <w:pPr>
              <w:spacing w:after="0"/>
              <w:rPr>
                <w:rFonts w:eastAsia="Times New Roman" w:cs="Times New Roman"/>
                <w:b/>
                <w:bCs/>
                <w:color w:val="000000"/>
                <w:sz w:val="20"/>
                <w:szCs w:val="20"/>
                <w:lang w:eastAsia="en-GB"/>
              </w:rPr>
            </w:pPr>
          </w:p>
        </w:tc>
        <w:tc>
          <w:tcPr>
            <w:tcW w:w="0" w:type="auto"/>
            <w:vMerge/>
            <w:vAlign w:val="center"/>
            <w:hideMark/>
          </w:tcPr>
          <w:p w14:paraId="649B8FB9" w14:textId="77777777" w:rsidR="000C59C8" w:rsidRDefault="000C59C8" w:rsidP="0012076C">
            <w:pPr>
              <w:spacing w:after="0"/>
              <w:rPr>
                <w:rFonts w:eastAsia="Times New Roman" w:cs="Times New Roman"/>
                <w:b/>
                <w:bCs/>
                <w:color w:val="000000"/>
                <w:sz w:val="20"/>
                <w:szCs w:val="20"/>
                <w:lang w:eastAsia="en-GB"/>
              </w:rPr>
            </w:pPr>
          </w:p>
        </w:tc>
        <w:tc>
          <w:tcPr>
            <w:tcW w:w="0" w:type="auto"/>
            <w:vMerge/>
            <w:vAlign w:val="center"/>
            <w:hideMark/>
          </w:tcPr>
          <w:p w14:paraId="3EE58945" w14:textId="77777777" w:rsidR="000C59C8" w:rsidRDefault="000C59C8" w:rsidP="0012076C">
            <w:pPr>
              <w:spacing w:after="0"/>
              <w:rPr>
                <w:rFonts w:eastAsia="Times New Roman" w:cs="Times New Roman"/>
                <w:b/>
                <w:bCs/>
                <w:color w:val="000000"/>
                <w:sz w:val="20"/>
                <w:szCs w:val="20"/>
                <w:lang w:eastAsia="en-GB"/>
              </w:rPr>
            </w:pPr>
          </w:p>
        </w:tc>
        <w:tc>
          <w:tcPr>
            <w:tcW w:w="0" w:type="auto"/>
            <w:vMerge/>
            <w:vAlign w:val="center"/>
            <w:hideMark/>
          </w:tcPr>
          <w:p w14:paraId="06CFE679" w14:textId="77777777" w:rsidR="000C59C8" w:rsidRDefault="000C59C8" w:rsidP="0012076C">
            <w:pPr>
              <w:spacing w:after="0"/>
              <w:rPr>
                <w:rFonts w:eastAsia="Times New Roman" w:cs="Times New Roman"/>
                <w:b/>
                <w:bCs/>
                <w:color w:val="000000"/>
                <w:sz w:val="20"/>
                <w:szCs w:val="20"/>
                <w:lang w:eastAsia="en-GB"/>
              </w:rPr>
            </w:pPr>
          </w:p>
        </w:tc>
        <w:tc>
          <w:tcPr>
            <w:tcW w:w="0" w:type="auto"/>
            <w:vMerge/>
            <w:vAlign w:val="center"/>
            <w:hideMark/>
          </w:tcPr>
          <w:p w14:paraId="70C97197" w14:textId="77777777" w:rsidR="000C59C8" w:rsidRDefault="000C59C8" w:rsidP="0012076C">
            <w:pPr>
              <w:spacing w:after="0"/>
              <w:rPr>
                <w:rFonts w:eastAsia="Times New Roman" w:cs="Times New Roman"/>
                <w:b/>
                <w:bCs/>
                <w:color w:val="000000"/>
                <w:sz w:val="20"/>
                <w:szCs w:val="20"/>
                <w:lang w:eastAsia="en-GB"/>
              </w:rPr>
            </w:pPr>
          </w:p>
        </w:tc>
        <w:tc>
          <w:tcPr>
            <w:tcW w:w="0" w:type="auto"/>
            <w:vMerge/>
            <w:vAlign w:val="center"/>
            <w:hideMark/>
          </w:tcPr>
          <w:p w14:paraId="7B17B28D" w14:textId="77777777" w:rsidR="000C59C8" w:rsidRDefault="000C59C8" w:rsidP="0012076C">
            <w:pPr>
              <w:spacing w:after="0"/>
              <w:rPr>
                <w:rFonts w:eastAsia="Times New Roman" w:cs="Times New Roman"/>
                <w:b/>
                <w:bCs/>
                <w:color w:val="000000"/>
                <w:sz w:val="20"/>
                <w:szCs w:val="20"/>
                <w:lang w:eastAsia="en-GB"/>
              </w:rPr>
            </w:pPr>
          </w:p>
        </w:tc>
        <w:tc>
          <w:tcPr>
            <w:tcW w:w="0" w:type="auto"/>
            <w:vMerge/>
            <w:vAlign w:val="center"/>
            <w:hideMark/>
          </w:tcPr>
          <w:p w14:paraId="5729BF6F" w14:textId="77777777" w:rsidR="000C59C8" w:rsidRDefault="000C59C8" w:rsidP="0012076C">
            <w:pPr>
              <w:spacing w:after="0"/>
              <w:rPr>
                <w:rFonts w:eastAsia="Times New Roman" w:cs="Times New Roman"/>
                <w:b/>
                <w:bCs/>
                <w:color w:val="000000"/>
                <w:sz w:val="20"/>
                <w:szCs w:val="20"/>
                <w:lang w:eastAsia="en-GB"/>
              </w:rPr>
            </w:pPr>
          </w:p>
        </w:tc>
        <w:tc>
          <w:tcPr>
            <w:tcW w:w="0" w:type="auto"/>
            <w:vMerge/>
            <w:vAlign w:val="center"/>
            <w:hideMark/>
          </w:tcPr>
          <w:p w14:paraId="77A1FB09" w14:textId="77777777" w:rsidR="000C59C8" w:rsidRDefault="000C59C8" w:rsidP="0012076C">
            <w:pPr>
              <w:spacing w:after="0"/>
              <w:rPr>
                <w:rFonts w:eastAsia="Times New Roman" w:cs="Times New Roman"/>
                <w:b/>
                <w:bCs/>
                <w:color w:val="000000"/>
                <w:sz w:val="20"/>
                <w:szCs w:val="20"/>
                <w:lang w:eastAsia="en-GB"/>
              </w:rPr>
            </w:pPr>
          </w:p>
        </w:tc>
        <w:tc>
          <w:tcPr>
            <w:tcW w:w="0" w:type="auto"/>
            <w:vMerge/>
            <w:vAlign w:val="center"/>
            <w:hideMark/>
          </w:tcPr>
          <w:p w14:paraId="1C286FD3" w14:textId="77777777" w:rsidR="000C59C8" w:rsidRDefault="000C59C8" w:rsidP="0012076C">
            <w:pPr>
              <w:spacing w:after="0"/>
              <w:rPr>
                <w:rFonts w:eastAsia="Times New Roman" w:cs="Times New Roman"/>
                <w:b/>
                <w:bCs/>
                <w:color w:val="000000"/>
                <w:sz w:val="20"/>
                <w:szCs w:val="20"/>
                <w:lang w:eastAsia="en-GB"/>
              </w:rPr>
            </w:pPr>
          </w:p>
        </w:tc>
        <w:tc>
          <w:tcPr>
            <w:tcW w:w="0" w:type="auto"/>
            <w:vMerge/>
            <w:vAlign w:val="center"/>
            <w:hideMark/>
          </w:tcPr>
          <w:p w14:paraId="5656A653" w14:textId="77777777" w:rsidR="000C59C8" w:rsidRDefault="000C59C8" w:rsidP="0012076C">
            <w:pPr>
              <w:spacing w:after="0"/>
              <w:rPr>
                <w:rFonts w:eastAsia="Times New Roman" w:cs="Times New Roman"/>
                <w:b/>
                <w:bCs/>
                <w:color w:val="000000"/>
                <w:sz w:val="20"/>
                <w:szCs w:val="20"/>
                <w:lang w:eastAsia="en-GB"/>
              </w:rPr>
            </w:pPr>
          </w:p>
        </w:tc>
        <w:tc>
          <w:tcPr>
            <w:tcW w:w="0" w:type="auto"/>
            <w:vMerge/>
            <w:vAlign w:val="center"/>
            <w:hideMark/>
          </w:tcPr>
          <w:p w14:paraId="5537B297" w14:textId="77777777" w:rsidR="000C59C8" w:rsidRDefault="000C59C8" w:rsidP="0012076C">
            <w:pPr>
              <w:spacing w:after="0"/>
              <w:rPr>
                <w:rFonts w:eastAsia="Times New Roman" w:cs="Times New Roman"/>
                <w:b/>
                <w:bCs/>
                <w:color w:val="000000"/>
                <w:sz w:val="20"/>
                <w:szCs w:val="20"/>
                <w:lang w:eastAsia="en-GB"/>
              </w:rPr>
            </w:pPr>
          </w:p>
        </w:tc>
        <w:tc>
          <w:tcPr>
            <w:tcW w:w="0" w:type="auto"/>
            <w:vMerge/>
            <w:vAlign w:val="center"/>
            <w:hideMark/>
          </w:tcPr>
          <w:p w14:paraId="54CB2F09" w14:textId="77777777" w:rsidR="000C59C8" w:rsidRDefault="000C59C8" w:rsidP="0012076C">
            <w:pPr>
              <w:spacing w:after="0"/>
              <w:rPr>
                <w:rFonts w:eastAsia="Times New Roman" w:cs="Times New Roman"/>
                <w:b/>
                <w:bCs/>
                <w:color w:val="000000"/>
                <w:sz w:val="20"/>
                <w:szCs w:val="20"/>
                <w:lang w:eastAsia="en-GB"/>
              </w:rPr>
            </w:pPr>
          </w:p>
        </w:tc>
        <w:tc>
          <w:tcPr>
            <w:tcW w:w="0" w:type="auto"/>
            <w:vMerge/>
            <w:vAlign w:val="center"/>
            <w:hideMark/>
          </w:tcPr>
          <w:p w14:paraId="11D8407E" w14:textId="77777777" w:rsidR="000C59C8" w:rsidRDefault="000C59C8" w:rsidP="0012076C">
            <w:pPr>
              <w:spacing w:after="0"/>
              <w:rPr>
                <w:rFonts w:eastAsia="Times New Roman" w:cs="Times New Roman"/>
                <w:b/>
                <w:bCs/>
                <w:color w:val="000000"/>
                <w:sz w:val="20"/>
                <w:szCs w:val="20"/>
                <w:lang w:eastAsia="en-GB"/>
              </w:rPr>
            </w:pPr>
          </w:p>
        </w:tc>
        <w:tc>
          <w:tcPr>
            <w:tcW w:w="0" w:type="auto"/>
            <w:vMerge/>
            <w:vAlign w:val="center"/>
            <w:hideMark/>
          </w:tcPr>
          <w:p w14:paraId="302EDB8B" w14:textId="77777777" w:rsidR="000C59C8" w:rsidRDefault="000C59C8" w:rsidP="0012076C">
            <w:pPr>
              <w:spacing w:after="0"/>
              <w:rPr>
                <w:rFonts w:eastAsia="Times New Roman" w:cs="Times New Roman"/>
                <w:b/>
                <w:bCs/>
                <w:color w:val="000000"/>
                <w:sz w:val="20"/>
                <w:szCs w:val="20"/>
                <w:lang w:eastAsia="en-GB"/>
              </w:rPr>
            </w:pPr>
          </w:p>
        </w:tc>
        <w:tc>
          <w:tcPr>
            <w:tcW w:w="0" w:type="auto"/>
            <w:noWrap/>
            <w:vAlign w:val="bottom"/>
            <w:hideMark/>
          </w:tcPr>
          <w:p w14:paraId="10A93F10"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n (%)</w:t>
            </w:r>
          </w:p>
        </w:tc>
        <w:tc>
          <w:tcPr>
            <w:tcW w:w="0" w:type="auto"/>
            <w:noWrap/>
            <w:vAlign w:val="bottom"/>
            <w:hideMark/>
          </w:tcPr>
          <w:p w14:paraId="47E4FAF0"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Adjusted OR (95% CI)</w:t>
            </w:r>
          </w:p>
        </w:tc>
        <w:tc>
          <w:tcPr>
            <w:tcW w:w="0" w:type="auto"/>
            <w:noWrap/>
            <w:vAlign w:val="bottom"/>
            <w:hideMark/>
          </w:tcPr>
          <w:p w14:paraId="367BB6E2"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n (%)</w:t>
            </w:r>
          </w:p>
        </w:tc>
        <w:tc>
          <w:tcPr>
            <w:tcW w:w="0" w:type="auto"/>
            <w:noWrap/>
            <w:vAlign w:val="bottom"/>
            <w:hideMark/>
          </w:tcPr>
          <w:p w14:paraId="4323D2F2" w14:textId="77777777" w:rsidR="000C59C8" w:rsidRDefault="000C59C8" w:rsidP="0012076C">
            <w:pPr>
              <w:spacing w:after="0" w:line="480" w:lineRule="auto"/>
              <w:jc w:val="center"/>
              <w:rPr>
                <w:rFonts w:eastAsia="Times New Roman" w:cs="Times New Roman"/>
                <w:b/>
                <w:bCs/>
                <w:color w:val="000000"/>
                <w:sz w:val="20"/>
                <w:szCs w:val="20"/>
                <w:lang w:eastAsia="en-GB"/>
              </w:rPr>
            </w:pPr>
            <w:r>
              <w:rPr>
                <w:rFonts w:eastAsia="Times New Roman" w:cs="Times New Roman"/>
                <w:b/>
                <w:bCs/>
                <w:color w:val="000000"/>
                <w:sz w:val="20"/>
                <w:szCs w:val="20"/>
                <w:lang w:eastAsia="en-GB"/>
              </w:rPr>
              <w:t>Adjusted OR (95% CI)</w:t>
            </w:r>
          </w:p>
        </w:tc>
        <w:tc>
          <w:tcPr>
            <w:tcW w:w="0" w:type="auto"/>
            <w:vMerge/>
            <w:vAlign w:val="center"/>
            <w:hideMark/>
          </w:tcPr>
          <w:p w14:paraId="50605565" w14:textId="77777777" w:rsidR="000C59C8" w:rsidRDefault="000C59C8" w:rsidP="0012076C">
            <w:pPr>
              <w:spacing w:after="0"/>
              <w:rPr>
                <w:rFonts w:eastAsia="Times New Roman" w:cs="Times New Roman"/>
                <w:b/>
                <w:bCs/>
                <w:color w:val="000000"/>
                <w:sz w:val="20"/>
                <w:szCs w:val="20"/>
                <w:lang w:eastAsia="en-GB"/>
              </w:rPr>
            </w:pPr>
          </w:p>
        </w:tc>
        <w:tc>
          <w:tcPr>
            <w:tcW w:w="0" w:type="auto"/>
            <w:vMerge/>
            <w:vAlign w:val="center"/>
            <w:hideMark/>
          </w:tcPr>
          <w:p w14:paraId="1AB8E879" w14:textId="77777777" w:rsidR="000C59C8" w:rsidRDefault="000C59C8" w:rsidP="0012076C">
            <w:pPr>
              <w:spacing w:after="0"/>
              <w:rPr>
                <w:rFonts w:eastAsia="Times New Roman" w:cs="Times New Roman"/>
                <w:b/>
                <w:bCs/>
                <w:color w:val="000000"/>
                <w:sz w:val="20"/>
                <w:szCs w:val="20"/>
                <w:lang w:eastAsia="en-GB"/>
              </w:rPr>
            </w:pPr>
          </w:p>
        </w:tc>
        <w:tc>
          <w:tcPr>
            <w:tcW w:w="0" w:type="auto"/>
            <w:vMerge/>
            <w:vAlign w:val="center"/>
            <w:hideMark/>
          </w:tcPr>
          <w:p w14:paraId="42BB2932" w14:textId="77777777" w:rsidR="000C59C8" w:rsidRDefault="000C59C8" w:rsidP="0012076C">
            <w:pPr>
              <w:spacing w:after="0"/>
              <w:rPr>
                <w:rFonts w:eastAsia="Times New Roman" w:cs="Times New Roman"/>
                <w:b/>
                <w:bCs/>
                <w:color w:val="000000"/>
                <w:sz w:val="20"/>
                <w:szCs w:val="20"/>
                <w:lang w:eastAsia="en-GB"/>
              </w:rPr>
            </w:pPr>
          </w:p>
        </w:tc>
      </w:tr>
      <w:tr w:rsidR="000C59C8" w14:paraId="18625B25" w14:textId="77777777" w:rsidTr="0012076C">
        <w:trPr>
          <w:trHeight w:val="315"/>
        </w:trPr>
        <w:tc>
          <w:tcPr>
            <w:tcW w:w="0" w:type="auto"/>
            <w:vMerge w:val="restart"/>
            <w:noWrap/>
            <w:vAlign w:val="center"/>
            <w:hideMark/>
          </w:tcPr>
          <w:p w14:paraId="21798CDD" w14:textId="77777777" w:rsidR="000C59C8" w:rsidRDefault="000C59C8" w:rsidP="0012076C">
            <w:pPr>
              <w:spacing w:after="0" w:line="480" w:lineRule="auto"/>
              <w:jc w:val="center"/>
              <w:rPr>
                <w:rFonts w:eastAsia="Times New Roman" w:cs="Times New Roman"/>
                <w:color w:val="000000"/>
                <w:sz w:val="20"/>
                <w:szCs w:val="20"/>
                <w:lang w:eastAsia="en-GB"/>
              </w:rPr>
            </w:pPr>
            <w:proofErr w:type="spellStart"/>
            <w:r>
              <w:rPr>
                <w:rFonts w:eastAsia="Times New Roman" w:cs="Times New Roman"/>
                <w:color w:val="000000"/>
                <w:sz w:val="20"/>
                <w:szCs w:val="20"/>
                <w:lang w:eastAsia="en-GB"/>
              </w:rPr>
              <w:t>Choudry</w:t>
            </w:r>
            <w:proofErr w:type="spellEnd"/>
            <w:r>
              <w:rPr>
                <w:rFonts w:eastAsia="Times New Roman" w:cs="Times New Roman"/>
                <w:color w:val="000000"/>
                <w:sz w:val="20"/>
                <w:szCs w:val="20"/>
                <w:lang w:eastAsia="en-GB"/>
              </w:rPr>
              <w:t xml:space="preserve"> et al, 2020</w:t>
            </w:r>
          </w:p>
        </w:tc>
        <w:tc>
          <w:tcPr>
            <w:tcW w:w="0" w:type="auto"/>
            <w:vMerge w:val="restart"/>
            <w:noWrap/>
            <w:vAlign w:val="center"/>
            <w:hideMark/>
          </w:tcPr>
          <w:p w14:paraId="4F1DB69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UK</w:t>
            </w:r>
          </w:p>
        </w:tc>
        <w:tc>
          <w:tcPr>
            <w:tcW w:w="0" w:type="auto"/>
            <w:noWrap/>
            <w:vAlign w:val="center"/>
            <w:hideMark/>
          </w:tcPr>
          <w:p w14:paraId="41F3144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CP</w:t>
            </w:r>
          </w:p>
        </w:tc>
        <w:tc>
          <w:tcPr>
            <w:tcW w:w="0" w:type="auto"/>
            <w:noWrap/>
            <w:vAlign w:val="center"/>
            <w:hideMark/>
          </w:tcPr>
          <w:p w14:paraId="255CC11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 March - 20 May 2020</w:t>
            </w:r>
          </w:p>
        </w:tc>
        <w:tc>
          <w:tcPr>
            <w:tcW w:w="0" w:type="auto"/>
            <w:noWrap/>
            <w:vAlign w:val="center"/>
            <w:hideMark/>
          </w:tcPr>
          <w:p w14:paraId="7267F055"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39</w:t>
            </w:r>
          </w:p>
        </w:tc>
        <w:tc>
          <w:tcPr>
            <w:tcW w:w="0" w:type="auto"/>
            <w:noWrap/>
            <w:vAlign w:val="center"/>
            <w:hideMark/>
          </w:tcPr>
          <w:p w14:paraId="187BE57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61.7 ± 11.0</w:t>
            </w:r>
          </w:p>
        </w:tc>
        <w:tc>
          <w:tcPr>
            <w:tcW w:w="0" w:type="auto"/>
            <w:noWrap/>
            <w:vAlign w:val="center"/>
            <w:hideMark/>
          </w:tcPr>
          <w:p w14:paraId="641DDD9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33 (84.6)</w:t>
            </w:r>
          </w:p>
        </w:tc>
        <w:tc>
          <w:tcPr>
            <w:tcW w:w="0" w:type="auto"/>
            <w:noWrap/>
            <w:vAlign w:val="center"/>
            <w:hideMark/>
          </w:tcPr>
          <w:p w14:paraId="68C9E26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28 (71.8)</w:t>
            </w:r>
          </w:p>
        </w:tc>
        <w:tc>
          <w:tcPr>
            <w:tcW w:w="0" w:type="auto"/>
            <w:noWrap/>
            <w:vAlign w:val="center"/>
            <w:hideMark/>
          </w:tcPr>
          <w:p w14:paraId="23FEBA3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18 (46.2)</w:t>
            </w:r>
          </w:p>
        </w:tc>
        <w:tc>
          <w:tcPr>
            <w:tcW w:w="0" w:type="auto"/>
            <w:noWrap/>
            <w:vAlign w:val="center"/>
            <w:hideMark/>
          </w:tcPr>
          <w:p w14:paraId="7E3AD06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24 (61.6)</w:t>
            </w:r>
          </w:p>
        </w:tc>
        <w:tc>
          <w:tcPr>
            <w:tcW w:w="0" w:type="auto"/>
            <w:noWrap/>
            <w:vAlign w:val="center"/>
            <w:hideMark/>
          </w:tcPr>
          <w:p w14:paraId="315A0C5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24 (61.6)</w:t>
            </w:r>
          </w:p>
        </w:tc>
        <w:tc>
          <w:tcPr>
            <w:tcW w:w="0" w:type="auto"/>
            <w:noWrap/>
            <w:vAlign w:val="center"/>
            <w:hideMark/>
          </w:tcPr>
          <w:p w14:paraId="6698F285"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 (15.4)</w:t>
            </w:r>
          </w:p>
        </w:tc>
        <w:tc>
          <w:tcPr>
            <w:tcW w:w="0" w:type="auto"/>
            <w:noWrap/>
            <w:vAlign w:val="center"/>
            <w:hideMark/>
          </w:tcPr>
          <w:p w14:paraId="149CD50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9 (23.1%)</w:t>
            </w:r>
          </w:p>
        </w:tc>
        <w:tc>
          <w:tcPr>
            <w:tcW w:w="0" w:type="auto"/>
            <w:noWrap/>
            <w:vAlign w:val="center"/>
            <w:hideMark/>
          </w:tcPr>
          <w:p w14:paraId="5FA41E1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53.67±23.79</w:t>
            </w:r>
          </w:p>
        </w:tc>
        <w:tc>
          <w:tcPr>
            <w:tcW w:w="0" w:type="auto"/>
            <w:noWrap/>
            <w:vAlign w:val="center"/>
            <w:hideMark/>
          </w:tcPr>
          <w:p w14:paraId="36224D7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 (15.4)</w:t>
            </w:r>
          </w:p>
        </w:tc>
        <w:tc>
          <w:tcPr>
            <w:tcW w:w="0" w:type="auto"/>
            <w:vMerge w:val="restart"/>
            <w:noWrap/>
            <w:vAlign w:val="center"/>
            <w:hideMark/>
          </w:tcPr>
          <w:p w14:paraId="5D01A4A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23170BF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7 (17.9)</w:t>
            </w:r>
          </w:p>
        </w:tc>
        <w:tc>
          <w:tcPr>
            <w:tcW w:w="0" w:type="auto"/>
            <w:vMerge w:val="restart"/>
            <w:noWrap/>
            <w:vAlign w:val="center"/>
            <w:hideMark/>
          </w:tcPr>
          <w:p w14:paraId="4631CB8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7F59F5F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28 (71.8)</w:t>
            </w:r>
          </w:p>
        </w:tc>
        <w:tc>
          <w:tcPr>
            <w:tcW w:w="0" w:type="auto"/>
            <w:noWrap/>
            <w:vAlign w:val="center"/>
            <w:hideMark/>
          </w:tcPr>
          <w:p w14:paraId="393E3BEE"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238DF7A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r>
      <w:tr w:rsidR="000C59C8" w14:paraId="1338D80B" w14:textId="77777777" w:rsidTr="0012076C">
        <w:trPr>
          <w:trHeight w:val="315"/>
        </w:trPr>
        <w:tc>
          <w:tcPr>
            <w:tcW w:w="0" w:type="auto"/>
            <w:vMerge/>
            <w:vAlign w:val="center"/>
            <w:hideMark/>
          </w:tcPr>
          <w:p w14:paraId="104F6AFE" w14:textId="77777777" w:rsidR="000C59C8" w:rsidRDefault="000C59C8" w:rsidP="0012076C">
            <w:pPr>
              <w:spacing w:after="0"/>
              <w:rPr>
                <w:rFonts w:eastAsia="Times New Roman" w:cs="Times New Roman"/>
                <w:color w:val="000000"/>
                <w:sz w:val="20"/>
                <w:szCs w:val="20"/>
                <w:lang w:eastAsia="en-GB"/>
              </w:rPr>
            </w:pPr>
          </w:p>
        </w:tc>
        <w:tc>
          <w:tcPr>
            <w:tcW w:w="0" w:type="auto"/>
            <w:vMerge/>
            <w:vAlign w:val="center"/>
            <w:hideMark/>
          </w:tcPr>
          <w:p w14:paraId="51C84FDD"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0CACB6F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CN</w:t>
            </w:r>
          </w:p>
        </w:tc>
        <w:tc>
          <w:tcPr>
            <w:tcW w:w="0" w:type="auto"/>
            <w:noWrap/>
            <w:vAlign w:val="center"/>
            <w:hideMark/>
          </w:tcPr>
          <w:p w14:paraId="58F3E7D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 March - 20 May 2020</w:t>
            </w:r>
          </w:p>
        </w:tc>
        <w:tc>
          <w:tcPr>
            <w:tcW w:w="0" w:type="auto"/>
            <w:noWrap/>
            <w:vAlign w:val="center"/>
            <w:hideMark/>
          </w:tcPr>
          <w:p w14:paraId="2012E3B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76</w:t>
            </w:r>
          </w:p>
        </w:tc>
        <w:tc>
          <w:tcPr>
            <w:tcW w:w="0" w:type="auto"/>
            <w:noWrap/>
            <w:vAlign w:val="center"/>
            <w:hideMark/>
          </w:tcPr>
          <w:p w14:paraId="0FB7134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61.7 ± 12.6</w:t>
            </w:r>
          </w:p>
        </w:tc>
        <w:tc>
          <w:tcPr>
            <w:tcW w:w="0" w:type="auto"/>
            <w:noWrap/>
            <w:vAlign w:val="center"/>
            <w:hideMark/>
          </w:tcPr>
          <w:p w14:paraId="7D6AD01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57 (75.0)</w:t>
            </w:r>
          </w:p>
        </w:tc>
        <w:tc>
          <w:tcPr>
            <w:tcW w:w="0" w:type="auto"/>
            <w:noWrap/>
            <w:vAlign w:val="center"/>
            <w:hideMark/>
          </w:tcPr>
          <w:p w14:paraId="05BF2CD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32 (42.1)</w:t>
            </w:r>
          </w:p>
        </w:tc>
        <w:tc>
          <w:tcPr>
            <w:tcW w:w="0" w:type="auto"/>
            <w:noWrap/>
            <w:vAlign w:val="center"/>
            <w:hideMark/>
          </w:tcPr>
          <w:p w14:paraId="122856C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20 (26.3)</w:t>
            </w:r>
          </w:p>
        </w:tc>
        <w:tc>
          <w:tcPr>
            <w:tcW w:w="0" w:type="auto"/>
            <w:noWrap/>
            <w:vAlign w:val="center"/>
            <w:hideMark/>
          </w:tcPr>
          <w:p w14:paraId="3095D0E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28 (36.8)</w:t>
            </w:r>
          </w:p>
        </w:tc>
        <w:tc>
          <w:tcPr>
            <w:tcW w:w="0" w:type="auto"/>
            <w:noWrap/>
            <w:vAlign w:val="center"/>
            <w:hideMark/>
          </w:tcPr>
          <w:p w14:paraId="7E7B379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35 (46.1)</w:t>
            </w:r>
          </w:p>
        </w:tc>
        <w:tc>
          <w:tcPr>
            <w:tcW w:w="0" w:type="auto"/>
            <w:noWrap/>
            <w:vAlign w:val="center"/>
            <w:hideMark/>
          </w:tcPr>
          <w:p w14:paraId="5811166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 (3.9)</w:t>
            </w:r>
          </w:p>
        </w:tc>
        <w:tc>
          <w:tcPr>
            <w:tcW w:w="0" w:type="auto"/>
            <w:noWrap/>
            <w:vAlign w:val="center"/>
            <w:hideMark/>
          </w:tcPr>
          <w:p w14:paraId="2295C9E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5 (6.6%)</w:t>
            </w:r>
          </w:p>
        </w:tc>
        <w:tc>
          <w:tcPr>
            <w:tcW w:w="0" w:type="auto"/>
            <w:noWrap/>
            <w:vAlign w:val="center"/>
            <w:hideMark/>
          </w:tcPr>
          <w:p w14:paraId="67709F1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47.43±17.15</w:t>
            </w:r>
          </w:p>
        </w:tc>
        <w:tc>
          <w:tcPr>
            <w:tcW w:w="0" w:type="auto"/>
            <w:noWrap/>
            <w:vAlign w:val="center"/>
            <w:hideMark/>
          </w:tcPr>
          <w:p w14:paraId="66949B0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8 (10.5)</w:t>
            </w:r>
          </w:p>
        </w:tc>
        <w:tc>
          <w:tcPr>
            <w:tcW w:w="0" w:type="auto"/>
            <w:vMerge/>
            <w:vAlign w:val="center"/>
            <w:hideMark/>
          </w:tcPr>
          <w:p w14:paraId="6E0B9183"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4CDA3D1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5 (6.5)</w:t>
            </w:r>
          </w:p>
        </w:tc>
        <w:tc>
          <w:tcPr>
            <w:tcW w:w="0" w:type="auto"/>
            <w:vMerge/>
            <w:vAlign w:val="center"/>
            <w:hideMark/>
          </w:tcPr>
          <w:p w14:paraId="6B673203"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70F68AE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7 (9.2)</w:t>
            </w:r>
          </w:p>
        </w:tc>
        <w:tc>
          <w:tcPr>
            <w:tcW w:w="0" w:type="auto"/>
            <w:noWrap/>
            <w:vAlign w:val="center"/>
            <w:hideMark/>
          </w:tcPr>
          <w:p w14:paraId="3D3CD7C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622DD45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r>
      <w:tr w:rsidR="000C59C8" w14:paraId="4EAA890E" w14:textId="77777777" w:rsidTr="0012076C">
        <w:trPr>
          <w:trHeight w:val="315"/>
        </w:trPr>
        <w:tc>
          <w:tcPr>
            <w:tcW w:w="0" w:type="auto"/>
            <w:vMerge w:val="restart"/>
            <w:noWrap/>
            <w:vAlign w:val="center"/>
            <w:hideMark/>
          </w:tcPr>
          <w:p w14:paraId="06C4D2D3"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Little et al, 2020</w:t>
            </w:r>
          </w:p>
        </w:tc>
        <w:tc>
          <w:tcPr>
            <w:tcW w:w="0" w:type="auto"/>
            <w:vMerge w:val="restart"/>
            <w:noWrap/>
            <w:vAlign w:val="center"/>
            <w:hideMark/>
          </w:tcPr>
          <w:p w14:paraId="47D89E4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UK</w:t>
            </w:r>
          </w:p>
        </w:tc>
        <w:tc>
          <w:tcPr>
            <w:tcW w:w="0" w:type="auto"/>
            <w:noWrap/>
            <w:vAlign w:val="center"/>
            <w:hideMark/>
          </w:tcPr>
          <w:p w14:paraId="5C3DCBE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CP</w:t>
            </w:r>
          </w:p>
        </w:tc>
        <w:tc>
          <w:tcPr>
            <w:tcW w:w="0" w:type="auto"/>
            <w:noWrap/>
            <w:vAlign w:val="center"/>
            <w:hideMark/>
          </w:tcPr>
          <w:p w14:paraId="49C47E9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 March - 30 April 2020</w:t>
            </w:r>
          </w:p>
        </w:tc>
        <w:tc>
          <w:tcPr>
            <w:tcW w:w="0" w:type="auto"/>
            <w:noWrap/>
            <w:vAlign w:val="center"/>
            <w:hideMark/>
          </w:tcPr>
          <w:p w14:paraId="123A262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46</w:t>
            </w:r>
          </w:p>
        </w:tc>
        <w:tc>
          <w:tcPr>
            <w:tcW w:w="0" w:type="auto"/>
            <w:noWrap/>
            <w:vAlign w:val="center"/>
            <w:hideMark/>
          </w:tcPr>
          <w:p w14:paraId="5BD5725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63 (58–67)</w:t>
            </w:r>
          </w:p>
        </w:tc>
        <w:tc>
          <w:tcPr>
            <w:tcW w:w="0" w:type="auto"/>
            <w:noWrap/>
            <w:vAlign w:val="center"/>
            <w:hideMark/>
          </w:tcPr>
          <w:p w14:paraId="26904FD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37 (80.4)</w:t>
            </w:r>
          </w:p>
        </w:tc>
        <w:tc>
          <w:tcPr>
            <w:tcW w:w="0" w:type="auto"/>
            <w:noWrap/>
            <w:vAlign w:val="center"/>
            <w:hideMark/>
          </w:tcPr>
          <w:p w14:paraId="0953DBF3"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25 (54.0)</w:t>
            </w:r>
          </w:p>
        </w:tc>
        <w:tc>
          <w:tcPr>
            <w:tcW w:w="0" w:type="auto"/>
            <w:noWrap/>
            <w:vAlign w:val="center"/>
            <w:hideMark/>
          </w:tcPr>
          <w:p w14:paraId="7129C1E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15 (32.6)</w:t>
            </w:r>
          </w:p>
        </w:tc>
        <w:tc>
          <w:tcPr>
            <w:tcW w:w="0" w:type="auto"/>
            <w:noWrap/>
            <w:vAlign w:val="center"/>
            <w:hideMark/>
          </w:tcPr>
          <w:p w14:paraId="69FFD55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24 (52.2)</w:t>
            </w:r>
          </w:p>
        </w:tc>
        <w:tc>
          <w:tcPr>
            <w:tcW w:w="0" w:type="auto"/>
            <w:noWrap/>
            <w:vAlign w:val="center"/>
            <w:hideMark/>
          </w:tcPr>
          <w:p w14:paraId="16A7529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19 (41.3)</w:t>
            </w:r>
          </w:p>
        </w:tc>
        <w:tc>
          <w:tcPr>
            <w:tcW w:w="0" w:type="auto"/>
            <w:noWrap/>
            <w:vAlign w:val="center"/>
            <w:hideMark/>
          </w:tcPr>
          <w:p w14:paraId="2C17BC8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5 (10.9)</w:t>
            </w:r>
          </w:p>
        </w:tc>
        <w:tc>
          <w:tcPr>
            <w:tcW w:w="0" w:type="auto"/>
            <w:noWrap/>
            <w:vAlign w:val="center"/>
            <w:hideMark/>
          </w:tcPr>
          <w:p w14:paraId="25A93D53"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 (2.2)</w:t>
            </w:r>
          </w:p>
        </w:tc>
        <w:tc>
          <w:tcPr>
            <w:tcW w:w="0" w:type="auto"/>
            <w:noWrap/>
            <w:vAlign w:val="center"/>
            <w:hideMark/>
          </w:tcPr>
          <w:p w14:paraId="68A2534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55.67±29.07</w:t>
            </w:r>
          </w:p>
        </w:tc>
        <w:tc>
          <w:tcPr>
            <w:tcW w:w="0" w:type="auto"/>
            <w:noWrap/>
            <w:vAlign w:val="center"/>
            <w:hideMark/>
          </w:tcPr>
          <w:p w14:paraId="366262A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 (13.0)</w:t>
            </w:r>
          </w:p>
        </w:tc>
        <w:tc>
          <w:tcPr>
            <w:tcW w:w="0" w:type="auto"/>
            <w:vMerge w:val="restart"/>
            <w:noWrap/>
            <w:vAlign w:val="center"/>
            <w:hideMark/>
          </w:tcPr>
          <w:p w14:paraId="776F648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077164C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10 (21.7)</w:t>
            </w:r>
          </w:p>
        </w:tc>
        <w:tc>
          <w:tcPr>
            <w:tcW w:w="0" w:type="auto"/>
            <w:vMerge w:val="restart"/>
            <w:noWrap/>
            <w:vAlign w:val="center"/>
            <w:hideMark/>
          </w:tcPr>
          <w:p w14:paraId="2434850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0DE1449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15 (32.6)</w:t>
            </w:r>
          </w:p>
        </w:tc>
        <w:tc>
          <w:tcPr>
            <w:tcW w:w="0" w:type="auto"/>
            <w:noWrap/>
            <w:vAlign w:val="center"/>
            <w:hideMark/>
          </w:tcPr>
          <w:p w14:paraId="16118B9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shd w:val="clear" w:color="auto" w:fill="FFFFFF"/>
            <w:noWrap/>
            <w:vAlign w:val="center"/>
            <w:hideMark/>
          </w:tcPr>
          <w:p w14:paraId="3A2593F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5.33±4.59</w:t>
            </w:r>
          </w:p>
        </w:tc>
      </w:tr>
      <w:tr w:rsidR="000C59C8" w14:paraId="273879AD" w14:textId="77777777" w:rsidTr="0012076C">
        <w:trPr>
          <w:trHeight w:val="315"/>
        </w:trPr>
        <w:tc>
          <w:tcPr>
            <w:tcW w:w="0" w:type="auto"/>
            <w:vMerge/>
            <w:vAlign w:val="center"/>
            <w:hideMark/>
          </w:tcPr>
          <w:p w14:paraId="7F58B081" w14:textId="77777777" w:rsidR="000C59C8" w:rsidRDefault="000C59C8" w:rsidP="0012076C">
            <w:pPr>
              <w:spacing w:after="0"/>
              <w:rPr>
                <w:rFonts w:eastAsia="Times New Roman" w:cs="Times New Roman"/>
                <w:color w:val="000000"/>
                <w:sz w:val="20"/>
                <w:szCs w:val="20"/>
                <w:lang w:eastAsia="en-GB"/>
              </w:rPr>
            </w:pPr>
          </w:p>
        </w:tc>
        <w:tc>
          <w:tcPr>
            <w:tcW w:w="0" w:type="auto"/>
            <w:vMerge/>
            <w:vAlign w:val="center"/>
            <w:hideMark/>
          </w:tcPr>
          <w:p w14:paraId="08783D94"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07DEFBD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CN</w:t>
            </w:r>
          </w:p>
        </w:tc>
        <w:tc>
          <w:tcPr>
            <w:tcW w:w="0" w:type="auto"/>
            <w:noWrap/>
            <w:vAlign w:val="center"/>
            <w:hideMark/>
          </w:tcPr>
          <w:p w14:paraId="1070D70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 March - 30 April 2020</w:t>
            </w:r>
          </w:p>
        </w:tc>
        <w:tc>
          <w:tcPr>
            <w:tcW w:w="0" w:type="auto"/>
            <w:noWrap/>
            <w:vAlign w:val="center"/>
            <w:hideMark/>
          </w:tcPr>
          <w:p w14:paraId="53F5F28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302</w:t>
            </w:r>
          </w:p>
        </w:tc>
        <w:tc>
          <w:tcPr>
            <w:tcW w:w="0" w:type="auto"/>
            <w:noWrap/>
            <w:vAlign w:val="center"/>
            <w:hideMark/>
          </w:tcPr>
          <w:p w14:paraId="1D66B7E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63 (55–72)</w:t>
            </w:r>
          </w:p>
        </w:tc>
        <w:tc>
          <w:tcPr>
            <w:tcW w:w="0" w:type="auto"/>
            <w:noWrap/>
            <w:vAlign w:val="center"/>
            <w:hideMark/>
          </w:tcPr>
          <w:p w14:paraId="08A9167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241 (79.8)</w:t>
            </w:r>
          </w:p>
        </w:tc>
        <w:tc>
          <w:tcPr>
            <w:tcW w:w="0" w:type="auto"/>
            <w:noWrap/>
            <w:vAlign w:val="center"/>
            <w:hideMark/>
          </w:tcPr>
          <w:p w14:paraId="59CFCA5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153 (50.7)</w:t>
            </w:r>
          </w:p>
        </w:tc>
        <w:tc>
          <w:tcPr>
            <w:tcW w:w="0" w:type="auto"/>
            <w:noWrap/>
            <w:vAlign w:val="center"/>
            <w:hideMark/>
          </w:tcPr>
          <w:p w14:paraId="13934AA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71 (23.5)</w:t>
            </w:r>
          </w:p>
        </w:tc>
        <w:tc>
          <w:tcPr>
            <w:tcW w:w="0" w:type="auto"/>
            <w:noWrap/>
            <w:vAlign w:val="center"/>
            <w:hideMark/>
          </w:tcPr>
          <w:p w14:paraId="14A3754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100 (33.1)</w:t>
            </w:r>
          </w:p>
        </w:tc>
        <w:tc>
          <w:tcPr>
            <w:tcW w:w="0" w:type="auto"/>
            <w:noWrap/>
            <w:vAlign w:val="center"/>
            <w:hideMark/>
          </w:tcPr>
          <w:p w14:paraId="5DD62C3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126 (41.7)</w:t>
            </w:r>
          </w:p>
        </w:tc>
        <w:tc>
          <w:tcPr>
            <w:tcW w:w="0" w:type="auto"/>
            <w:noWrap/>
            <w:vAlign w:val="center"/>
            <w:hideMark/>
          </w:tcPr>
          <w:p w14:paraId="7C6BC9A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38 (12.6)</w:t>
            </w:r>
          </w:p>
        </w:tc>
        <w:tc>
          <w:tcPr>
            <w:tcW w:w="0" w:type="auto"/>
            <w:noWrap/>
            <w:vAlign w:val="center"/>
            <w:hideMark/>
          </w:tcPr>
          <w:p w14:paraId="4E24971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40 (13.3)</w:t>
            </w:r>
          </w:p>
        </w:tc>
        <w:tc>
          <w:tcPr>
            <w:tcW w:w="0" w:type="auto"/>
            <w:noWrap/>
            <w:vAlign w:val="center"/>
            <w:hideMark/>
          </w:tcPr>
          <w:p w14:paraId="6CC50B7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47.33±22.96</w:t>
            </w:r>
          </w:p>
        </w:tc>
        <w:tc>
          <w:tcPr>
            <w:tcW w:w="0" w:type="auto"/>
            <w:noWrap/>
            <w:vAlign w:val="center"/>
            <w:hideMark/>
          </w:tcPr>
          <w:p w14:paraId="5E55EAA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41 (13.6)</w:t>
            </w:r>
          </w:p>
        </w:tc>
        <w:tc>
          <w:tcPr>
            <w:tcW w:w="0" w:type="auto"/>
            <w:vMerge/>
            <w:vAlign w:val="center"/>
            <w:hideMark/>
          </w:tcPr>
          <w:p w14:paraId="21193197"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5E90248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28 (9.3)</w:t>
            </w:r>
          </w:p>
        </w:tc>
        <w:tc>
          <w:tcPr>
            <w:tcW w:w="0" w:type="auto"/>
            <w:vMerge/>
            <w:vAlign w:val="center"/>
            <w:hideMark/>
          </w:tcPr>
          <w:p w14:paraId="5AD725FD"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0AD942E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28 (9.3)</w:t>
            </w:r>
          </w:p>
        </w:tc>
        <w:tc>
          <w:tcPr>
            <w:tcW w:w="0" w:type="auto"/>
            <w:noWrap/>
            <w:vAlign w:val="center"/>
            <w:hideMark/>
          </w:tcPr>
          <w:p w14:paraId="4BE8C2F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shd w:val="clear" w:color="auto" w:fill="FFFFFF"/>
            <w:noWrap/>
            <w:vAlign w:val="center"/>
            <w:hideMark/>
          </w:tcPr>
          <w:p w14:paraId="3B8CE4F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3.00±1.48</w:t>
            </w:r>
          </w:p>
        </w:tc>
      </w:tr>
      <w:tr w:rsidR="000C59C8" w14:paraId="70A7E474" w14:textId="77777777" w:rsidTr="0012076C">
        <w:trPr>
          <w:trHeight w:val="315"/>
        </w:trPr>
        <w:tc>
          <w:tcPr>
            <w:tcW w:w="0" w:type="auto"/>
            <w:vMerge w:val="restart"/>
            <w:noWrap/>
            <w:vAlign w:val="center"/>
            <w:hideMark/>
          </w:tcPr>
          <w:p w14:paraId="3CA0A03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De Luca et al, 2021</w:t>
            </w:r>
          </w:p>
        </w:tc>
        <w:tc>
          <w:tcPr>
            <w:tcW w:w="0" w:type="auto"/>
            <w:vMerge w:val="restart"/>
            <w:noWrap/>
            <w:vAlign w:val="center"/>
            <w:hideMark/>
          </w:tcPr>
          <w:p w14:paraId="792E301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Europe</w:t>
            </w:r>
          </w:p>
        </w:tc>
        <w:tc>
          <w:tcPr>
            <w:tcW w:w="0" w:type="auto"/>
            <w:noWrap/>
            <w:vAlign w:val="center"/>
            <w:hideMark/>
          </w:tcPr>
          <w:p w14:paraId="7BF70C2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CP</w:t>
            </w:r>
          </w:p>
        </w:tc>
        <w:tc>
          <w:tcPr>
            <w:tcW w:w="0" w:type="auto"/>
            <w:noWrap/>
            <w:vAlign w:val="center"/>
            <w:hideMark/>
          </w:tcPr>
          <w:p w14:paraId="4F9B6BC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 March - 30 April 2020</w:t>
            </w:r>
          </w:p>
        </w:tc>
        <w:tc>
          <w:tcPr>
            <w:tcW w:w="0" w:type="auto"/>
            <w:noWrap/>
            <w:vAlign w:val="center"/>
            <w:hideMark/>
          </w:tcPr>
          <w:p w14:paraId="188258C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62</w:t>
            </w:r>
          </w:p>
        </w:tc>
        <w:tc>
          <w:tcPr>
            <w:tcW w:w="0" w:type="auto"/>
            <w:noWrap/>
            <w:vAlign w:val="center"/>
            <w:hideMark/>
          </w:tcPr>
          <w:p w14:paraId="5B94BFEE"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70 (62–76)</w:t>
            </w:r>
          </w:p>
        </w:tc>
        <w:tc>
          <w:tcPr>
            <w:tcW w:w="0" w:type="auto"/>
            <w:noWrap/>
            <w:vAlign w:val="center"/>
            <w:hideMark/>
          </w:tcPr>
          <w:p w14:paraId="7493EE0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49 (79.0)</w:t>
            </w:r>
          </w:p>
        </w:tc>
        <w:tc>
          <w:tcPr>
            <w:tcW w:w="0" w:type="auto"/>
            <w:noWrap/>
            <w:vAlign w:val="center"/>
            <w:hideMark/>
          </w:tcPr>
          <w:p w14:paraId="6A1FFB0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35 (56.5)</w:t>
            </w:r>
          </w:p>
        </w:tc>
        <w:tc>
          <w:tcPr>
            <w:tcW w:w="0" w:type="auto"/>
            <w:noWrap/>
            <w:vAlign w:val="center"/>
            <w:hideMark/>
          </w:tcPr>
          <w:p w14:paraId="67ED3B7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10 (16.1)</w:t>
            </w:r>
          </w:p>
        </w:tc>
        <w:tc>
          <w:tcPr>
            <w:tcW w:w="0" w:type="auto"/>
            <w:noWrap/>
            <w:vAlign w:val="center"/>
            <w:hideMark/>
          </w:tcPr>
          <w:p w14:paraId="13101A5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25 (40.3)</w:t>
            </w:r>
          </w:p>
        </w:tc>
        <w:tc>
          <w:tcPr>
            <w:tcW w:w="0" w:type="auto"/>
            <w:noWrap/>
            <w:vAlign w:val="center"/>
            <w:hideMark/>
          </w:tcPr>
          <w:p w14:paraId="6BCFD6C5"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14 (22.6)</w:t>
            </w:r>
          </w:p>
        </w:tc>
        <w:tc>
          <w:tcPr>
            <w:tcW w:w="0" w:type="auto"/>
            <w:noWrap/>
            <w:vAlign w:val="center"/>
            <w:hideMark/>
          </w:tcPr>
          <w:p w14:paraId="1F6F28D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8 (12.9)</w:t>
            </w:r>
          </w:p>
        </w:tc>
        <w:tc>
          <w:tcPr>
            <w:tcW w:w="0" w:type="auto"/>
            <w:noWrap/>
            <w:vAlign w:val="center"/>
            <w:hideMark/>
          </w:tcPr>
          <w:p w14:paraId="067FBCA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12 (19.4)</w:t>
            </w:r>
          </w:p>
        </w:tc>
        <w:tc>
          <w:tcPr>
            <w:tcW w:w="0" w:type="auto"/>
            <w:noWrap/>
            <w:vAlign w:val="center"/>
            <w:hideMark/>
          </w:tcPr>
          <w:p w14:paraId="6D75B4C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44.33±28.07</w:t>
            </w:r>
          </w:p>
        </w:tc>
        <w:tc>
          <w:tcPr>
            <w:tcW w:w="0" w:type="auto"/>
            <w:noWrap/>
            <w:vAlign w:val="center"/>
            <w:hideMark/>
          </w:tcPr>
          <w:p w14:paraId="57A5FDA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9 (14.5)</w:t>
            </w:r>
          </w:p>
        </w:tc>
        <w:tc>
          <w:tcPr>
            <w:tcW w:w="0" w:type="auto"/>
            <w:vMerge w:val="restart"/>
            <w:noWrap/>
            <w:vAlign w:val="center"/>
            <w:hideMark/>
          </w:tcPr>
          <w:p w14:paraId="1600E023"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3AA36AD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18 (29.0)</w:t>
            </w:r>
          </w:p>
        </w:tc>
        <w:tc>
          <w:tcPr>
            <w:tcW w:w="0" w:type="auto"/>
            <w:vMerge w:val="restart"/>
            <w:noWrap/>
            <w:vAlign w:val="center"/>
            <w:hideMark/>
          </w:tcPr>
          <w:p w14:paraId="2A46A8E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9.33 (3.01-28.03)</w:t>
            </w:r>
          </w:p>
        </w:tc>
        <w:tc>
          <w:tcPr>
            <w:tcW w:w="0" w:type="auto"/>
            <w:noWrap/>
            <w:vAlign w:val="center"/>
            <w:hideMark/>
          </w:tcPr>
          <w:p w14:paraId="73CB585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5B0A314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3110E82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r>
      <w:tr w:rsidR="000C59C8" w14:paraId="2A65FC42" w14:textId="77777777" w:rsidTr="0012076C">
        <w:trPr>
          <w:trHeight w:val="315"/>
        </w:trPr>
        <w:tc>
          <w:tcPr>
            <w:tcW w:w="0" w:type="auto"/>
            <w:vMerge/>
            <w:vAlign w:val="center"/>
            <w:hideMark/>
          </w:tcPr>
          <w:p w14:paraId="73F43BBC" w14:textId="77777777" w:rsidR="000C59C8" w:rsidRDefault="000C59C8" w:rsidP="0012076C">
            <w:pPr>
              <w:spacing w:after="0"/>
              <w:rPr>
                <w:rFonts w:eastAsia="Times New Roman" w:cs="Times New Roman"/>
                <w:color w:val="000000"/>
                <w:sz w:val="20"/>
                <w:szCs w:val="20"/>
                <w:lang w:eastAsia="en-GB"/>
              </w:rPr>
            </w:pPr>
          </w:p>
        </w:tc>
        <w:tc>
          <w:tcPr>
            <w:tcW w:w="0" w:type="auto"/>
            <w:vMerge/>
            <w:vAlign w:val="center"/>
            <w:hideMark/>
          </w:tcPr>
          <w:p w14:paraId="7BA49667"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742AD80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CN</w:t>
            </w:r>
          </w:p>
        </w:tc>
        <w:tc>
          <w:tcPr>
            <w:tcW w:w="0" w:type="auto"/>
            <w:noWrap/>
            <w:vAlign w:val="center"/>
            <w:hideMark/>
          </w:tcPr>
          <w:p w14:paraId="2AAEE3C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 March - 30 April 2020</w:t>
            </w:r>
          </w:p>
        </w:tc>
        <w:tc>
          <w:tcPr>
            <w:tcW w:w="0" w:type="auto"/>
            <w:noWrap/>
            <w:vAlign w:val="center"/>
            <w:hideMark/>
          </w:tcPr>
          <w:p w14:paraId="1264412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310</w:t>
            </w:r>
          </w:p>
        </w:tc>
        <w:tc>
          <w:tcPr>
            <w:tcW w:w="0" w:type="auto"/>
            <w:noWrap/>
            <w:vAlign w:val="center"/>
            <w:hideMark/>
          </w:tcPr>
          <w:p w14:paraId="2B24271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70 (62–75)</w:t>
            </w:r>
          </w:p>
        </w:tc>
        <w:tc>
          <w:tcPr>
            <w:tcW w:w="0" w:type="auto"/>
            <w:noWrap/>
            <w:vAlign w:val="center"/>
            <w:hideMark/>
          </w:tcPr>
          <w:p w14:paraId="24FBB655"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245 (79.0)</w:t>
            </w:r>
          </w:p>
        </w:tc>
        <w:tc>
          <w:tcPr>
            <w:tcW w:w="0" w:type="auto"/>
            <w:noWrap/>
            <w:vAlign w:val="center"/>
            <w:hideMark/>
          </w:tcPr>
          <w:p w14:paraId="678E97B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176 (56.8)</w:t>
            </w:r>
          </w:p>
        </w:tc>
        <w:tc>
          <w:tcPr>
            <w:tcW w:w="0" w:type="auto"/>
            <w:noWrap/>
            <w:vAlign w:val="center"/>
            <w:hideMark/>
          </w:tcPr>
          <w:p w14:paraId="645F5A9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67 (21.6)</w:t>
            </w:r>
          </w:p>
        </w:tc>
        <w:tc>
          <w:tcPr>
            <w:tcW w:w="0" w:type="auto"/>
            <w:noWrap/>
            <w:vAlign w:val="center"/>
            <w:hideMark/>
          </w:tcPr>
          <w:p w14:paraId="392235A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125 (40.3)</w:t>
            </w:r>
          </w:p>
        </w:tc>
        <w:tc>
          <w:tcPr>
            <w:tcW w:w="0" w:type="auto"/>
            <w:noWrap/>
            <w:vAlign w:val="center"/>
            <w:hideMark/>
          </w:tcPr>
          <w:p w14:paraId="707144B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109 (35.2)</w:t>
            </w:r>
          </w:p>
        </w:tc>
        <w:tc>
          <w:tcPr>
            <w:tcW w:w="0" w:type="auto"/>
            <w:noWrap/>
            <w:vAlign w:val="center"/>
            <w:hideMark/>
          </w:tcPr>
          <w:p w14:paraId="44664D1E"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29 (9.4)</w:t>
            </w:r>
          </w:p>
        </w:tc>
        <w:tc>
          <w:tcPr>
            <w:tcW w:w="0" w:type="auto"/>
            <w:noWrap/>
            <w:vAlign w:val="center"/>
            <w:hideMark/>
          </w:tcPr>
          <w:p w14:paraId="23A93E8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49 (15.8)</w:t>
            </w:r>
          </w:p>
        </w:tc>
        <w:tc>
          <w:tcPr>
            <w:tcW w:w="0" w:type="auto"/>
            <w:noWrap/>
            <w:vAlign w:val="center"/>
            <w:hideMark/>
          </w:tcPr>
          <w:p w14:paraId="2ED1B27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42.00±33.33</w:t>
            </w:r>
          </w:p>
        </w:tc>
        <w:tc>
          <w:tcPr>
            <w:tcW w:w="0" w:type="auto"/>
            <w:noWrap/>
            <w:vAlign w:val="center"/>
            <w:hideMark/>
          </w:tcPr>
          <w:p w14:paraId="3DB75F4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24 (7.7)</w:t>
            </w:r>
          </w:p>
        </w:tc>
        <w:tc>
          <w:tcPr>
            <w:tcW w:w="0" w:type="auto"/>
            <w:vMerge/>
            <w:vAlign w:val="center"/>
            <w:hideMark/>
          </w:tcPr>
          <w:p w14:paraId="3ECE4862"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0ABBB68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17 (5.5)</w:t>
            </w:r>
          </w:p>
        </w:tc>
        <w:tc>
          <w:tcPr>
            <w:tcW w:w="0" w:type="auto"/>
            <w:vMerge/>
            <w:vAlign w:val="center"/>
            <w:hideMark/>
          </w:tcPr>
          <w:p w14:paraId="5E5684ED"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38366C2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1AE0489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294DD80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r>
      <w:tr w:rsidR="000C59C8" w14:paraId="5F36E7BE" w14:textId="77777777" w:rsidTr="0012076C">
        <w:trPr>
          <w:trHeight w:val="315"/>
        </w:trPr>
        <w:tc>
          <w:tcPr>
            <w:tcW w:w="0" w:type="auto"/>
            <w:vMerge w:val="restart"/>
            <w:noWrap/>
            <w:vAlign w:val="center"/>
            <w:hideMark/>
          </w:tcPr>
          <w:p w14:paraId="258B36C9" w14:textId="77777777" w:rsidR="000C59C8" w:rsidRDefault="000C59C8" w:rsidP="0012076C">
            <w:pPr>
              <w:spacing w:after="0" w:line="480" w:lineRule="auto"/>
              <w:jc w:val="center"/>
              <w:rPr>
                <w:rFonts w:eastAsia="Times New Roman" w:cs="Times New Roman"/>
                <w:color w:val="000000"/>
                <w:sz w:val="20"/>
                <w:szCs w:val="20"/>
                <w:lang w:eastAsia="en-GB"/>
              </w:rPr>
            </w:pPr>
            <w:proofErr w:type="spellStart"/>
            <w:r>
              <w:rPr>
                <w:rFonts w:eastAsia="Times New Roman" w:cs="Times New Roman"/>
                <w:color w:val="000000"/>
                <w:sz w:val="20"/>
                <w:szCs w:val="20"/>
                <w:lang w:eastAsia="en-GB"/>
              </w:rPr>
              <w:t>Emren</w:t>
            </w:r>
            <w:proofErr w:type="spellEnd"/>
            <w:r>
              <w:rPr>
                <w:rFonts w:eastAsia="Times New Roman" w:cs="Times New Roman"/>
                <w:color w:val="000000"/>
                <w:sz w:val="20"/>
                <w:szCs w:val="20"/>
                <w:lang w:eastAsia="en-GB"/>
              </w:rPr>
              <w:t xml:space="preserve"> et al, 2021</w:t>
            </w:r>
          </w:p>
        </w:tc>
        <w:tc>
          <w:tcPr>
            <w:tcW w:w="0" w:type="auto"/>
            <w:vMerge w:val="restart"/>
            <w:noWrap/>
            <w:vAlign w:val="center"/>
            <w:hideMark/>
          </w:tcPr>
          <w:p w14:paraId="68C1897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Turkey</w:t>
            </w:r>
          </w:p>
        </w:tc>
        <w:tc>
          <w:tcPr>
            <w:tcW w:w="0" w:type="auto"/>
            <w:noWrap/>
            <w:vAlign w:val="center"/>
            <w:hideMark/>
          </w:tcPr>
          <w:p w14:paraId="63C2BEBE"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CP</w:t>
            </w:r>
          </w:p>
        </w:tc>
        <w:tc>
          <w:tcPr>
            <w:tcW w:w="0" w:type="auto"/>
            <w:noWrap/>
            <w:vAlign w:val="center"/>
            <w:hideMark/>
          </w:tcPr>
          <w:p w14:paraId="411C612E"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December 2020 - March 2021</w:t>
            </w:r>
          </w:p>
        </w:tc>
        <w:tc>
          <w:tcPr>
            <w:tcW w:w="0" w:type="auto"/>
            <w:noWrap/>
            <w:vAlign w:val="center"/>
            <w:hideMark/>
          </w:tcPr>
          <w:p w14:paraId="78C8F99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36</w:t>
            </w:r>
          </w:p>
        </w:tc>
        <w:tc>
          <w:tcPr>
            <w:tcW w:w="0" w:type="auto"/>
            <w:noWrap/>
            <w:vAlign w:val="center"/>
            <w:hideMark/>
          </w:tcPr>
          <w:p w14:paraId="511C654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64.0±10.0</w:t>
            </w:r>
          </w:p>
        </w:tc>
        <w:tc>
          <w:tcPr>
            <w:tcW w:w="0" w:type="auto"/>
            <w:noWrap/>
            <w:vAlign w:val="center"/>
            <w:hideMark/>
          </w:tcPr>
          <w:p w14:paraId="4965666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26 (72.2)</w:t>
            </w:r>
          </w:p>
        </w:tc>
        <w:tc>
          <w:tcPr>
            <w:tcW w:w="0" w:type="auto"/>
            <w:noWrap/>
            <w:vAlign w:val="center"/>
            <w:hideMark/>
          </w:tcPr>
          <w:p w14:paraId="52172815"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25 (69.0)</w:t>
            </w:r>
          </w:p>
        </w:tc>
        <w:tc>
          <w:tcPr>
            <w:tcW w:w="0" w:type="auto"/>
            <w:noWrap/>
            <w:vAlign w:val="center"/>
            <w:hideMark/>
          </w:tcPr>
          <w:p w14:paraId="5D69883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18 (50.0)</w:t>
            </w:r>
          </w:p>
        </w:tc>
        <w:tc>
          <w:tcPr>
            <w:tcW w:w="0" w:type="auto"/>
            <w:noWrap/>
            <w:vAlign w:val="center"/>
            <w:hideMark/>
          </w:tcPr>
          <w:p w14:paraId="349B96F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14 (39.0)</w:t>
            </w:r>
          </w:p>
        </w:tc>
        <w:tc>
          <w:tcPr>
            <w:tcW w:w="0" w:type="auto"/>
            <w:noWrap/>
            <w:vAlign w:val="center"/>
            <w:hideMark/>
          </w:tcPr>
          <w:p w14:paraId="4FFBA50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20 (56.0)</w:t>
            </w:r>
          </w:p>
        </w:tc>
        <w:tc>
          <w:tcPr>
            <w:tcW w:w="0" w:type="auto"/>
            <w:noWrap/>
            <w:vAlign w:val="center"/>
            <w:hideMark/>
          </w:tcPr>
          <w:p w14:paraId="03F5C2F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0645995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5 (14.0)</w:t>
            </w:r>
          </w:p>
        </w:tc>
        <w:tc>
          <w:tcPr>
            <w:tcW w:w="0" w:type="auto"/>
            <w:shd w:val="clear" w:color="auto" w:fill="FFFFFF"/>
            <w:noWrap/>
            <w:vAlign w:val="center"/>
            <w:hideMark/>
          </w:tcPr>
          <w:p w14:paraId="37191C2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595A448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vMerge w:val="restart"/>
            <w:noWrap/>
            <w:vAlign w:val="center"/>
            <w:hideMark/>
          </w:tcPr>
          <w:p w14:paraId="7703137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4C0F30D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15 (42.0)</w:t>
            </w:r>
          </w:p>
        </w:tc>
        <w:tc>
          <w:tcPr>
            <w:tcW w:w="0" w:type="auto"/>
            <w:vMerge w:val="restart"/>
            <w:noWrap/>
            <w:vAlign w:val="center"/>
            <w:hideMark/>
          </w:tcPr>
          <w:p w14:paraId="7DD2B71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17C71CF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4CAFE6C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133479F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r>
      <w:tr w:rsidR="000C59C8" w14:paraId="794ADA16" w14:textId="77777777" w:rsidTr="0012076C">
        <w:trPr>
          <w:trHeight w:val="315"/>
        </w:trPr>
        <w:tc>
          <w:tcPr>
            <w:tcW w:w="0" w:type="auto"/>
            <w:vMerge/>
            <w:vAlign w:val="center"/>
            <w:hideMark/>
          </w:tcPr>
          <w:p w14:paraId="58655204" w14:textId="77777777" w:rsidR="000C59C8" w:rsidRDefault="000C59C8" w:rsidP="0012076C">
            <w:pPr>
              <w:spacing w:after="0"/>
              <w:rPr>
                <w:rFonts w:eastAsia="Times New Roman" w:cs="Times New Roman"/>
                <w:color w:val="000000"/>
                <w:sz w:val="20"/>
                <w:szCs w:val="20"/>
                <w:lang w:eastAsia="en-GB"/>
              </w:rPr>
            </w:pPr>
          </w:p>
        </w:tc>
        <w:tc>
          <w:tcPr>
            <w:tcW w:w="0" w:type="auto"/>
            <w:vMerge/>
            <w:vAlign w:val="center"/>
            <w:hideMark/>
          </w:tcPr>
          <w:p w14:paraId="4208562B"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54DE8CF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CN</w:t>
            </w:r>
          </w:p>
        </w:tc>
        <w:tc>
          <w:tcPr>
            <w:tcW w:w="0" w:type="auto"/>
            <w:noWrap/>
            <w:vAlign w:val="center"/>
            <w:hideMark/>
          </w:tcPr>
          <w:p w14:paraId="78D35F75"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December 2020 - March 2021</w:t>
            </w:r>
          </w:p>
        </w:tc>
        <w:tc>
          <w:tcPr>
            <w:tcW w:w="0" w:type="auto"/>
            <w:noWrap/>
            <w:vAlign w:val="center"/>
            <w:hideMark/>
          </w:tcPr>
          <w:p w14:paraId="6002096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96</w:t>
            </w:r>
          </w:p>
        </w:tc>
        <w:tc>
          <w:tcPr>
            <w:tcW w:w="0" w:type="auto"/>
            <w:noWrap/>
            <w:vAlign w:val="center"/>
            <w:hideMark/>
          </w:tcPr>
          <w:p w14:paraId="492ED46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60.0±13.0</w:t>
            </w:r>
          </w:p>
        </w:tc>
        <w:tc>
          <w:tcPr>
            <w:tcW w:w="0" w:type="auto"/>
            <w:noWrap/>
            <w:vAlign w:val="center"/>
            <w:hideMark/>
          </w:tcPr>
          <w:p w14:paraId="24988C6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72 (75.0)</w:t>
            </w:r>
          </w:p>
        </w:tc>
        <w:tc>
          <w:tcPr>
            <w:tcW w:w="0" w:type="auto"/>
            <w:noWrap/>
            <w:vAlign w:val="center"/>
            <w:hideMark/>
          </w:tcPr>
          <w:p w14:paraId="0B4E27D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42 (42.0)</w:t>
            </w:r>
          </w:p>
        </w:tc>
        <w:tc>
          <w:tcPr>
            <w:tcW w:w="0" w:type="auto"/>
            <w:noWrap/>
            <w:vAlign w:val="center"/>
            <w:hideMark/>
          </w:tcPr>
          <w:p w14:paraId="505B9C0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27 (27.0)</w:t>
            </w:r>
          </w:p>
        </w:tc>
        <w:tc>
          <w:tcPr>
            <w:tcW w:w="0" w:type="auto"/>
            <w:noWrap/>
            <w:vAlign w:val="center"/>
            <w:hideMark/>
          </w:tcPr>
          <w:p w14:paraId="657D9D7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27 (27.0)</w:t>
            </w:r>
          </w:p>
        </w:tc>
        <w:tc>
          <w:tcPr>
            <w:tcW w:w="0" w:type="auto"/>
            <w:noWrap/>
            <w:vAlign w:val="center"/>
            <w:hideMark/>
          </w:tcPr>
          <w:p w14:paraId="1F0EF823"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66 (67.0)</w:t>
            </w:r>
          </w:p>
        </w:tc>
        <w:tc>
          <w:tcPr>
            <w:tcW w:w="0" w:type="auto"/>
            <w:noWrap/>
            <w:vAlign w:val="center"/>
            <w:hideMark/>
          </w:tcPr>
          <w:p w14:paraId="1C520DA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12E2058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15 (15.0)</w:t>
            </w:r>
          </w:p>
        </w:tc>
        <w:tc>
          <w:tcPr>
            <w:tcW w:w="0" w:type="auto"/>
            <w:shd w:val="clear" w:color="auto" w:fill="FFFFFF"/>
            <w:noWrap/>
            <w:vAlign w:val="center"/>
            <w:hideMark/>
          </w:tcPr>
          <w:p w14:paraId="03FAC15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45D71FE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vMerge/>
            <w:vAlign w:val="center"/>
            <w:hideMark/>
          </w:tcPr>
          <w:p w14:paraId="68EF0AAC"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3579661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21 (21.0)</w:t>
            </w:r>
          </w:p>
        </w:tc>
        <w:tc>
          <w:tcPr>
            <w:tcW w:w="0" w:type="auto"/>
            <w:vMerge/>
            <w:vAlign w:val="center"/>
            <w:hideMark/>
          </w:tcPr>
          <w:p w14:paraId="0D4D5E24"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6C2134E3"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50F6CFF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2794248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r>
      <w:tr w:rsidR="000C59C8" w14:paraId="15097E09" w14:textId="77777777" w:rsidTr="0012076C">
        <w:trPr>
          <w:trHeight w:val="315"/>
        </w:trPr>
        <w:tc>
          <w:tcPr>
            <w:tcW w:w="0" w:type="auto"/>
            <w:vMerge w:val="restart"/>
            <w:noWrap/>
            <w:vAlign w:val="center"/>
            <w:hideMark/>
          </w:tcPr>
          <w:p w14:paraId="479D65E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lastRenderedPageBreak/>
              <w:t>Garcia et al, 2021</w:t>
            </w:r>
          </w:p>
        </w:tc>
        <w:tc>
          <w:tcPr>
            <w:tcW w:w="0" w:type="auto"/>
            <w:vMerge w:val="restart"/>
            <w:noWrap/>
            <w:vAlign w:val="center"/>
            <w:hideMark/>
          </w:tcPr>
          <w:p w14:paraId="7C5BBFC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Canada, USA</w:t>
            </w:r>
          </w:p>
        </w:tc>
        <w:tc>
          <w:tcPr>
            <w:tcW w:w="0" w:type="auto"/>
            <w:noWrap/>
            <w:vAlign w:val="center"/>
            <w:hideMark/>
          </w:tcPr>
          <w:p w14:paraId="66DA676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CP</w:t>
            </w:r>
          </w:p>
        </w:tc>
        <w:tc>
          <w:tcPr>
            <w:tcW w:w="0" w:type="auto"/>
            <w:noWrap/>
            <w:vAlign w:val="center"/>
            <w:hideMark/>
          </w:tcPr>
          <w:p w14:paraId="63BEAAE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 January - 6 December 2020</w:t>
            </w:r>
          </w:p>
        </w:tc>
        <w:tc>
          <w:tcPr>
            <w:tcW w:w="0" w:type="auto"/>
            <w:noWrap/>
            <w:vAlign w:val="center"/>
            <w:hideMark/>
          </w:tcPr>
          <w:p w14:paraId="24AFEFE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230</w:t>
            </w:r>
          </w:p>
        </w:tc>
        <w:tc>
          <w:tcPr>
            <w:tcW w:w="0" w:type="auto"/>
            <w:noWrap/>
            <w:vAlign w:val="center"/>
            <w:hideMark/>
          </w:tcPr>
          <w:p w14:paraId="0C937EC3"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1172AC6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164 (71.0)</w:t>
            </w:r>
          </w:p>
        </w:tc>
        <w:tc>
          <w:tcPr>
            <w:tcW w:w="0" w:type="auto"/>
            <w:noWrap/>
            <w:vAlign w:val="center"/>
            <w:hideMark/>
          </w:tcPr>
          <w:p w14:paraId="774C895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166 (73.0)</w:t>
            </w:r>
          </w:p>
        </w:tc>
        <w:tc>
          <w:tcPr>
            <w:tcW w:w="0" w:type="auto"/>
            <w:noWrap/>
            <w:vAlign w:val="center"/>
            <w:hideMark/>
          </w:tcPr>
          <w:p w14:paraId="4E3CAE1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103 (46)</w:t>
            </w:r>
          </w:p>
        </w:tc>
        <w:tc>
          <w:tcPr>
            <w:tcW w:w="0" w:type="auto"/>
            <w:noWrap/>
            <w:vAlign w:val="center"/>
            <w:hideMark/>
          </w:tcPr>
          <w:p w14:paraId="08F03F5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101 (46.0)</w:t>
            </w:r>
          </w:p>
        </w:tc>
        <w:tc>
          <w:tcPr>
            <w:tcW w:w="0" w:type="auto"/>
            <w:noWrap/>
            <w:vAlign w:val="center"/>
            <w:hideMark/>
          </w:tcPr>
          <w:p w14:paraId="03B9C36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94 (44)</w:t>
            </w:r>
          </w:p>
        </w:tc>
        <w:tc>
          <w:tcPr>
            <w:tcW w:w="0" w:type="auto"/>
            <w:noWrap/>
            <w:vAlign w:val="center"/>
            <w:hideMark/>
          </w:tcPr>
          <w:p w14:paraId="088AB42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26 (13</w:t>
            </w:r>
          </w:p>
        </w:tc>
        <w:tc>
          <w:tcPr>
            <w:tcW w:w="0" w:type="auto"/>
            <w:noWrap/>
            <w:vAlign w:val="center"/>
            <w:hideMark/>
          </w:tcPr>
          <w:p w14:paraId="4C2E965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28 (13)</w:t>
            </w:r>
          </w:p>
        </w:tc>
        <w:tc>
          <w:tcPr>
            <w:tcW w:w="0" w:type="auto"/>
            <w:noWrap/>
            <w:vAlign w:val="center"/>
            <w:hideMark/>
          </w:tcPr>
          <w:p w14:paraId="324B1ED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85.33±54.07</w:t>
            </w:r>
          </w:p>
        </w:tc>
        <w:tc>
          <w:tcPr>
            <w:tcW w:w="0" w:type="auto"/>
            <w:noWrap/>
            <w:vAlign w:val="center"/>
            <w:hideMark/>
          </w:tcPr>
          <w:p w14:paraId="06EBDD2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36 (18)</w:t>
            </w:r>
          </w:p>
        </w:tc>
        <w:tc>
          <w:tcPr>
            <w:tcW w:w="0" w:type="auto"/>
            <w:vMerge w:val="restart"/>
            <w:noWrap/>
            <w:vAlign w:val="center"/>
            <w:hideMark/>
          </w:tcPr>
          <w:p w14:paraId="218FE4F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2850336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73 (33.0)</w:t>
            </w:r>
          </w:p>
        </w:tc>
        <w:tc>
          <w:tcPr>
            <w:tcW w:w="0" w:type="auto"/>
            <w:vMerge w:val="restart"/>
            <w:noWrap/>
            <w:vAlign w:val="center"/>
            <w:hideMark/>
          </w:tcPr>
          <w:p w14:paraId="27D17F9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2B18970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6966B2D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 (1–10)</w:t>
            </w:r>
          </w:p>
        </w:tc>
        <w:tc>
          <w:tcPr>
            <w:tcW w:w="0" w:type="auto"/>
            <w:shd w:val="clear" w:color="auto" w:fill="FFFFFF"/>
            <w:noWrap/>
            <w:vAlign w:val="center"/>
            <w:hideMark/>
          </w:tcPr>
          <w:p w14:paraId="23E7F75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8.00±8.89</w:t>
            </w:r>
          </w:p>
        </w:tc>
      </w:tr>
      <w:tr w:rsidR="000C59C8" w14:paraId="36292A8E" w14:textId="77777777" w:rsidTr="0012076C">
        <w:trPr>
          <w:trHeight w:val="315"/>
        </w:trPr>
        <w:tc>
          <w:tcPr>
            <w:tcW w:w="0" w:type="auto"/>
            <w:vMerge/>
            <w:vAlign w:val="center"/>
            <w:hideMark/>
          </w:tcPr>
          <w:p w14:paraId="2834CB2E" w14:textId="77777777" w:rsidR="000C59C8" w:rsidRDefault="000C59C8" w:rsidP="0012076C">
            <w:pPr>
              <w:spacing w:after="0"/>
              <w:rPr>
                <w:rFonts w:eastAsia="Times New Roman" w:cs="Times New Roman"/>
                <w:color w:val="000000"/>
                <w:sz w:val="20"/>
                <w:szCs w:val="20"/>
                <w:lang w:eastAsia="en-GB"/>
              </w:rPr>
            </w:pPr>
          </w:p>
        </w:tc>
        <w:tc>
          <w:tcPr>
            <w:tcW w:w="0" w:type="auto"/>
            <w:vMerge/>
            <w:vAlign w:val="center"/>
            <w:hideMark/>
          </w:tcPr>
          <w:p w14:paraId="0C636820"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5C9E40E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CN</w:t>
            </w:r>
          </w:p>
        </w:tc>
        <w:tc>
          <w:tcPr>
            <w:tcW w:w="0" w:type="auto"/>
            <w:noWrap/>
            <w:vAlign w:val="center"/>
            <w:hideMark/>
          </w:tcPr>
          <w:p w14:paraId="3E2BECD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January 2015 - December 2019</w:t>
            </w:r>
          </w:p>
        </w:tc>
        <w:tc>
          <w:tcPr>
            <w:tcW w:w="0" w:type="auto"/>
            <w:noWrap/>
            <w:vAlign w:val="center"/>
            <w:hideMark/>
          </w:tcPr>
          <w:p w14:paraId="362A3D5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460</w:t>
            </w:r>
          </w:p>
        </w:tc>
        <w:tc>
          <w:tcPr>
            <w:tcW w:w="0" w:type="auto"/>
            <w:noWrap/>
            <w:vAlign w:val="center"/>
            <w:hideMark/>
          </w:tcPr>
          <w:p w14:paraId="0D80EE4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2641FD4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313 (68.0)</w:t>
            </w:r>
          </w:p>
        </w:tc>
        <w:tc>
          <w:tcPr>
            <w:tcW w:w="0" w:type="auto"/>
            <w:noWrap/>
            <w:vAlign w:val="center"/>
            <w:hideMark/>
          </w:tcPr>
          <w:p w14:paraId="4C9F2ED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317 (69.0)</w:t>
            </w:r>
          </w:p>
        </w:tc>
        <w:tc>
          <w:tcPr>
            <w:tcW w:w="0" w:type="auto"/>
            <w:noWrap/>
            <w:vAlign w:val="center"/>
            <w:hideMark/>
          </w:tcPr>
          <w:p w14:paraId="11D4CCF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130 (28)</w:t>
            </w:r>
          </w:p>
        </w:tc>
        <w:tc>
          <w:tcPr>
            <w:tcW w:w="0" w:type="auto"/>
            <w:noWrap/>
            <w:vAlign w:val="center"/>
            <w:hideMark/>
          </w:tcPr>
          <w:p w14:paraId="2BC7F7E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277 (60.0)</w:t>
            </w:r>
          </w:p>
        </w:tc>
        <w:tc>
          <w:tcPr>
            <w:tcW w:w="0" w:type="auto"/>
            <w:noWrap/>
            <w:vAlign w:val="center"/>
            <w:hideMark/>
          </w:tcPr>
          <w:p w14:paraId="317EEA8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273 (59)</w:t>
            </w:r>
          </w:p>
        </w:tc>
        <w:tc>
          <w:tcPr>
            <w:tcW w:w="0" w:type="auto"/>
            <w:noWrap/>
            <w:vAlign w:val="center"/>
            <w:hideMark/>
          </w:tcPr>
          <w:p w14:paraId="6CF930E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111 (24)</w:t>
            </w:r>
          </w:p>
        </w:tc>
        <w:tc>
          <w:tcPr>
            <w:tcW w:w="0" w:type="auto"/>
            <w:noWrap/>
            <w:vAlign w:val="center"/>
            <w:hideMark/>
          </w:tcPr>
          <w:p w14:paraId="2ED646FE"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118 (26)</w:t>
            </w:r>
          </w:p>
        </w:tc>
        <w:tc>
          <w:tcPr>
            <w:tcW w:w="0" w:type="auto"/>
            <w:noWrap/>
            <w:vAlign w:val="center"/>
            <w:hideMark/>
          </w:tcPr>
          <w:p w14:paraId="6D6E4AE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68.33±34.81</w:t>
            </w:r>
          </w:p>
        </w:tc>
        <w:tc>
          <w:tcPr>
            <w:tcW w:w="0" w:type="auto"/>
            <w:noWrap/>
            <w:vAlign w:val="center"/>
            <w:hideMark/>
          </w:tcPr>
          <w:p w14:paraId="3B3D38F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44 (10)</w:t>
            </w:r>
          </w:p>
        </w:tc>
        <w:tc>
          <w:tcPr>
            <w:tcW w:w="0" w:type="auto"/>
            <w:vMerge/>
            <w:vAlign w:val="center"/>
            <w:hideMark/>
          </w:tcPr>
          <w:p w14:paraId="36BF580A"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65A1383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18 (4.0)</w:t>
            </w:r>
          </w:p>
        </w:tc>
        <w:tc>
          <w:tcPr>
            <w:tcW w:w="0" w:type="auto"/>
            <w:vMerge/>
            <w:vAlign w:val="center"/>
            <w:hideMark/>
          </w:tcPr>
          <w:p w14:paraId="74F6AC35"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363974B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553FC6A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0AB3FE23"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2.67±1.48</w:t>
            </w:r>
          </w:p>
        </w:tc>
      </w:tr>
      <w:tr w:rsidR="000C59C8" w14:paraId="22F15915" w14:textId="77777777" w:rsidTr="0012076C">
        <w:trPr>
          <w:trHeight w:val="315"/>
        </w:trPr>
        <w:tc>
          <w:tcPr>
            <w:tcW w:w="0" w:type="auto"/>
            <w:vMerge w:val="restart"/>
            <w:noWrap/>
            <w:vAlign w:val="center"/>
            <w:hideMark/>
          </w:tcPr>
          <w:p w14:paraId="64525902" w14:textId="77777777" w:rsidR="000C59C8" w:rsidRDefault="000C59C8" w:rsidP="0012076C">
            <w:pPr>
              <w:spacing w:after="0" w:line="480" w:lineRule="auto"/>
              <w:jc w:val="center"/>
              <w:rPr>
                <w:rFonts w:eastAsia="Times New Roman" w:cs="Times New Roman"/>
                <w:color w:val="000000"/>
                <w:sz w:val="20"/>
                <w:szCs w:val="20"/>
                <w:lang w:eastAsia="en-GB"/>
              </w:rPr>
            </w:pPr>
            <w:proofErr w:type="spellStart"/>
            <w:r>
              <w:rPr>
                <w:rFonts w:eastAsia="Times New Roman" w:cs="Times New Roman"/>
                <w:color w:val="000000"/>
                <w:sz w:val="20"/>
                <w:szCs w:val="20"/>
                <w:lang w:eastAsia="en-GB"/>
              </w:rPr>
              <w:t>Kiris</w:t>
            </w:r>
            <w:proofErr w:type="spellEnd"/>
            <w:r>
              <w:rPr>
                <w:rFonts w:eastAsia="Times New Roman" w:cs="Times New Roman"/>
                <w:color w:val="000000"/>
                <w:sz w:val="20"/>
                <w:szCs w:val="20"/>
                <w:lang w:eastAsia="en-GB"/>
              </w:rPr>
              <w:t xml:space="preserve"> et al, 2021</w:t>
            </w:r>
          </w:p>
        </w:tc>
        <w:tc>
          <w:tcPr>
            <w:tcW w:w="0" w:type="auto"/>
            <w:vMerge w:val="restart"/>
            <w:noWrap/>
            <w:vAlign w:val="center"/>
            <w:hideMark/>
          </w:tcPr>
          <w:p w14:paraId="462D903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Turkey</w:t>
            </w:r>
          </w:p>
        </w:tc>
        <w:tc>
          <w:tcPr>
            <w:tcW w:w="0" w:type="auto"/>
            <w:noWrap/>
            <w:vAlign w:val="center"/>
            <w:hideMark/>
          </w:tcPr>
          <w:p w14:paraId="5D0397A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CP</w:t>
            </w:r>
          </w:p>
        </w:tc>
        <w:tc>
          <w:tcPr>
            <w:tcW w:w="0" w:type="auto"/>
            <w:noWrap/>
            <w:vAlign w:val="center"/>
            <w:hideMark/>
          </w:tcPr>
          <w:p w14:paraId="6DDDC88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11 March - 15 May 2020</w:t>
            </w:r>
          </w:p>
        </w:tc>
        <w:tc>
          <w:tcPr>
            <w:tcW w:w="0" w:type="auto"/>
            <w:noWrap/>
            <w:vAlign w:val="center"/>
            <w:hideMark/>
          </w:tcPr>
          <w:p w14:paraId="70636565"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59</w:t>
            </w:r>
          </w:p>
        </w:tc>
        <w:tc>
          <w:tcPr>
            <w:tcW w:w="0" w:type="auto"/>
            <w:noWrap/>
            <w:vAlign w:val="center"/>
            <w:hideMark/>
          </w:tcPr>
          <w:p w14:paraId="3035B8E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66.1 ± 12.0</w:t>
            </w:r>
          </w:p>
        </w:tc>
        <w:tc>
          <w:tcPr>
            <w:tcW w:w="0" w:type="auto"/>
            <w:noWrap/>
            <w:vAlign w:val="center"/>
            <w:hideMark/>
          </w:tcPr>
          <w:p w14:paraId="1803F88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39 (66.1)</w:t>
            </w:r>
          </w:p>
        </w:tc>
        <w:tc>
          <w:tcPr>
            <w:tcW w:w="0" w:type="auto"/>
            <w:noWrap/>
            <w:vAlign w:val="center"/>
            <w:hideMark/>
          </w:tcPr>
          <w:p w14:paraId="6B60F3E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29 (49)</w:t>
            </w:r>
          </w:p>
        </w:tc>
        <w:tc>
          <w:tcPr>
            <w:tcW w:w="0" w:type="auto"/>
            <w:noWrap/>
            <w:vAlign w:val="center"/>
            <w:hideMark/>
          </w:tcPr>
          <w:p w14:paraId="0179E7F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16 (27)</w:t>
            </w:r>
          </w:p>
        </w:tc>
        <w:tc>
          <w:tcPr>
            <w:tcW w:w="0" w:type="auto"/>
            <w:noWrap/>
            <w:vAlign w:val="center"/>
            <w:hideMark/>
          </w:tcPr>
          <w:p w14:paraId="3CC4E31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6848ECEE"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20 (34)</w:t>
            </w:r>
          </w:p>
        </w:tc>
        <w:tc>
          <w:tcPr>
            <w:tcW w:w="0" w:type="auto"/>
            <w:noWrap/>
            <w:vAlign w:val="center"/>
            <w:hideMark/>
          </w:tcPr>
          <w:p w14:paraId="50B64A4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7C4BEA7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076DE5C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1E15503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12 (20)</w:t>
            </w:r>
          </w:p>
        </w:tc>
        <w:tc>
          <w:tcPr>
            <w:tcW w:w="0" w:type="auto"/>
            <w:vMerge w:val="restart"/>
            <w:noWrap/>
            <w:vAlign w:val="center"/>
            <w:hideMark/>
          </w:tcPr>
          <w:p w14:paraId="32B36C6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28519EA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13 (22)</w:t>
            </w:r>
          </w:p>
        </w:tc>
        <w:tc>
          <w:tcPr>
            <w:tcW w:w="0" w:type="auto"/>
            <w:vMerge w:val="restart"/>
            <w:noWrap/>
            <w:vAlign w:val="center"/>
            <w:hideMark/>
          </w:tcPr>
          <w:p w14:paraId="5E3F54B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3EA1BC3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5DBF15C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06B32DD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r>
      <w:tr w:rsidR="000C59C8" w14:paraId="51202818" w14:textId="77777777" w:rsidTr="0012076C">
        <w:trPr>
          <w:trHeight w:val="315"/>
        </w:trPr>
        <w:tc>
          <w:tcPr>
            <w:tcW w:w="0" w:type="auto"/>
            <w:vMerge/>
            <w:vAlign w:val="center"/>
            <w:hideMark/>
          </w:tcPr>
          <w:p w14:paraId="1FF35046" w14:textId="77777777" w:rsidR="000C59C8" w:rsidRDefault="000C59C8" w:rsidP="0012076C">
            <w:pPr>
              <w:spacing w:after="0"/>
              <w:rPr>
                <w:rFonts w:eastAsia="Times New Roman" w:cs="Times New Roman"/>
                <w:color w:val="000000"/>
                <w:sz w:val="20"/>
                <w:szCs w:val="20"/>
                <w:lang w:eastAsia="en-GB"/>
              </w:rPr>
            </w:pPr>
          </w:p>
        </w:tc>
        <w:tc>
          <w:tcPr>
            <w:tcW w:w="0" w:type="auto"/>
            <w:vMerge/>
            <w:vAlign w:val="center"/>
            <w:hideMark/>
          </w:tcPr>
          <w:p w14:paraId="545B5882"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4F5F4D3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CN</w:t>
            </w:r>
          </w:p>
        </w:tc>
        <w:tc>
          <w:tcPr>
            <w:tcW w:w="0" w:type="auto"/>
            <w:noWrap/>
            <w:vAlign w:val="center"/>
            <w:hideMark/>
          </w:tcPr>
          <w:p w14:paraId="1622169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11 March - 15 May 2020</w:t>
            </w:r>
          </w:p>
        </w:tc>
        <w:tc>
          <w:tcPr>
            <w:tcW w:w="0" w:type="auto"/>
            <w:noWrap/>
            <w:vAlign w:val="center"/>
            <w:hideMark/>
          </w:tcPr>
          <w:p w14:paraId="34C9700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59</w:t>
            </w:r>
          </w:p>
        </w:tc>
        <w:tc>
          <w:tcPr>
            <w:tcW w:w="0" w:type="auto"/>
            <w:noWrap/>
            <w:vAlign w:val="center"/>
            <w:hideMark/>
          </w:tcPr>
          <w:p w14:paraId="2EDAA55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68.1 ± 11.8</w:t>
            </w:r>
          </w:p>
        </w:tc>
        <w:tc>
          <w:tcPr>
            <w:tcW w:w="0" w:type="auto"/>
            <w:noWrap/>
            <w:vAlign w:val="center"/>
            <w:hideMark/>
          </w:tcPr>
          <w:p w14:paraId="1505BF5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38 (64.4)</w:t>
            </w:r>
          </w:p>
        </w:tc>
        <w:tc>
          <w:tcPr>
            <w:tcW w:w="0" w:type="auto"/>
            <w:noWrap/>
            <w:vAlign w:val="center"/>
            <w:hideMark/>
          </w:tcPr>
          <w:p w14:paraId="18894F8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30 (51)</w:t>
            </w:r>
          </w:p>
        </w:tc>
        <w:tc>
          <w:tcPr>
            <w:tcW w:w="0" w:type="auto"/>
            <w:noWrap/>
            <w:vAlign w:val="center"/>
            <w:hideMark/>
          </w:tcPr>
          <w:p w14:paraId="66BDDF3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21 (36)</w:t>
            </w:r>
          </w:p>
        </w:tc>
        <w:tc>
          <w:tcPr>
            <w:tcW w:w="0" w:type="auto"/>
            <w:noWrap/>
            <w:vAlign w:val="center"/>
            <w:hideMark/>
          </w:tcPr>
          <w:p w14:paraId="1D2918A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4CA35FB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15 (25)</w:t>
            </w:r>
          </w:p>
        </w:tc>
        <w:tc>
          <w:tcPr>
            <w:tcW w:w="0" w:type="auto"/>
            <w:noWrap/>
            <w:vAlign w:val="center"/>
            <w:hideMark/>
          </w:tcPr>
          <w:p w14:paraId="329BA6EE"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185FBBD3"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2BB54C7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65426D2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8 (14)</w:t>
            </w:r>
          </w:p>
        </w:tc>
        <w:tc>
          <w:tcPr>
            <w:tcW w:w="0" w:type="auto"/>
            <w:vMerge/>
            <w:vAlign w:val="center"/>
            <w:hideMark/>
          </w:tcPr>
          <w:p w14:paraId="40618246"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77CF97D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5 (9)</w:t>
            </w:r>
          </w:p>
        </w:tc>
        <w:tc>
          <w:tcPr>
            <w:tcW w:w="0" w:type="auto"/>
            <w:vMerge/>
            <w:vAlign w:val="center"/>
            <w:hideMark/>
          </w:tcPr>
          <w:p w14:paraId="7201CA5B"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49BCF39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70D94B9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5B36672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r>
      <w:tr w:rsidR="000C59C8" w14:paraId="1BCCACDA" w14:textId="77777777" w:rsidTr="0012076C">
        <w:trPr>
          <w:trHeight w:val="315"/>
        </w:trPr>
        <w:tc>
          <w:tcPr>
            <w:tcW w:w="0" w:type="auto"/>
            <w:vMerge w:val="restart"/>
            <w:noWrap/>
            <w:vAlign w:val="center"/>
            <w:hideMark/>
          </w:tcPr>
          <w:p w14:paraId="59AF144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Kite et al, 2021</w:t>
            </w:r>
          </w:p>
        </w:tc>
        <w:tc>
          <w:tcPr>
            <w:tcW w:w="0" w:type="auto"/>
            <w:vMerge w:val="restart"/>
            <w:noWrap/>
            <w:vAlign w:val="center"/>
            <w:hideMark/>
          </w:tcPr>
          <w:p w14:paraId="2CA9054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 xml:space="preserve">Europe, Asia, South America, </w:t>
            </w:r>
            <w:r>
              <w:rPr>
                <w:rFonts w:eastAsia="Times New Roman" w:cs="Times New Roman"/>
                <w:color w:val="000000"/>
                <w:sz w:val="20"/>
                <w:szCs w:val="20"/>
                <w:lang w:eastAsia="en-GB"/>
              </w:rPr>
              <w:lastRenderedPageBreak/>
              <w:t>Africa, North America</w:t>
            </w:r>
          </w:p>
        </w:tc>
        <w:tc>
          <w:tcPr>
            <w:tcW w:w="0" w:type="auto"/>
            <w:noWrap/>
            <w:vAlign w:val="center"/>
            <w:hideMark/>
          </w:tcPr>
          <w:p w14:paraId="6B3BBAA5"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lastRenderedPageBreak/>
              <w:t>CP</w:t>
            </w:r>
          </w:p>
        </w:tc>
        <w:tc>
          <w:tcPr>
            <w:tcW w:w="0" w:type="auto"/>
            <w:noWrap/>
            <w:vAlign w:val="center"/>
            <w:hideMark/>
          </w:tcPr>
          <w:p w14:paraId="6D744DF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 March - 31 July 2020</w:t>
            </w:r>
          </w:p>
        </w:tc>
        <w:tc>
          <w:tcPr>
            <w:tcW w:w="0" w:type="auto"/>
            <w:noWrap/>
            <w:vAlign w:val="center"/>
            <w:hideMark/>
          </w:tcPr>
          <w:p w14:paraId="21DEF61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144</w:t>
            </w:r>
          </w:p>
        </w:tc>
        <w:tc>
          <w:tcPr>
            <w:tcW w:w="0" w:type="auto"/>
            <w:noWrap/>
            <w:vAlign w:val="center"/>
            <w:hideMark/>
          </w:tcPr>
          <w:p w14:paraId="0193744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63.1 ± 12.6</w:t>
            </w:r>
          </w:p>
        </w:tc>
        <w:tc>
          <w:tcPr>
            <w:tcW w:w="0" w:type="auto"/>
            <w:noWrap/>
            <w:vAlign w:val="center"/>
            <w:hideMark/>
          </w:tcPr>
          <w:p w14:paraId="10DF6EF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112 (77.8)</w:t>
            </w:r>
          </w:p>
        </w:tc>
        <w:tc>
          <w:tcPr>
            <w:tcW w:w="0" w:type="auto"/>
            <w:noWrap/>
            <w:vAlign w:val="center"/>
            <w:hideMark/>
          </w:tcPr>
          <w:p w14:paraId="66B046D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92/142 (64.8)</w:t>
            </w:r>
          </w:p>
        </w:tc>
        <w:tc>
          <w:tcPr>
            <w:tcW w:w="0" w:type="auto"/>
            <w:noWrap/>
            <w:vAlign w:val="center"/>
            <w:hideMark/>
          </w:tcPr>
          <w:p w14:paraId="139B181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49 (34.0)</w:t>
            </w:r>
          </w:p>
        </w:tc>
        <w:tc>
          <w:tcPr>
            <w:tcW w:w="0" w:type="auto"/>
            <w:noWrap/>
            <w:vAlign w:val="center"/>
            <w:hideMark/>
          </w:tcPr>
          <w:p w14:paraId="3FF7E1F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58/126 (46.0)</w:t>
            </w:r>
          </w:p>
        </w:tc>
        <w:tc>
          <w:tcPr>
            <w:tcW w:w="0" w:type="auto"/>
            <w:noWrap/>
            <w:vAlign w:val="center"/>
            <w:hideMark/>
          </w:tcPr>
          <w:p w14:paraId="23A41EF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39/123 (31.7)</w:t>
            </w:r>
          </w:p>
        </w:tc>
        <w:tc>
          <w:tcPr>
            <w:tcW w:w="0" w:type="auto"/>
            <w:noWrap/>
            <w:vAlign w:val="center"/>
            <w:hideMark/>
          </w:tcPr>
          <w:p w14:paraId="6A43BA1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23/140 (16.4)</w:t>
            </w:r>
          </w:p>
        </w:tc>
        <w:tc>
          <w:tcPr>
            <w:tcW w:w="0" w:type="auto"/>
            <w:noWrap/>
            <w:vAlign w:val="center"/>
            <w:hideMark/>
          </w:tcPr>
          <w:p w14:paraId="434733E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20 (13.9)</w:t>
            </w:r>
          </w:p>
        </w:tc>
        <w:tc>
          <w:tcPr>
            <w:tcW w:w="0" w:type="auto"/>
            <w:noWrap/>
            <w:vAlign w:val="center"/>
            <w:hideMark/>
          </w:tcPr>
          <w:p w14:paraId="1D9F61E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152.00±223.80</w:t>
            </w:r>
          </w:p>
        </w:tc>
        <w:tc>
          <w:tcPr>
            <w:tcW w:w="0" w:type="auto"/>
            <w:noWrap/>
            <w:vAlign w:val="center"/>
            <w:hideMark/>
          </w:tcPr>
          <w:p w14:paraId="067B1F0E"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29 (20.1)</w:t>
            </w:r>
          </w:p>
        </w:tc>
        <w:tc>
          <w:tcPr>
            <w:tcW w:w="0" w:type="auto"/>
            <w:vMerge w:val="restart"/>
            <w:noWrap/>
            <w:vAlign w:val="center"/>
            <w:hideMark/>
          </w:tcPr>
          <w:p w14:paraId="3C630A8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1.48 (1.27–1.72)</w:t>
            </w:r>
          </w:p>
        </w:tc>
        <w:tc>
          <w:tcPr>
            <w:tcW w:w="0" w:type="auto"/>
            <w:noWrap/>
            <w:vAlign w:val="center"/>
            <w:hideMark/>
          </w:tcPr>
          <w:p w14:paraId="3E9841A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33 (22.9)</w:t>
            </w:r>
          </w:p>
        </w:tc>
        <w:tc>
          <w:tcPr>
            <w:tcW w:w="0" w:type="auto"/>
            <w:vMerge w:val="restart"/>
            <w:noWrap/>
            <w:vAlign w:val="center"/>
            <w:hideMark/>
          </w:tcPr>
          <w:p w14:paraId="721B5E4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3.33 (2.04–5.42)</w:t>
            </w:r>
          </w:p>
        </w:tc>
        <w:tc>
          <w:tcPr>
            <w:tcW w:w="0" w:type="auto"/>
            <w:noWrap/>
            <w:vAlign w:val="center"/>
            <w:hideMark/>
          </w:tcPr>
          <w:p w14:paraId="1EFC0BD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66 (45.8)</w:t>
            </w:r>
          </w:p>
        </w:tc>
        <w:tc>
          <w:tcPr>
            <w:tcW w:w="0" w:type="auto"/>
            <w:noWrap/>
            <w:vAlign w:val="center"/>
            <w:hideMark/>
          </w:tcPr>
          <w:p w14:paraId="465E959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359E7A75"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7.27±7.49</w:t>
            </w:r>
          </w:p>
        </w:tc>
      </w:tr>
      <w:tr w:rsidR="000C59C8" w14:paraId="50DE6E97" w14:textId="77777777" w:rsidTr="0012076C">
        <w:trPr>
          <w:trHeight w:val="315"/>
        </w:trPr>
        <w:tc>
          <w:tcPr>
            <w:tcW w:w="0" w:type="auto"/>
            <w:vMerge/>
            <w:vAlign w:val="center"/>
            <w:hideMark/>
          </w:tcPr>
          <w:p w14:paraId="160FF293" w14:textId="77777777" w:rsidR="000C59C8" w:rsidRDefault="000C59C8" w:rsidP="0012076C">
            <w:pPr>
              <w:spacing w:after="0"/>
              <w:rPr>
                <w:rFonts w:eastAsia="Times New Roman" w:cs="Times New Roman"/>
                <w:color w:val="000000"/>
                <w:sz w:val="20"/>
                <w:szCs w:val="20"/>
                <w:lang w:eastAsia="en-GB"/>
              </w:rPr>
            </w:pPr>
          </w:p>
        </w:tc>
        <w:tc>
          <w:tcPr>
            <w:tcW w:w="0" w:type="auto"/>
            <w:vMerge/>
            <w:vAlign w:val="center"/>
            <w:hideMark/>
          </w:tcPr>
          <w:p w14:paraId="7CD9C0E6"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48CA2D0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CN</w:t>
            </w:r>
          </w:p>
        </w:tc>
        <w:tc>
          <w:tcPr>
            <w:tcW w:w="0" w:type="auto"/>
            <w:noWrap/>
            <w:vAlign w:val="center"/>
            <w:hideMark/>
          </w:tcPr>
          <w:p w14:paraId="0F2ED1A5"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 April 2018 - 31 March 2019</w:t>
            </w:r>
          </w:p>
        </w:tc>
        <w:tc>
          <w:tcPr>
            <w:tcW w:w="0" w:type="auto"/>
            <w:noWrap/>
            <w:vAlign w:val="center"/>
            <w:hideMark/>
          </w:tcPr>
          <w:p w14:paraId="122D67D5"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24,961</w:t>
            </w:r>
          </w:p>
        </w:tc>
        <w:tc>
          <w:tcPr>
            <w:tcW w:w="0" w:type="auto"/>
            <w:noWrap/>
            <w:vAlign w:val="center"/>
            <w:hideMark/>
          </w:tcPr>
          <w:p w14:paraId="72F5156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65.6 ± 13.4</w:t>
            </w:r>
          </w:p>
        </w:tc>
        <w:tc>
          <w:tcPr>
            <w:tcW w:w="0" w:type="auto"/>
            <w:noWrap/>
            <w:vAlign w:val="center"/>
            <w:hideMark/>
          </w:tcPr>
          <w:p w14:paraId="3F42945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17972 (72.2)</w:t>
            </w:r>
          </w:p>
        </w:tc>
        <w:tc>
          <w:tcPr>
            <w:tcW w:w="0" w:type="auto"/>
            <w:noWrap/>
            <w:vAlign w:val="center"/>
            <w:hideMark/>
          </w:tcPr>
          <w:p w14:paraId="7840ABF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9,456 (44.8)</w:t>
            </w:r>
          </w:p>
        </w:tc>
        <w:tc>
          <w:tcPr>
            <w:tcW w:w="0" w:type="auto"/>
            <w:noWrap/>
            <w:vAlign w:val="center"/>
            <w:hideMark/>
          </w:tcPr>
          <w:p w14:paraId="6412C41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4,926 (20.9)</w:t>
            </w:r>
          </w:p>
        </w:tc>
        <w:tc>
          <w:tcPr>
            <w:tcW w:w="0" w:type="auto"/>
            <w:noWrap/>
            <w:vAlign w:val="center"/>
            <w:hideMark/>
          </w:tcPr>
          <w:p w14:paraId="3EFA067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6,039 (28.9)</w:t>
            </w:r>
          </w:p>
        </w:tc>
        <w:tc>
          <w:tcPr>
            <w:tcW w:w="0" w:type="auto"/>
            <w:noWrap/>
            <w:vAlign w:val="center"/>
            <w:hideMark/>
          </w:tcPr>
          <w:p w14:paraId="18D6E81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7,645 (33.7)</w:t>
            </w:r>
          </w:p>
        </w:tc>
        <w:tc>
          <w:tcPr>
            <w:tcW w:w="0" w:type="auto"/>
            <w:noWrap/>
            <w:vAlign w:val="center"/>
            <w:hideMark/>
          </w:tcPr>
          <w:p w14:paraId="07925A3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2747 (13.0)</w:t>
            </w:r>
          </w:p>
        </w:tc>
        <w:tc>
          <w:tcPr>
            <w:tcW w:w="0" w:type="auto"/>
            <w:noWrap/>
            <w:vAlign w:val="center"/>
            <w:hideMark/>
          </w:tcPr>
          <w:p w14:paraId="149B37F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2129 (10.2)</w:t>
            </w:r>
          </w:p>
        </w:tc>
        <w:tc>
          <w:tcPr>
            <w:tcW w:w="0" w:type="auto"/>
            <w:noWrap/>
            <w:vAlign w:val="center"/>
            <w:hideMark/>
          </w:tcPr>
          <w:p w14:paraId="21BDAAC3"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59.00±57.78</w:t>
            </w:r>
          </w:p>
        </w:tc>
        <w:tc>
          <w:tcPr>
            <w:tcW w:w="0" w:type="auto"/>
            <w:noWrap/>
            <w:vAlign w:val="center"/>
            <w:hideMark/>
          </w:tcPr>
          <w:p w14:paraId="044CB3A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1,898/21,972 (8.7)</w:t>
            </w:r>
          </w:p>
        </w:tc>
        <w:tc>
          <w:tcPr>
            <w:tcW w:w="0" w:type="auto"/>
            <w:vMerge/>
            <w:vAlign w:val="center"/>
            <w:hideMark/>
          </w:tcPr>
          <w:p w14:paraId="0D9441EB"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0BB195B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1,232/21,675 (5.7)</w:t>
            </w:r>
          </w:p>
        </w:tc>
        <w:tc>
          <w:tcPr>
            <w:tcW w:w="0" w:type="auto"/>
            <w:vMerge/>
            <w:vAlign w:val="center"/>
            <w:hideMark/>
          </w:tcPr>
          <w:p w14:paraId="36C92994"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5E4CF10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48C7605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23C8292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2.00±2.22</w:t>
            </w:r>
          </w:p>
        </w:tc>
      </w:tr>
      <w:tr w:rsidR="000C59C8" w14:paraId="15A3A812" w14:textId="77777777" w:rsidTr="0012076C">
        <w:trPr>
          <w:trHeight w:val="315"/>
        </w:trPr>
        <w:tc>
          <w:tcPr>
            <w:tcW w:w="0" w:type="auto"/>
            <w:vMerge w:val="restart"/>
            <w:noWrap/>
            <w:vAlign w:val="center"/>
            <w:hideMark/>
          </w:tcPr>
          <w:p w14:paraId="00457904" w14:textId="77777777" w:rsidR="000C59C8" w:rsidRDefault="000C59C8" w:rsidP="0012076C">
            <w:pPr>
              <w:spacing w:after="0" w:line="480" w:lineRule="auto"/>
              <w:jc w:val="center"/>
              <w:rPr>
                <w:rFonts w:eastAsia="Times New Roman" w:cs="Times New Roman"/>
                <w:color w:val="000000"/>
                <w:sz w:val="20"/>
                <w:szCs w:val="20"/>
                <w:lang w:eastAsia="en-GB"/>
              </w:rPr>
            </w:pPr>
            <w:proofErr w:type="spellStart"/>
            <w:r>
              <w:rPr>
                <w:rFonts w:eastAsia="Times New Roman" w:cs="Times New Roman"/>
                <w:color w:val="000000"/>
                <w:sz w:val="20"/>
                <w:szCs w:val="20"/>
                <w:lang w:eastAsia="en-GB"/>
              </w:rPr>
              <w:t>Koutsoukis</w:t>
            </w:r>
            <w:proofErr w:type="spellEnd"/>
            <w:r>
              <w:rPr>
                <w:rFonts w:eastAsia="Times New Roman" w:cs="Times New Roman"/>
                <w:color w:val="000000"/>
                <w:sz w:val="20"/>
                <w:szCs w:val="20"/>
                <w:lang w:eastAsia="en-GB"/>
              </w:rPr>
              <w:t xml:space="preserve"> et al, 2021</w:t>
            </w:r>
          </w:p>
        </w:tc>
        <w:tc>
          <w:tcPr>
            <w:tcW w:w="0" w:type="auto"/>
            <w:vMerge w:val="restart"/>
            <w:noWrap/>
            <w:vAlign w:val="center"/>
            <w:hideMark/>
          </w:tcPr>
          <w:p w14:paraId="04403FF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France</w:t>
            </w:r>
          </w:p>
        </w:tc>
        <w:tc>
          <w:tcPr>
            <w:tcW w:w="0" w:type="auto"/>
            <w:noWrap/>
            <w:vAlign w:val="center"/>
            <w:hideMark/>
          </w:tcPr>
          <w:p w14:paraId="2FE35C7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CP</w:t>
            </w:r>
          </w:p>
        </w:tc>
        <w:tc>
          <w:tcPr>
            <w:tcW w:w="0" w:type="auto"/>
            <w:noWrap/>
            <w:vAlign w:val="center"/>
            <w:hideMark/>
          </w:tcPr>
          <w:p w14:paraId="406053F5"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 April - 22 April 2020</w:t>
            </w:r>
          </w:p>
        </w:tc>
        <w:tc>
          <w:tcPr>
            <w:tcW w:w="0" w:type="auto"/>
            <w:noWrap/>
            <w:vAlign w:val="center"/>
            <w:hideMark/>
          </w:tcPr>
          <w:p w14:paraId="4A81AD2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17</w:t>
            </w:r>
          </w:p>
        </w:tc>
        <w:tc>
          <w:tcPr>
            <w:tcW w:w="0" w:type="auto"/>
            <w:noWrap/>
            <w:vAlign w:val="center"/>
            <w:hideMark/>
          </w:tcPr>
          <w:p w14:paraId="6BDD0D9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63.4 ± 13.2</w:t>
            </w:r>
          </w:p>
        </w:tc>
        <w:tc>
          <w:tcPr>
            <w:tcW w:w="0" w:type="auto"/>
            <w:noWrap/>
            <w:vAlign w:val="center"/>
            <w:hideMark/>
          </w:tcPr>
          <w:p w14:paraId="1A5FDBF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12 (70)</w:t>
            </w:r>
          </w:p>
        </w:tc>
        <w:tc>
          <w:tcPr>
            <w:tcW w:w="0" w:type="auto"/>
            <w:noWrap/>
            <w:vAlign w:val="center"/>
            <w:hideMark/>
          </w:tcPr>
          <w:p w14:paraId="6A8722F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5D5473EE"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0BF05F6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1F87F7F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3E41600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6D0DD27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464F3A7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6882424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8 (</w:t>
            </w:r>
            <w:proofErr w:type="gramStart"/>
            <w:r>
              <w:rPr>
                <w:rFonts w:eastAsia="Times New Roman" w:cs="Times New Roman"/>
                <w:color w:val="000000"/>
                <w:sz w:val="20"/>
                <w:szCs w:val="20"/>
                <w:lang w:eastAsia="en-GB"/>
              </w:rPr>
              <w:t>47.1)</w:t>
            </w:r>
            <w:r>
              <w:rPr>
                <w:rFonts w:eastAsia="Times New Roman" w:cs="Times New Roman"/>
                <w:color w:val="000000"/>
                <w:sz w:val="20"/>
                <w:szCs w:val="20"/>
                <w:vertAlign w:val="superscript"/>
                <w:lang w:eastAsia="en-GB"/>
              </w:rPr>
              <w:t>†</w:t>
            </w:r>
            <w:proofErr w:type="gramEnd"/>
          </w:p>
        </w:tc>
        <w:tc>
          <w:tcPr>
            <w:tcW w:w="0" w:type="auto"/>
            <w:vMerge w:val="restart"/>
            <w:noWrap/>
            <w:vAlign w:val="center"/>
            <w:hideMark/>
          </w:tcPr>
          <w:p w14:paraId="6835FC0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7A128F0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7 (41.2)</w:t>
            </w:r>
          </w:p>
        </w:tc>
        <w:tc>
          <w:tcPr>
            <w:tcW w:w="0" w:type="auto"/>
            <w:vMerge w:val="restart"/>
            <w:noWrap/>
            <w:vAlign w:val="center"/>
            <w:hideMark/>
          </w:tcPr>
          <w:p w14:paraId="3504F9D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1AF2B80E"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6C8BB4F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46AA7DA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r>
      <w:tr w:rsidR="000C59C8" w14:paraId="5EE5BDBE" w14:textId="77777777" w:rsidTr="0012076C">
        <w:trPr>
          <w:trHeight w:val="315"/>
        </w:trPr>
        <w:tc>
          <w:tcPr>
            <w:tcW w:w="0" w:type="auto"/>
            <w:vMerge/>
            <w:vAlign w:val="center"/>
            <w:hideMark/>
          </w:tcPr>
          <w:p w14:paraId="42736EB0" w14:textId="77777777" w:rsidR="000C59C8" w:rsidRDefault="000C59C8" w:rsidP="0012076C">
            <w:pPr>
              <w:spacing w:after="0"/>
              <w:rPr>
                <w:rFonts w:eastAsia="Times New Roman" w:cs="Times New Roman"/>
                <w:color w:val="000000"/>
                <w:sz w:val="20"/>
                <w:szCs w:val="20"/>
                <w:lang w:eastAsia="en-GB"/>
              </w:rPr>
            </w:pPr>
          </w:p>
        </w:tc>
        <w:tc>
          <w:tcPr>
            <w:tcW w:w="0" w:type="auto"/>
            <w:vMerge/>
            <w:vAlign w:val="center"/>
            <w:hideMark/>
          </w:tcPr>
          <w:p w14:paraId="616A3FF6"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44249B0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CN</w:t>
            </w:r>
          </w:p>
        </w:tc>
        <w:tc>
          <w:tcPr>
            <w:tcW w:w="0" w:type="auto"/>
            <w:noWrap/>
            <w:vAlign w:val="center"/>
            <w:hideMark/>
          </w:tcPr>
          <w:p w14:paraId="4B5C538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 April - 22 April 2020</w:t>
            </w:r>
          </w:p>
        </w:tc>
        <w:tc>
          <w:tcPr>
            <w:tcW w:w="0" w:type="auto"/>
            <w:noWrap/>
            <w:vAlign w:val="center"/>
            <w:hideMark/>
          </w:tcPr>
          <w:p w14:paraId="2FFC4E4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99</w:t>
            </w:r>
          </w:p>
        </w:tc>
        <w:tc>
          <w:tcPr>
            <w:tcW w:w="0" w:type="auto"/>
            <w:noWrap/>
            <w:vAlign w:val="center"/>
            <w:hideMark/>
          </w:tcPr>
          <w:p w14:paraId="7D5418D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66.8 ± 13.9</w:t>
            </w:r>
          </w:p>
        </w:tc>
        <w:tc>
          <w:tcPr>
            <w:tcW w:w="0" w:type="auto"/>
            <w:noWrap/>
            <w:vAlign w:val="center"/>
            <w:hideMark/>
          </w:tcPr>
          <w:p w14:paraId="1E4AC80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67 (67)</w:t>
            </w:r>
          </w:p>
        </w:tc>
        <w:tc>
          <w:tcPr>
            <w:tcW w:w="0" w:type="auto"/>
            <w:noWrap/>
            <w:vAlign w:val="center"/>
            <w:hideMark/>
          </w:tcPr>
          <w:p w14:paraId="35E8843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342428D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6A4070B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452FF7F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5C479085"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40803275"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111C7AD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0CA03BE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22 (</w:t>
            </w:r>
            <w:proofErr w:type="gramStart"/>
            <w:r>
              <w:rPr>
                <w:rFonts w:eastAsia="Times New Roman" w:cs="Times New Roman"/>
                <w:color w:val="000000"/>
                <w:sz w:val="20"/>
                <w:szCs w:val="20"/>
                <w:lang w:eastAsia="en-GB"/>
              </w:rPr>
              <w:t>22.2)</w:t>
            </w:r>
            <w:r>
              <w:rPr>
                <w:rFonts w:eastAsia="Times New Roman" w:cs="Times New Roman"/>
                <w:color w:val="000000"/>
                <w:sz w:val="20"/>
                <w:szCs w:val="20"/>
                <w:vertAlign w:val="superscript"/>
                <w:lang w:eastAsia="en-GB"/>
              </w:rPr>
              <w:t>†</w:t>
            </w:r>
            <w:proofErr w:type="gramEnd"/>
          </w:p>
        </w:tc>
        <w:tc>
          <w:tcPr>
            <w:tcW w:w="0" w:type="auto"/>
            <w:vMerge/>
            <w:vAlign w:val="center"/>
            <w:hideMark/>
          </w:tcPr>
          <w:p w14:paraId="7A26EB8D"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422769D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8 (8.1)</w:t>
            </w:r>
          </w:p>
        </w:tc>
        <w:tc>
          <w:tcPr>
            <w:tcW w:w="0" w:type="auto"/>
            <w:vMerge/>
            <w:vAlign w:val="center"/>
            <w:hideMark/>
          </w:tcPr>
          <w:p w14:paraId="7D156E58"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3A371A1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6EF16CA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3EE128C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r>
      <w:tr w:rsidR="000C59C8" w14:paraId="6EFFDCAF" w14:textId="77777777" w:rsidTr="0012076C">
        <w:trPr>
          <w:trHeight w:val="315"/>
        </w:trPr>
        <w:tc>
          <w:tcPr>
            <w:tcW w:w="0" w:type="auto"/>
            <w:vMerge w:val="restart"/>
            <w:noWrap/>
            <w:vAlign w:val="center"/>
            <w:hideMark/>
          </w:tcPr>
          <w:p w14:paraId="2EAD1A5C" w14:textId="77777777" w:rsidR="000C59C8" w:rsidRDefault="000C59C8" w:rsidP="0012076C">
            <w:pPr>
              <w:spacing w:after="0" w:line="480" w:lineRule="auto"/>
              <w:jc w:val="center"/>
              <w:rPr>
                <w:rFonts w:eastAsia="Times New Roman" w:cs="Times New Roman"/>
                <w:color w:val="000000"/>
                <w:sz w:val="20"/>
                <w:szCs w:val="20"/>
                <w:lang w:eastAsia="en-GB"/>
              </w:rPr>
            </w:pPr>
            <w:proofErr w:type="spellStart"/>
            <w:r>
              <w:rPr>
                <w:rFonts w:eastAsia="Times New Roman" w:cs="Times New Roman"/>
                <w:color w:val="000000"/>
                <w:sz w:val="20"/>
                <w:szCs w:val="20"/>
                <w:lang w:eastAsia="en-GB"/>
              </w:rPr>
              <w:t>Marfella</w:t>
            </w:r>
            <w:proofErr w:type="spellEnd"/>
            <w:r>
              <w:rPr>
                <w:rFonts w:eastAsia="Times New Roman" w:cs="Times New Roman"/>
                <w:color w:val="000000"/>
                <w:sz w:val="20"/>
                <w:szCs w:val="20"/>
                <w:lang w:eastAsia="en-GB"/>
              </w:rPr>
              <w:t xml:space="preserve"> et al, 2021</w:t>
            </w:r>
          </w:p>
        </w:tc>
        <w:tc>
          <w:tcPr>
            <w:tcW w:w="0" w:type="auto"/>
            <w:vMerge w:val="restart"/>
            <w:noWrap/>
            <w:vAlign w:val="center"/>
            <w:hideMark/>
          </w:tcPr>
          <w:p w14:paraId="41D90A5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Italy</w:t>
            </w:r>
          </w:p>
        </w:tc>
        <w:tc>
          <w:tcPr>
            <w:tcW w:w="0" w:type="auto"/>
            <w:noWrap/>
            <w:vAlign w:val="center"/>
            <w:hideMark/>
          </w:tcPr>
          <w:p w14:paraId="3E6DCFE5"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CP</w:t>
            </w:r>
          </w:p>
        </w:tc>
        <w:tc>
          <w:tcPr>
            <w:tcW w:w="0" w:type="auto"/>
            <w:noWrap/>
            <w:vAlign w:val="center"/>
            <w:hideMark/>
          </w:tcPr>
          <w:p w14:paraId="15CD517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February - November 2020</w:t>
            </w:r>
          </w:p>
        </w:tc>
        <w:tc>
          <w:tcPr>
            <w:tcW w:w="0" w:type="auto"/>
            <w:noWrap/>
            <w:vAlign w:val="center"/>
            <w:hideMark/>
          </w:tcPr>
          <w:p w14:paraId="00BA404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46</w:t>
            </w:r>
          </w:p>
        </w:tc>
        <w:tc>
          <w:tcPr>
            <w:tcW w:w="0" w:type="auto"/>
            <w:noWrap/>
            <w:vAlign w:val="center"/>
            <w:hideMark/>
          </w:tcPr>
          <w:p w14:paraId="0441CB8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56.13 ± 6.21</w:t>
            </w:r>
          </w:p>
        </w:tc>
        <w:tc>
          <w:tcPr>
            <w:tcW w:w="0" w:type="auto"/>
            <w:noWrap/>
            <w:vAlign w:val="center"/>
            <w:hideMark/>
          </w:tcPr>
          <w:p w14:paraId="6B29AFB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31 (67.4)</w:t>
            </w:r>
          </w:p>
        </w:tc>
        <w:tc>
          <w:tcPr>
            <w:tcW w:w="0" w:type="auto"/>
            <w:noWrap/>
            <w:vAlign w:val="center"/>
            <w:hideMark/>
          </w:tcPr>
          <w:p w14:paraId="394600B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18 (39.1)</w:t>
            </w:r>
          </w:p>
        </w:tc>
        <w:tc>
          <w:tcPr>
            <w:tcW w:w="0" w:type="auto"/>
            <w:noWrap/>
            <w:vAlign w:val="center"/>
            <w:hideMark/>
          </w:tcPr>
          <w:p w14:paraId="4D97086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8 (17.4)</w:t>
            </w:r>
          </w:p>
        </w:tc>
        <w:tc>
          <w:tcPr>
            <w:tcW w:w="0" w:type="auto"/>
            <w:noWrap/>
            <w:vAlign w:val="center"/>
            <w:hideMark/>
          </w:tcPr>
          <w:p w14:paraId="36297A8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7 (15.2)</w:t>
            </w:r>
          </w:p>
        </w:tc>
        <w:tc>
          <w:tcPr>
            <w:tcW w:w="0" w:type="auto"/>
            <w:noWrap/>
            <w:vAlign w:val="center"/>
            <w:hideMark/>
          </w:tcPr>
          <w:p w14:paraId="704D9E1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 (6.5)</w:t>
            </w:r>
          </w:p>
        </w:tc>
        <w:tc>
          <w:tcPr>
            <w:tcW w:w="0" w:type="auto"/>
            <w:noWrap/>
            <w:vAlign w:val="center"/>
            <w:hideMark/>
          </w:tcPr>
          <w:p w14:paraId="6CB6185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20D1A37E"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2579EE6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54.67±26.01</w:t>
            </w:r>
          </w:p>
        </w:tc>
        <w:tc>
          <w:tcPr>
            <w:tcW w:w="0" w:type="auto"/>
            <w:noWrap/>
            <w:vAlign w:val="center"/>
            <w:hideMark/>
          </w:tcPr>
          <w:p w14:paraId="51BC49F3"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 (6.5)</w:t>
            </w:r>
          </w:p>
        </w:tc>
        <w:tc>
          <w:tcPr>
            <w:tcW w:w="0" w:type="auto"/>
            <w:vMerge w:val="restart"/>
            <w:noWrap/>
            <w:vAlign w:val="center"/>
            <w:hideMark/>
          </w:tcPr>
          <w:p w14:paraId="3F6DC94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71CF154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 (8.7)</w:t>
            </w:r>
          </w:p>
        </w:tc>
        <w:tc>
          <w:tcPr>
            <w:tcW w:w="0" w:type="auto"/>
            <w:vMerge w:val="restart"/>
            <w:noWrap/>
            <w:vAlign w:val="center"/>
            <w:hideMark/>
          </w:tcPr>
          <w:p w14:paraId="30716F3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0AC439A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24E520C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05281D7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r>
      <w:tr w:rsidR="000C59C8" w14:paraId="68873ED0" w14:textId="77777777" w:rsidTr="0012076C">
        <w:trPr>
          <w:trHeight w:val="315"/>
        </w:trPr>
        <w:tc>
          <w:tcPr>
            <w:tcW w:w="0" w:type="auto"/>
            <w:vMerge/>
            <w:vAlign w:val="center"/>
            <w:hideMark/>
          </w:tcPr>
          <w:p w14:paraId="68C22014" w14:textId="77777777" w:rsidR="000C59C8" w:rsidRDefault="000C59C8" w:rsidP="0012076C">
            <w:pPr>
              <w:spacing w:after="0"/>
              <w:rPr>
                <w:rFonts w:eastAsia="Times New Roman" w:cs="Times New Roman"/>
                <w:color w:val="000000"/>
                <w:sz w:val="20"/>
                <w:szCs w:val="20"/>
                <w:lang w:eastAsia="en-GB"/>
              </w:rPr>
            </w:pPr>
          </w:p>
        </w:tc>
        <w:tc>
          <w:tcPr>
            <w:tcW w:w="0" w:type="auto"/>
            <w:vMerge/>
            <w:vAlign w:val="center"/>
            <w:hideMark/>
          </w:tcPr>
          <w:p w14:paraId="7A559EDE"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41BC914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CN</w:t>
            </w:r>
          </w:p>
        </w:tc>
        <w:tc>
          <w:tcPr>
            <w:tcW w:w="0" w:type="auto"/>
            <w:noWrap/>
            <w:vAlign w:val="center"/>
            <w:hideMark/>
          </w:tcPr>
          <w:p w14:paraId="7A1F0B1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February - November 2020</w:t>
            </w:r>
          </w:p>
        </w:tc>
        <w:tc>
          <w:tcPr>
            <w:tcW w:w="0" w:type="auto"/>
            <w:noWrap/>
            <w:vAlign w:val="center"/>
            <w:hideMark/>
          </w:tcPr>
          <w:p w14:paraId="13FA571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130</w:t>
            </w:r>
          </w:p>
        </w:tc>
        <w:tc>
          <w:tcPr>
            <w:tcW w:w="0" w:type="auto"/>
            <w:noWrap/>
            <w:vAlign w:val="center"/>
            <w:hideMark/>
          </w:tcPr>
          <w:p w14:paraId="05EAE0A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 xml:space="preserve">68.43 ± </w:t>
            </w:r>
            <w:r>
              <w:rPr>
                <w:rFonts w:eastAsia="Times New Roman" w:cs="Times New Roman"/>
                <w:color w:val="000000"/>
                <w:sz w:val="20"/>
                <w:szCs w:val="20"/>
                <w:lang w:eastAsia="en-GB"/>
              </w:rPr>
              <w:lastRenderedPageBreak/>
              <w:t>6.46</w:t>
            </w:r>
          </w:p>
        </w:tc>
        <w:tc>
          <w:tcPr>
            <w:tcW w:w="0" w:type="auto"/>
            <w:noWrap/>
            <w:vAlign w:val="center"/>
            <w:hideMark/>
          </w:tcPr>
          <w:p w14:paraId="1EB8FFF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lastRenderedPageBreak/>
              <w:t>86 (66.2)</w:t>
            </w:r>
          </w:p>
        </w:tc>
        <w:tc>
          <w:tcPr>
            <w:tcW w:w="0" w:type="auto"/>
            <w:noWrap/>
            <w:vAlign w:val="center"/>
            <w:hideMark/>
          </w:tcPr>
          <w:p w14:paraId="3A419C4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72 (55.4)</w:t>
            </w:r>
          </w:p>
        </w:tc>
        <w:tc>
          <w:tcPr>
            <w:tcW w:w="0" w:type="auto"/>
            <w:noWrap/>
            <w:vAlign w:val="center"/>
            <w:hideMark/>
          </w:tcPr>
          <w:p w14:paraId="0214091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38 (29.2)</w:t>
            </w:r>
          </w:p>
        </w:tc>
        <w:tc>
          <w:tcPr>
            <w:tcW w:w="0" w:type="auto"/>
            <w:noWrap/>
            <w:vAlign w:val="center"/>
            <w:hideMark/>
          </w:tcPr>
          <w:p w14:paraId="55AD4F8E"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30 (23.7)</w:t>
            </w:r>
          </w:p>
        </w:tc>
        <w:tc>
          <w:tcPr>
            <w:tcW w:w="0" w:type="auto"/>
            <w:noWrap/>
            <w:vAlign w:val="center"/>
            <w:hideMark/>
          </w:tcPr>
          <w:p w14:paraId="74D1EE2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39 (29.2)</w:t>
            </w:r>
          </w:p>
        </w:tc>
        <w:tc>
          <w:tcPr>
            <w:tcW w:w="0" w:type="auto"/>
            <w:noWrap/>
            <w:vAlign w:val="center"/>
            <w:hideMark/>
          </w:tcPr>
          <w:p w14:paraId="34A935E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5A86284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67C2FBB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48.06±16.94</w:t>
            </w:r>
          </w:p>
        </w:tc>
        <w:tc>
          <w:tcPr>
            <w:tcW w:w="0" w:type="auto"/>
            <w:noWrap/>
            <w:vAlign w:val="center"/>
            <w:hideMark/>
          </w:tcPr>
          <w:p w14:paraId="3E3F548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 (2.3)</w:t>
            </w:r>
          </w:p>
        </w:tc>
        <w:tc>
          <w:tcPr>
            <w:tcW w:w="0" w:type="auto"/>
            <w:vMerge/>
            <w:vAlign w:val="center"/>
            <w:hideMark/>
          </w:tcPr>
          <w:p w14:paraId="1E99951C"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04FA082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 (1.5)</w:t>
            </w:r>
          </w:p>
        </w:tc>
        <w:tc>
          <w:tcPr>
            <w:tcW w:w="0" w:type="auto"/>
            <w:vMerge/>
            <w:vAlign w:val="center"/>
            <w:hideMark/>
          </w:tcPr>
          <w:p w14:paraId="07175D65"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2666990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490950E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0571599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r>
      <w:tr w:rsidR="000C59C8" w14:paraId="6A059398" w14:textId="77777777" w:rsidTr="0012076C">
        <w:trPr>
          <w:trHeight w:val="315"/>
        </w:trPr>
        <w:tc>
          <w:tcPr>
            <w:tcW w:w="0" w:type="auto"/>
            <w:vMerge w:val="restart"/>
            <w:noWrap/>
            <w:vAlign w:val="center"/>
            <w:hideMark/>
          </w:tcPr>
          <w:p w14:paraId="2781918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Rodriguez-Leor et al, 2021</w:t>
            </w:r>
          </w:p>
        </w:tc>
        <w:tc>
          <w:tcPr>
            <w:tcW w:w="0" w:type="auto"/>
            <w:vMerge w:val="restart"/>
            <w:noWrap/>
            <w:vAlign w:val="center"/>
            <w:hideMark/>
          </w:tcPr>
          <w:p w14:paraId="30B9757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Spain</w:t>
            </w:r>
          </w:p>
        </w:tc>
        <w:tc>
          <w:tcPr>
            <w:tcW w:w="0" w:type="auto"/>
            <w:noWrap/>
            <w:vAlign w:val="center"/>
            <w:hideMark/>
          </w:tcPr>
          <w:p w14:paraId="55DCF6C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CP</w:t>
            </w:r>
          </w:p>
        </w:tc>
        <w:tc>
          <w:tcPr>
            <w:tcW w:w="0" w:type="auto"/>
            <w:noWrap/>
            <w:vAlign w:val="center"/>
            <w:hideMark/>
          </w:tcPr>
          <w:p w14:paraId="18F41D3E"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14 March - 30 April 2020</w:t>
            </w:r>
          </w:p>
        </w:tc>
        <w:tc>
          <w:tcPr>
            <w:tcW w:w="0" w:type="auto"/>
            <w:noWrap/>
            <w:vAlign w:val="center"/>
            <w:hideMark/>
          </w:tcPr>
          <w:p w14:paraId="68128B0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91</w:t>
            </w:r>
          </w:p>
        </w:tc>
        <w:tc>
          <w:tcPr>
            <w:tcW w:w="0" w:type="auto"/>
            <w:noWrap/>
            <w:vAlign w:val="center"/>
            <w:hideMark/>
          </w:tcPr>
          <w:p w14:paraId="2A6D15B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64.8±11.8</w:t>
            </w:r>
          </w:p>
        </w:tc>
        <w:tc>
          <w:tcPr>
            <w:tcW w:w="0" w:type="auto"/>
            <w:noWrap/>
            <w:vAlign w:val="center"/>
            <w:hideMark/>
          </w:tcPr>
          <w:p w14:paraId="35E5E1F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76/90 (84.4)</w:t>
            </w:r>
          </w:p>
        </w:tc>
        <w:tc>
          <w:tcPr>
            <w:tcW w:w="0" w:type="auto"/>
            <w:noWrap/>
            <w:vAlign w:val="center"/>
            <w:hideMark/>
          </w:tcPr>
          <w:p w14:paraId="4F1AC98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47 (51.7)</w:t>
            </w:r>
          </w:p>
        </w:tc>
        <w:tc>
          <w:tcPr>
            <w:tcW w:w="0" w:type="auto"/>
            <w:noWrap/>
            <w:vAlign w:val="center"/>
            <w:hideMark/>
          </w:tcPr>
          <w:p w14:paraId="51B2F39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21 (23.1)</w:t>
            </w:r>
          </w:p>
        </w:tc>
        <w:tc>
          <w:tcPr>
            <w:tcW w:w="0" w:type="auto"/>
            <w:noWrap/>
            <w:vAlign w:val="center"/>
            <w:hideMark/>
          </w:tcPr>
          <w:p w14:paraId="59390CF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44 (48.4)</w:t>
            </w:r>
          </w:p>
        </w:tc>
        <w:tc>
          <w:tcPr>
            <w:tcW w:w="0" w:type="auto"/>
            <w:noWrap/>
            <w:vAlign w:val="center"/>
            <w:hideMark/>
          </w:tcPr>
          <w:p w14:paraId="7CB2BF95"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17(18.7)</w:t>
            </w:r>
          </w:p>
        </w:tc>
        <w:tc>
          <w:tcPr>
            <w:tcW w:w="0" w:type="auto"/>
            <w:noWrap/>
            <w:vAlign w:val="center"/>
            <w:hideMark/>
          </w:tcPr>
          <w:p w14:paraId="706CBA4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163224A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1CB5212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6BC623D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9 (</w:t>
            </w:r>
            <w:proofErr w:type="gramStart"/>
            <w:r>
              <w:rPr>
                <w:rFonts w:eastAsia="Times New Roman" w:cs="Times New Roman"/>
                <w:color w:val="000000"/>
                <w:sz w:val="20"/>
                <w:szCs w:val="20"/>
                <w:lang w:eastAsia="en-GB"/>
              </w:rPr>
              <w:t>9.9)</w:t>
            </w:r>
            <w:r>
              <w:rPr>
                <w:rFonts w:eastAsia="Times New Roman" w:cs="Times New Roman"/>
                <w:color w:val="000000"/>
                <w:sz w:val="20"/>
                <w:szCs w:val="20"/>
                <w:vertAlign w:val="superscript"/>
                <w:lang w:eastAsia="en-GB"/>
              </w:rPr>
              <w:t>‡</w:t>
            </w:r>
            <w:proofErr w:type="gramEnd"/>
          </w:p>
        </w:tc>
        <w:tc>
          <w:tcPr>
            <w:tcW w:w="0" w:type="auto"/>
            <w:vMerge w:val="restart"/>
            <w:noWrap/>
            <w:vAlign w:val="center"/>
            <w:hideMark/>
          </w:tcPr>
          <w:p w14:paraId="2B5907C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118C4B1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21 (23.1)</w:t>
            </w:r>
          </w:p>
        </w:tc>
        <w:tc>
          <w:tcPr>
            <w:tcW w:w="0" w:type="auto"/>
            <w:vMerge w:val="restart"/>
            <w:noWrap/>
            <w:vAlign w:val="center"/>
            <w:hideMark/>
          </w:tcPr>
          <w:p w14:paraId="4E28829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4.85 (2.04- 11.51)</w:t>
            </w:r>
          </w:p>
        </w:tc>
        <w:tc>
          <w:tcPr>
            <w:tcW w:w="0" w:type="auto"/>
            <w:noWrap/>
            <w:vAlign w:val="center"/>
            <w:hideMark/>
          </w:tcPr>
          <w:p w14:paraId="0327F77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2F4E353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665BC79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r>
      <w:tr w:rsidR="000C59C8" w14:paraId="02C59AAC" w14:textId="77777777" w:rsidTr="0012076C">
        <w:trPr>
          <w:trHeight w:val="300"/>
        </w:trPr>
        <w:tc>
          <w:tcPr>
            <w:tcW w:w="0" w:type="auto"/>
            <w:vMerge/>
            <w:vAlign w:val="center"/>
            <w:hideMark/>
          </w:tcPr>
          <w:p w14:paraId="72FC2BF2" w14:textId="77777777" w:rsidR="000C59C8" w:rsidRDefault="000C59C8" w:rsidP="0012076C">
            <w:pPr>
              <w:spacing w:after="0"/>
              <w:rPr>
                <w:rFonts w:eastAsia="Times New Roman" w:cs="Times New Roman"/>
                <w:color w:val="000000"/>
                <w:sz w:val="20"/>
                <w:szCs w:val="20"/>
                <w:lang w:eastAsia="en-GB"/>
              </w:rPr>
            </w:pPr>
          </w:p>
        </w:tc>
        <w:tc>
          <w:tcPr>
            <w:tcW w:w="0" w:type="auto"/>
            <w:vMerge/>
            <w:vAlign w:val="center"/>
            <w:hideMark/>
          </w:tcPr>
          <w:p w14:paraId="4F2EDB2C"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539B155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CN</w:t>
            </w:r>
          </w:p>
        </w:tc>
        <w:tc>
          <w:tcPr>
            <w:tcW w:w="0" w:type="auto"/>
            <w:noWrap/>
            <w:vAlign w:val="center"/>
            <w:hideMark/>
          </w:tcPr>
          <w:p w14:paraId="7F8F0CE3"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14 March - 30 April 2020</w:t>
            </w:r>
          </w:p>
        </w:tc>
        <w:tc>
          <w:tcPr>
            <w:tcW w:w="0" w:type="auto"/>
            <w:noWrap/>
            <w:vAlign w:val="center"/>
            <w:hideMark/>
          </w:tcPr>
          <w:p w14:paraId="2DEE4F9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919</w:t>
            </w:r>
          </w:p>
        </w:tc>
        <w:tc>
          <w:tcPr>
            <w:tcW w:w="0" w:type="auto"/>
            <w:noWrap/>
            <w:vAlign w:val="center"/>
            <w:hideMark/>
          </w:tcPr>
          <w:p w14:paraId="2A6FEF5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62.5±13.1</w:t>
            </w:r>
          </w:p>
        </w:tc>
        <w:tc>
          <w:tcPr>
            <w:tcW w:w="0" w:type="auto"/>
            <w:noWrap/>
            <w:vAlign w:val="center"/>
            <w:hideMark/>
          </w:tcPr>
          <w:p w14:paraId="233E42F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717/915 (78.4)</w:t>
            </w:r>
          </w:p>
        </w:tc>
        <w:tc>
          <w:tcPr>
            <w:tcW w:w="0" w:type="auto"/>
            <w:noWrap/>
            <w:vAlign w:val="center"/>
            <w:hideMark/>
          </w:tcPr>
          <w:p w14:paraId="269AB29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489 (53.3)</w:t>
            </w:r>
          </w:p>
        </w:tc>
        <w:tc>
          <w:tcPr>
            <w:tcW w:w="0" w:type="auto"/>
            <w:noWrap/>
            <w:vAlign w:val="center"/>
            <w:hideMark/>
          </w:tcPr>
          <w:p w14:paraId="17C2876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192/917 (20.9)</w:t>
            </w:r>
          </w:p>
        </w:tc>
        <w:tc>
          <w:tcPr>
            <w:tcW w:w="0" w:type="auto"/>
            <w:noWrap/>
            <w:vAlign w:val="center"/>
            <w:hideMark/>
          </w:tcPr>
          <w:p w14:paraId="1CD0480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429/915 (46.9)</w:t>
            </w:r>
          </w:p>
        </w:tc>
        <w:tc>
          <w:tcPr>
            <w:tcW w:w="0" w:type="auto"/>
            <w:noWrap/>
            <w:vAlign w:val="center"/>
            <w:hideMark/>
          </w:tcPr>
          <w:p w14:paraId="7D6788A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415/913 (45.5)</w:t>
            </w:r>
          </w:p>
        </w:tc>
        <w:tc>
          <w:tcPr>
            <w:tcW w:w="0" w:type="auto"/>
            <w:noWrap/>
            <w:vAlign w:val="center"/>
            <w:hideMark/>
          </w:tcPr>
          <w:p w14:paraId="07F19E2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5B4BDB0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081FB973"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441A32F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35 (</w:t>
            </w:r>
            <w:proofErr w:type="gramStart"/>
            <w:r>
              <w:rPr>
                <w:rFonts w:eastAsia="Times New Roman" w:cs="Times New Roman"/>
                <w:color w:val="000000"/>
                <w:sz w:val="20"/>
                <w:szCs w:val="20"/>
                <w:lang w:eastAsia="en-GB"/>
              </w:rPr>
              <w:t>3.8)</w:t>
            </w:r>
            <w:r>
              <w:rPr>
                <w:rFonts w:eastAsia="Times New Roman" w:cs="Times New Roman"/>
                <w:color w:val="000000"/>
                <w:sz w:val="20"/>
                <w:szCs w:val="20"/>
                <w:vertAlign w:val="superscript"/>
                <w:lang w:eastAsia="en-GB"/>
              </w:rPr>
              <w:t>‡</w:t>
            </w:r>
            <w:proofErr w:type="gramEnd"/>
          </w:p>
        </w:tc>
        <w:tc>
          <w:tcPr>
            <w:tcW w:w="0" w:type="auto"/>
            <w:vMerge/>
            <w:vAlign w:val="center"/>
            <w:hideMark/>
          </w:tcPr>
          <w:p w14:paraId="3C2109F0"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5A87137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52 (5.7)</w:t>
            </w:r>
          </w:p>
        </w:tc>
        <w:tc>
          <w:tcPr>
            <w:tcW w:w="0" w:type="auto"/>
            <w:vMerge/>
            <w:vAlign w:val="center"/>
            <w:hideMark/>
          </w:tcPr>
          <w:p w14:paraId="0B03209E"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1206F31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2FA87AD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6D7D80D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r>
      <w:tr w:rsidR="000C59C8" w14:paraId="0659E15F" w14:textId="77777777" w:rsidTr="0012076C">
        <w:trPr>
          <w:trHeight w:val="300"/>
        </w:trPr>
        <w:tc>
          <w:tcPr>
            <w:tcW w:w="0" w:type="auto"/>
            <w:vMerge w:val="restart"/>
            <w:noWrap/>
            <w:vAlign w:val="center"/>
            <w:hideMark/>
          </w:tcPr>
          <w:p w14:paraId="71CB59A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Saad et al, 2021</w:t>
            </w:r>
          </w:p>
        </w:tc>
        <w:tc>
          <w:tcPr>
            <w:tcW w:w="0" w:type="auto"/>
            <w:vMerge w:val="restart"/>
            <w:noWrap/>
            <w:vAlign w:val="center"/>
            <w:hideMark/>
          </w:tcPr>
          <w:p w14:paraId="213C2D9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USA</w:t>
            </w:r>
          </w:p>
        </w:tc>
        <w:tc>
          <w:tcPr>
            <w:tcW w:w="0" w:type="auto"/>
            <w:noWrap/>
            <w:vAlign w:val="center"/>
            <w:hideMark/>
          </w:tcPr>
          <w:p w14:paraId="1CAE18C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CP</w:t>
            </w:r>
          </w:p>
        </w:tc>
        <w:tc>
          <w:tcPr>
            <w:tcW w:w="0" w:type="auto"/>
            <w:noWrap/>
            <w:vAlign w:val="center"/>
            <w:hideMark/>
          </w:tcPr>
          <w:p w14:paraId="5DF96E1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 January - 31 December 2020</w:t>
            </w:r>
          </w:p>
        </w:tc>
        <w:tc>
          <w:tcPr>
            <w:tcW w:w="0" w:type="auto"/>
            <w:noWrap/>
            <w:vAlign w:val="center"/>
            <w:hideMark/>
          </w:tcPr>
          <w:p w14:paraId="45018CD3"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551</w:t>
            </w:r>
          </w:p>
        </w:tc>
        <w:tc>
          <w:tcPr>
            <w:tcW w:w="0" w:type="auto"/>
            <w:noWrap/>
            <w:vAlign w:val="center"/>
            <w:hideMark/>
          </w:tcPr>
          <w:p w14:paraId="6784490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58F26B3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385 (69.9%)</w:t>
            </w:r>
          </w:p>
        </w:tc>
        <w:tc>
          <w:tcPr>
            <w:tcW w:w="0" w:type="auto"/>
            <w:noWrap/>
            <w:vAlign w:val="center"/>
            <w:hideMark/>
          </w:tcPr>
          <w:p w14:paraId="6708A08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435 (78.9%)</w:t>
            </w:r>
          </w:p>
        </w:tc>
        <w:tc>
          <w:tcPr>
            <w:tcW w:w="0" w:type="auto"/>
            <w:noWrap/>
            <w:vAlign w:val="center"/>
            <w:hideMark/>
          </w:tcPr>
          <w:p w14:paraId="5103630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263 (47.7%)</w:t>
            </w:r>
          </w:p>
        </w:tc>
        <w:tc>
          <w:tcPr>
            <w:tcW w:w="0" w:type="auto"/>
            <w:noWrap/>
            <w:vAlign w:val="center"/>
            <w:hideMark/>
          </w:tcPr>
          <w:p w14:paraId="09FB441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364 (66.1%)</w:t>
            </w:r>
          </w:p>
        </w:tc>
        <w:tc>
          <w:tcPr>
            <w:tcW w:w="0" w:type="auto"/>
            <w:noWrap/>
            <w:vAlign w:val="center"/>
            <w:hideMark/>
          </w:tcPr>
          <w:p w14:paraId="0770B8F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89 (16.2%)</w:t>
            </w:r>
          </w:p>
        </w:tc>
        <w:tc>
          <w:tcPr>
            <w:tcW w:w="0" w:type="auto"/>
            <w:noWrap/>
            <w:vAlign w:val="center"/>
            <w:hideMark/>
          </w:tcPr>
          <w:p w14:paraId="0A74D0E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0</w:t>
            </w:r>
          </w:p>
        </w:tc>
        <w:tc>
          <w:tcPr>
            <w:tcW w:w="0" w:type="auto"/>
            <w:noWrap/>
            <w:vAlign w:val="center"/>
            <w:hideMark/>
          </w:tcPr>
          <w:p w14:paraId="3E7FA48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 (0.5%)</w:t>
            </w:r>
          </w:p>
        </w:tc>
        <w:tc>
          <w:tcPr>
            <w:tcW w:w="0" w:type="auto"/>
            <w:noWrap/>
            <w:vAlign w:val="center"/>
            <w:hideMark/>
          </w:tcPr>
          <w:p w14:paraId="41D6E09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6B73317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101 (18.3%)</w:t>
            </w:r>
          </w:p>
        </w:tc>
        <w:tc>
          <w:tcPr>
            <w:tcW w:w="0" w:type="auto"/>
            <w:vMerge w:val="restart"/>
            <w:noWrap/>
            <w:vAlign w:val="center"/>
            <w:hideMark/>
          </w:tcPr>
          <w:p w14:paraId="3D3D5A9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1.07 (0.85 to 1.36)</w:t>
            </w:r>
          </w:p>
        </w:tc>
        <w:tc>
          <w:tcPr>
            <w:tcW w:w="0" w:type="auto"/>
            <w:noWrap/>
            <w:vAlign w:val="center"/>
            <w:hideMark/>
          </w:tcPr>
          <w:p w14:paraId="75C8AA0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84 (15.2%)</w:t>
            </w:r>
          </w:p>
        </w:tc>
        <w:tc>
          <w:tcPr>
            <w:tcW w:w="0" w:type="auto"/>
            <w:vMerge w:val="restart"/>
            <w:noWrap/>
            <w:vAlign w:val="center"/>
            <w:hideMark/>
          </w:tcPr>
          <w:p w14:paraId="2E2F5BE2"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1.60 (1.17-2.19)</w:t>
            </w:r>
          </w:p>
        </w:tc>
        <w:tc>
          <w:tcPr>
            <w:tcW w:w="0" w:type="auto"/>
            <w:noWrap/>
            <w:vAlign w:val="center"/>
            <w:hideMark/>
          </w:tcPr>
          <w:p w14:paraId="69E4AD7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04DF8933"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1.0 (0.0, 3.0)- median</w:t>
            </w:r>
          </w:p>
        </w:tc>
        <w:tc>
          <w:tcPr>
            <w:tcW w:w="0" w:type="auto"/>
            <w:noWrap/>
            <w:vAlign w:val="center"/>
            <w:hideMark/>
          </w:tcPr>
          <w:p w14:paraId="0E9F0A4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4.00±3.70</w:t>
            </w:r>
          </w:p>
        </w:tc>
      </w:tr>
      <w:tr w:rsidR="000C59C8" w14:paraId="0E96B81B" w14:textId="77777777" w:rsidTr="0012076C">
        <w:trPr>
          <w:trHeight w:val="300"/>
        </w:trPr>
        <w:tc>
          <w:tcPr>
            <w:tcW w:w="0" w:type="auto"/>
            <w:vMerge/>
            <w:vAlign w:val="center"/>
            <w:hideMark/>
          </w:tcPr>
          <w:p w14:paraId="4127A6FE" w14:textId="77777777" w:rsidR="000C59C8" w:rsidRDefault="000C59C8" w:rsidP="0012076C">
            <w:pPr>
              <w:spacing w:after="0"/>
              <w:rPr>
                <w:rFonts w:eastAsia="Times New Roman" w:cs="Times New Roman"/>
                <w:color w:val="000000"/>
                <w:sz w:val="20"/>
                <w:szCs w:val="20"/>
                <w:lang w:eastAsia="en-GB"/>
              </w:rPr>
            </w:pPr>
          </w:p>
        </w:tc>
        <w:tc>
          <w:tcPr>
            <w:tcW w:w="0" w:type="auto"/>
            <w:vMerge/>
            <w:vAlign w:val="center"/>
            <w:hideMark/>
          </w:tcPr>
          <w:p w14:paraId="293E41EE"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54741144"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CN</w:t>
            </w:r>
          </w:p>
        </w:tc>
        <w:tc>
          <w:tcPr>
            <w:tcW w:w="0" w:type="auto"/>
            <w:noWrap/>
            <w:vAlign w:val="center"/>
            <w:hideMark/>
          </w:tcPr>
          <w:p w14:paraId="03C73453"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 January - 31 December 2019</w:t>
            </w:r>
          </w:p>
        </w:tc>
        <w:tc>
          <w:tcPr>
            <w:tcW w:w="0" w:type="auto"/>
            <w:noWrap/>
            <w:vAlign w:val="center"/>
            <w:hideMark/>
          </w:tcPr>
          <w:p w14:paraId="0C2F06BC"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2755</w:t>
            </w:r>
          </w:p>
        </w:tc>
        <w:tc>
          <w:tcPr>
            <w:tcW w:w="0" w:type="auto"/>
            <w:noWrap/>
            <w:vAlign w:val="center"/>
            <w:hideMark/>
          </w:tcPr>
          <w:p w14:paraId="0321FEB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4A357099"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1939 (70.4%)</w:t>
            </w:r>
          </w:p>
        </w:tc>
        <w:tc>
          <w:tcPr>
            <w:tcW w:w="0" w:type="auto"/>
            <w:noWrap/>
            <w:vAlign w:val="center"/>
            <w:hideMark/>
          </w:tcPr>
          <w:p w14:paraId="7F2D674F"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2207 (80.1%)</w:t>
            </w:r>
          </w:p>
        </w:tc>
        <w:tc>
          <w:tcPr>
            <w:tcW w:w="0" w:type="auto"/>
            <w:noWrap/>
            <w:vAlign w:val="center"/>
            <w:hideMark/>
          </w:tcPr>
          <w:p w14:paraId="0BE14EB8"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1345 (48.8%)</w:t>
            </w:r>
          </w:p>
        </w:tc>
        <w:tc>
          <w:tcPr>
            <w:tcW w:w="0" w:type="auto"/>
            <w:noWrap/>
            <w:vAlign w:val="center"/>
            <w:hideMark/>
          </w:tcPr>
          <w:p w14:paraId="5D9596A0"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1845 (67%)</w:t>
            </w:r>
          </w:p>
        </w:tc>
        <w:tc>
          <w:tcPr>
            <w:tcW w:w="0" w:type="auto"/>
            <w:noWrap/>
            <w:vAlign w:val="center"/>
            <w:hideMark/>
          </w:tcPr>
          <w:p w14:paraId="4EC0514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451 (16.4%)</w:t>
            </w:r>
          </w:p>
        </w:tc>
        <w:tc>
          <w:tcPr>
            <w:tcW w:w="0" w:type="auto"/>
            <w:noWrap/>
            <w:vAlign w:val="center"/>
            <w:hideMark/>
          </w:tcPr>
          <w:p w14:paraId="42FB6391"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2 (0.1%)</w:t>
            </w:r>
          </w:p>
        </w:tc>
        <w:tc>
          <w:tcPr>
            <w:tcW w:w="0" w:type="auto"/>
            <w:noWrap/>
            <w:vAlign w:val="center"/>
            <w:hideMark/>
          </w:tcPr>
          <w:p w14:paraId="412789CB"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31 (1.1%)</w:t>
            </w:r>
          </w:p>
        </w:tc>
        <w:tc>
          <w:tcPr>
            <w:tcW w:w="0" w:type="auto"/>
            <w:noWrap/>
            <w:vAlign w:val="center"/>
            <w:hideMark/>
          </w:tcPr>
          <w:p w14:paraId="24DDFB9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730A0807"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476 (17.3%)</w:t>
            </w:r>
          </w:p>
        </w:tc>
        <w:tc>
          <w:tcPr>
            <w:tcW w:w="0" w:type="auto"/>
            <w:vMerge/>
            <w:vAlign w:val="center"/>
            <w:hideMark/>
          </w:tcPr>
          <w:p w14:paraId="62E2E083"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34CBF80D"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308 (11.2%)</w:t>
            </w:r>
          </w:p>
        </w:tc>
        <w:tc>
          <w:tcPr>
            <w:tcW w:w="0" w:type="auto"/>
            <w:vMerge/>
            <w:vAlign w:val="center"/>
            <w:hideMark/>
          </w:tcPr>
          <w:p w14:paraId="0FF7EB3C" w14:textId="77777777" w:rsidR="000C59C8" w:rsidRDefault="000C59C8" w:rsidP="0012076C">
            <w:pPr>
              <w:spacing w:after="0"/>
              <w:rPr>
                <w:rFonts w:eastAsia="Times New Roman" w:cs="Times New Roman"/>
                <w:color w:val="000000"/>
                <w:sz w:val="20"/>
                <w:szCs w:val="20"/>
                <w:lang w:eastAsia="en-GB"/>
              </w:rPr>
            </w:pPr>
          </w:p>
        </w:tc>
        <w:tc>
          <w:tcPr>
            <w:tcW w:w="0" w:type="auto"/>
            <w:noWrap/>
            <w:vAlign w:val="center"/>
            <w:hideMark/>
          </w:tcPr>
          <w:p w14:paraId="35080E7A"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NR</w:t>
            </w:r>
          </w:p>
        </w:tc>
        <w:tc>
          <w:tcPr>
            <w:tcW w:w="0" w:type="auto"/>
            <w:noWrap/>
            <w:vAlign w:val="center"/>
            <w:hideMark/>
          </w:tcPr>
          <w:p w14:paraId="11202235"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1.0 (0.0, 3.0)</w:t>
            </w:r>
          </w:p>
        </w:tc>
        <w:tc>
          <w:tcPr>
            <w:tcW w:w="0" w:type="auto"/>
            <w:noWrap/>
            <w:vAlign w:val="center"/>
            <w:hideMark/>
          </w:tcPr>
          <w:p w14:paraId="18CD1476" w14:textId="77777777" w:rsidR="000C59C8" w:rsidRDefault="000C59C8" w:rsidP="0012076C">
            <w:pPr>
              <w:spacing w:after="0" w:line="480" w:lineRule="auto"/>
              <w:jc w:val="center"/>
              <w:rPr>
                <w:rFonts w:eastAsia="Times New Roman" w:cs="Times New Roman"/>
                <w:color w:val="000000"/>
                <w:sz w:val="20"/>
                <w:szCs w:val="20"/>
                <w:lang w:eastAsia="en-GB"/>
              </w:rPr>
            </w:pPr>
            <w:r>
              <w:rPr>
                <w:rFonts w:eastAsia="Times New Roman" w:cs="Times New Roman"/>
                <w:color w:val="000000"/>
                <w:sz w:val="20"/>
                <w:szCs w:val="20"/>
                <w:lang w:eastAsia="en-GB"/>
              </w:rPr>
              <w:t>3.67±2.96</w:t>
            </w:r>
          </w:p>
        </w:tc>
      </w:tr>
      <w:tr w:rsidR="000C59C8" w14:paraId="6DC4280D" w14:textId="77777777" w:rsidTr="0012076C">
        <w:trPr>
          <w:trHeight w:val="300"/>
        </w:trPr>
        <w:tc>
          <w:tcPr>
            <w:tcW w:w="0" w:type="auto"/>
            <w:gridSpan w:val="21"/>
            <w:vAlign w:val="center"/>
            <w:hideMark/>
          </w:tcPr>
          <w:p w14:paraId="472190FE" w14:textId="77777777" w:rsidR="000C59C8" w:rsidRDefault="000C59C8" w:rsidP="0012076C">
            <w:pPr>
              <w:spacing w:after="0" w:line="480" w:lineRule="auto"/>
              <w:rPr>
                <w:rFonts w:eastAsia="Times New Roman" w:cs="Times New Roman"/>
                <w:color w:val="000000"/>
                <w:sz w:val="20"/>
                <w:szCs w:val="20"/>
                <w:lang w:eastAsia="en-GB"/>
              </w:rPr>
            </w:pPr>
            <w:r>
              <w:rPr>
                <w:rFonts w:eastAsia="Times New Roman" w:cs="Times New Roman"/>
                <w:color w:val="000000"/>
                <w:sz w:val="20"/>
                <w:szCs w:val="20"/>
                <w:lang w:eastAsia="en-GB"/>
              </w:rPr>
              <w:lastRenderedPageBreak/>
              <w:t>STEMI = ST elevation myocardial infarction; HTN = hypertension; MI = myocardial infarction; PCI = percutaneous coronary angioplasty; OR = odds ratio; CP = COVID-19-positive; CN = COVID-19-negative; NR = not reported</w:t>
            </w:r>
          </w:p>
        </w:tc>
      </w:tr>
      <w:tr w:rsidR="000C59C8" w14:paraId="0026E713" w14:textId="77777777" w:rsidTr="0012076C">
        <w:trPr>
          <w:trHeight w:val="300"/>
        </w:trPr>
        <w:tc>
          <w:tcPr>
            <w:tcW w:w="0" w:type="auto"/>
            <w:gridSpan w:val="21"/>
            <w:vAlign w:val="center"/>
            <w:hideMark/>
          </w:tcPr>
          <w:p w14:paraId="19417B61" w14:textId="77777777" w:rsidR="000C59C8" w:rsidRDefault="000C59C8" w:rsidP="0012076C">
            <w:pPr>
              <w:spacing w:after="0" w:line="480" w:lineRule="auto"/>
              <w:rPr>
                <w:rFonts w:eastAsia="Times New Roman" w:cs="Times New Roman"/>
                <w:color w:val="000000"/>
                <w:sz w:val="20"/>
                <w:szCs w:val="20"/>
                <w:lang w:eastAsia="en-GB"/>
              </w:rPr>
            </w:pPr>
            <w:r>
              <w:rPr>
                <w:rFonts w:eastAsia="Times New Roman" w:cs="Times New Roman"/>
                <w:color w:val="000000"/>
                <w:sz w:val="20"/>
                <w:szCs w:val="20"/>
                <w:lang w:eastAsia="en-GB"/>
              </w:rPr>
              <w:t>*Values reported as mean ± SD or median (IQR); † cardiogenic shock or heart failure; ‡cardiogenic shock post-PCI</w:t>
            </w:r>
          </w:p>
        </w:tc>
      </w:tr>
    </w:tbl>
    <w:p w14:paraId="6F7B652B" w14:textId="77777777" w:rsidR="000C59C8" w:rsidRDefault="000C59C8" w:rsidP="000C59C8">
      <w:pPr>
        <w:widowControl w:val="0"/>
        <w:tabs>
          <w:tab w:val="left" w:pos="7740"/>
        </w:tabs>
        <w:autoSpaceDE w:val="0"/>
        <w:autoSpaceDN w:val="0"/>
        <w:adjustRightInd w:val="0"/>
        <w:spacing w:after="0" w:line="480" w:lineRule="auto"/>
      </w:pPr>
    </w:p>
    <w:p w14:paraId="33A33603" w14:textId="59E74176" w:rsidR="00B15E72" w:rsidRPr="006F6CD4" w:rsidRDefault="00B15E72" w:rsidP="006F6CD4">
      <w:pPr>
        <w:spacing w:line="480" w:lineRule="auto"/>
        <w:rPr>
          <w:rFonts w:cs="Times New Roman"/>
          <w:sz w:val="22"/>
        </w:rPr>
      </w:pPr>
      <w:r w:rsidRPr="006F6CD4">
        <w:rPr>
          <w:rFonts w:cs="Times New Roman"/>
          <w:sz w:val="22"/>
        </w:rPr>
        <w:br w:type="page"/>
      </w:r>
    </w:p>
    <w:p w14:paraId="33A33604" w14:textId="77777777" w:rsidR="00B15E72" w:rsidRPr="006F6CD4" w:rsidRDefault="00B15E72" w:rsidP="006F6CD4">
      <w:pPr>
        <w:spacing w:line="480" w:lineRule="auto"/>
        <w:rPr>
          <w:rFonts w:cs="Times New Roman"/>
          <w:sz w:val="22"/>
        </w:rPr>
        <w:sectPr w:rsidR="00B15E72" w:rsidRPr="006F6CD4" w:rsidSect="000C59C8">
          <w:pgSz w:w="15840" w:h="12240" w:orient="landscape"/>
          <w:pgMar w:top="720" w:right="835" w:bottom="720" w:left="720" w:header="720" w:footer="720" w:gutter="0"/>
          <w:cols w:space="720"/>
          <w:docGrid w:linePitch="360"/>
        </w:sectPr>
      </w:pPr>
    </w:p>
    <w:p w14:paraId="33A33605" w14:textId="188E2DD4" w:rsidR="00B15E72" w:rsidRPr="006F6CD4" w:rsidRDefault="00B15E72" w:rsidP="006F6CD4">
      <w:pPr>
        <w:spacing w:after="0" w:line="480" w:lineRule="auto"/>
        <w:rPr>
          <w:rFonts w:ascii="Arial" w:hAnsi="Arial" w:cs="Arial"/>
          <w:b/>
          <w:sz w:val="22"/>
        </w:rPr>
      </w:pPr>
      <w:r w:rsidRPr="006F6CD4">
        <w:rPr>
          <w:rFonts w:ascii="Arial" w:hAnsi="Arial" w:cs="Arial"/>
          <w:b/>
          <w:sz w:val="22"/>
        </w:rPr>
        <w:lastRenderedPageBreak/>
        <w:t xml:space="preserve">Table </w:t>
      </w:r>
      <w:r w:rsidR="006F6CD4">
        <w:rPr>
          <w:rFonts w:ascii="Arial" w:hAnsi="Arial" w:cs="Arial"/>
          <w:b/>
          <w:sz w:val="22"/>
        </w:rPr>
        <w:t>S</w:t>
      </w:r>
      <w:r w:rsidR="000C59C8">
        <w:rPr>
          <w:rFonts w:ascii="Arial" w:hAnsi="Arial" w:cs="Arial"/>
          <w:b/>
          <w:sz w:val="22"/>
        </w:rPr>
        <w:t>4</w:t>
      </w:r>
      <w:r w:rsidRPr="006F6CD4">
        <w:rPr>
          <w:rFonts w:ascii="Arial" w:hAnsi="Arial" w:cs="Arial"/>
          <w:b/>
          <w:sz w:val="22"/>
        </w:rPr>
        <w:t>: Quality Assessment of each included cohort study according to Newcastle-Ottawa Scale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202"/>
        <w:gridCol w:w="2058"/>
        <w:gridCol w:w="1085"/>
        <w:gridCol w:w="1549"/>
        <w:gridCol w:w="1539"/>
        <w:gridCol w:w="1228"/>
        <w:gridCol w:w="1083"/>
        <w:gridCol w:w="1325"/>
        <w:gridCol w:w="1049"/>
        <w:gridCol w:w="1303"/>
        <w:gridCol w:w="854"/>
      </w:tblGrid>
      <w:tr w:rsidR="00E000CE" w:rsidRPr="006F6CD4" w14:paraId="33A3360B" w14:textId="77777777" w:rsidTr="00B15E72">
        <w:trPr>
          <w:trHeight w:val="568"/>
        </w:trPr>
        <w:tc>
          <w:tcPr>
            <w:tcW w:w="527" w:type="pct"/>
          </w:tcPr>
          <w:p w14:paraId="33A33606" w14:textId="77777777" w:rsidR="00B15E72" w:rsidRPr="006F6CD4" w:rsidRDefault="00B15E72" w:rsidP="006F6CD4">
            <w:pPr>
              <w:pBdr>
                <w:top w:val="nil"/>
                <w:left w:val="nil"/>
                <w:bottom w:val="nil"/>
                <w:right w:val="nil"/>
                <w:between w:val="nil"/>
              </w:pBdr>
              <w:spacing w:line="480" w:lineRule="auto"/>
              <w:rPr>
                <w:rFonts w:ascii="Arial" w:eastAsia="Times New Roman" w:hAnsi="Arial" w:cs="Arial"/>
                <w:color w:val="000000"/>
                <w:sz w:val="22"/>
              </w:rPr>
            </w:pPr>
          </w:p>
        </w:tc>
        <w:tc>
          <w:tcPr>
            <w:tcW w:w="1954" w:type="pct"/>
            <w:gridSpan w:val="4"/>
            <w:tcBorders>
              <w:right w:val="single" w:sz="6" w:space="0" w:color="000000"/>
            </w:tcBorders>
          </w:tcPr>
          <w:p w14:paraId="33A33607" w14:textId="77777777" w:rsidR="00B15E72" w:rsidRPr="006F6CD4" w:rsidRDefault="00B15E72" w:rsidP="006F6CD4">
            <w:pPr>
              <w:pBdr>
                <w:top w:val="nil"/>
                <w:left w:val="nil"/>
                <w:bottom w:val="nil"/>
                <w:right w:val="nil"/>
                <w:between w:val="nil"/>
              </w:pBdr>
              <w:spacing w:before="53" w:line="480" w:lineRule="auto"/>
              <w:ind w:left="2477" w:right="2475"/>
              <w:jc w:val="center"/>
              <w:rPr>
                <w:rFonts w:ascii="Arial" w:eastAsia="Times New Roman" w:hAnsi="Arial" w:cs="Arial"/>
                <w:b/>
                <w:color w:val="000000"/>
                <w:sz w:val="22"/>
              </w:rPr>
            </w:pPr>
            <w:r w:rsidRPr="006F6CD4">
              <w:rPr>
                <w:rFonts w:ascii="Arial" w:eastAsia="Times New Roman" w:hAnsi="Arial" w:cs="Arial"/>
                <w:b/>
                <w:color w:val="000000"/>
                <w:sz w:val="22"/>
              </w:rPr>
              <w:t>Selection</w:t>
            </w:r>
          </w:p>
        </w:tc>
        <w:tc>
          <w:tcPr>
            <w:tcW w:w="981" w:type="pct"/>
            <w:gridSpan w:val="2"/>
            <w:tcBorders>
              <w:left w:val="single" w:sz="6" w:space="0" w:color="000000"/>
              <w:right w:val="single" w:sz="6" w:space="0" w:color="000000"/>
            </w:tcBorders>
          </w:tcPr>
          <w:p w14:paraId="33A33608" w14:textId="77777777" w:rsidR="00B15E72" w:rsidRPr="006F6CD4" w:rsidRDefault="00B15E72" w:rsidP="006F6CD4">
            <w:pPr>
              <w:pBdr>
                <w:top w:val="nil"/>
                <w:left w:val="nil"/>
                <w:bottom w:val="nil"/>
                <w:right w:val="nil"/>
                <w:between w:val="nil"/>
              </w:pBdr>
              <w:spacing w:before="53" w:line="480" w:lineRule="auto"/>
              <w:ind w:left="921"/>
              <w:jc w:val="center"/>
              <w:rPr>
                <w:rFonts w:ascii="Arial" w:eastAsia="Times New Roman" w:hAnsi="Arial" w:cs="Arial"/>
                <w:b/>
                <w:color w:val="000000"/>
                <w:sz w:val="22"/>
              </w:rPr>
            </w:pPr>
            <w:r w:rsidRPr="006F6CD4">
              <w:rPr>
                <w:rFonts w:ascii="Arial" w:eastAsia="Times New Roman" w:hAnsi="Arial" w:cs="Arial"/>
                <w:b/>
                <w:color w:val="000000"/>
                <w:sz w:val="22"/>
              </w:rPr>
              <w:t>Comparability</w:t>
            </w:r>
          </w:p>
        </w:tc>
        <w:tc>
          <w:tcPr>
            <w:tcW w:w="1127" w:type="pct"/>
            <w:gridSpan w:val="3"/>
            <w:tcBorders>
              <w:left w:val="single" w:sz="6" w:space="0" w:color="000000"/>
              <w:right w:val="single" w:sz="6" w:space="0" w:color="000000"/>
            </w:tcBorders>
          </w:tcPr>
          <w:p w14:paraId="33A33609" w14:textId="77777777" w:rsidR="00B15E72" w:rsidRPr="006F6CD4" w:rsidRDefault="00B15E72" w:rsidP="006F6CD4">
            <w:pPr>
              <w:pBdr>
                <w:top w:val="nil"/>
                <w:left w:val="nil"/>
                <w:bottom w:val="nil"/>
                <w:right w:val="nil"/>
                <w:between w:val="nil"/>
              </w:pBdr>
              <w:spacing w:before="53" w:line="480" w:lineRule="auto"/>
              <w:ind w:left="1272" w:right="1290"/>
              <w:jc w:val="center"/>
              <w:rPr>
                <w:rFonts w:ascii="Arial" w:eastAsia="Times New Roman" w:hAnsi="Arial" w:cs="Arial"/>
                <w:b/>
                <w:color w:val="000000"/>
                <w:sz w:val="22"/>
              </w:rPr>
            </w:pPr>
            <w:r w:rsidRPr="006F6CD4">
              <w:rPr>
                <w:rFonts w:ascii="Arial" w:eastAsia="Times New Roman" w:hAnsi="Arial" w:cs="Arial"/>
                <w:b/>
                <w:color w:val="000000"/>
                <w:sz w:val="22"/>
              </w:rPr>
              <w:t>Outcome</w:t>
            </w:r>
          </w:p>
        </w:tc>
        <w:tc>
          <w:tcPr>
            <w:tcW w:w="411" w:type="pct"/>
            <w:tcBorders>
              <w:left w:val="single" w:sz="6" w:space="0" w:color="000000"/>
            </w:tcBorders>
          </w:tcPr>
          <w:p w14:paraId="33A3360A" w14:textId="77777777" w:rsidR="00B15E72" w:rsidRPr="006F6CD4" w:rsidRDefault="00B15E72" w:rsidP="006F6CD4">
            <w:pPr>
              <w:pBdr>
                <w:top w:val="nil"/>
                <w:left w:val="nil"/>
                <w:bottom w:val="nil"/>
                <w:right w:val="nil"/>
                <w:between w:val="nil"/>
              </w:pBdr>
              <w:spacing w:line="480" w:lineRule="auto"/>
              <w:rPr>
                <w:rFonts w:ascii="Arial" w:eastAsia="Times New Roman" w:hAnsi="Arial" w:cs="Arial"/>
                <w:color w:val="000000"/>
                <w:sz w:val="22"/>
              </w:rPr>
            </w:pPr>
          </w:p>
        </w:tc>
      </w:tr>
      <w:tr w:rsidR="001C5052" w:rsidRPr="006F6CD4" w14:paraId="33A33619" w14:textId="77777777" w:rsidTr="00B15E72">
        <w:trPr>
          <w:trHeight w:val="1394"/>
        </w:trPr>
        <w:tc>
          <w:tcPr>
            <w:tcW w:w="527" w:type="pct"/>
          </w:tcPr>
          <w:p w14:paraId="33A3360C" w14:textId="77777777" w:rsidR="00B15E72" w:rsidRPr="006F6CD4" w:rsidRDefault="00B15E72" w:rsidP="006F6CD4">
            <w:pPr>
              <w:pBdr>
                <w:top w:val="nil"/>
                <w:left w:val="nil"/>
                <w:bottom w:val="nil"/>
                <w:right w:val="nil"/>
                <w:between w:val="nil"/>
              </w:pBdr>
              <w:spacing w:before="52" w:line="480" w:lineRule="auto"/>
              <w:ind w:left="107"/>
              <w:rPr>
                <w:rFonts w:ascii="Arial" w:eastAsia="Times New Roman" w:hAnsi="Arial" w:cs="Arial"/>
                <w:b/>
                <w:color w:val="000000"/>
                <w:sz w:val="22"/>
              </w:rPr>
            </w:pPr>
            <w:r w:rsidRPr="006F6CD4">
              <w:rPr>
                <w:rFonts w:ascii="Arial" w:eastAsia="Times New Roman" w:hAnsi="Arial" w:cs="Arial"/>
                <w:b/>
                <w:color w:val="000000"/>
                <w:sz w:val="22"/>
              </w:rPr>
              <w:t>Study</w:t>
            </w:r>
          </w:p>
        </w:tc>
        <w:tc>
          <w:tcPr>
            <w:tcW w:w="435" w:type="pct"/>
          </w:tcPr>
          <w:p w14:paraId="33A3360D" w14:textId="77777777" w:rsidR="00B15E72" w:rsidRPr="006F6CD4" w:rsidRDefault="00B15E72" w:rsidP="006F6CD4">
            <w:pPr>
              <w:pBdr>
                <w:top w:val="nil"/>
                <w:left w:val="nil"/>
                <w:bottom w:val="nil"/>
                <w:right w:val="nil"/>
                <w:between w:val="nil"/>
              </w:pBdr>
              <w:spacing w:before="52" w:line="480" w:lineRule="auto"/>
              <w:ind w:left="106" w:right="115"/>
              <w:rPr>
                <w:rFonts w:ascii="Arial" w:eastAsia="Times New Roman" w:hAnsi="Arial" w:cs="Arial"/>
                <w:b/>
                <w:color w:val="000000"/>
                <w:sz w:val="22"/>
              </w:rPr>
            </w:pPr>
            <w:r w:rsidRPr="006F6CD4">
              <w:rPr>
                <w:rFonts w:ascii="Arial" w:hAnsi="Arial" w:cs="Arial"/>
                <w:b/>
                <w:sz w:val="22"/>
              </w:rPr>
              <w:t>Representativeness of the exposed cohort</w:t>
            </w:r>
          </w:p>
        </w:tc>
        <w:tc>
          <w:tcPr>
            <w:tcW w:w="494" w:type="pct"/>
          </w:tcPr>
          <w:p w14:paraId="33A3360E" w14:textId="77777777" w:rsidR="00B15E72" w:rsidRPr="006F6CD4" w:rsidRDefault="00B15E72" w:rsidP="006F6CD4">
            <w:pPr>
              <w:pBdr>
                <w:top w:val="nil"/>
                <w:left w:val="nil"/>
                <w:bottom w:val="nil"/>
                <w:right w:val="nil"/>
                <w:between w:val="nil"/>
              </w:pBdr>
              <w:spacing w:before="52" w:line="480" w:lineRule="auto"/>
              <w:ind w:left="106"/>
              <w:rPr>
                <w:rFonts w:ascii="Arial" w:eastAsia="Times New Roman" w:hAnsi="Arial" w:cs="Arial"/>
                <w:b/>
                <w:color w:val="000000"/>
                <w:sz w:val="22"/>
              </w:rPr>
            </w:pPr>
            <w:r w:rsidRPr="006F6CD4">
              <w:rPr>
                <w:rFonts w:ascii="Arial" w:eastAsia="Times New Roman" w:hAnsi="Arial" w:cs="Arial"/>
                <w:b/>
                <w:color w:val="000000"/>
                <w:sz w:val="22"/>
              </w:rPr>
              <w:t>Selection of the non-exposed cohort</w:t>
            </w:r>
          </w:p>
        </w:tc>
        <w:tc>
          <w:tcPr>
            <w:tcW w:w="393" w:type="pct"/>
          </w:tcPr>
          <w:p w14:paraId="33A3360F" w14:textId="77777777" w:rsidR="00B15E72" w:rsidRPr="006F6CD4" w:rsidRDefault="00B15E72" w:rsidP="006F6CD4">
            <w:pPr>
              <w:pBdr>
                <w:top w:val="nil"/>
                <w:left w:val="nil"/>
                <w:bottom w:val="nil"/>
                <w:right w:val="nil"/>
                <w:between w:val="nil"/>
              </w:pBdr>
              <w:spacing w:before="47" w:line="480" w:lineRule="auto"/>
              <w:ind w:left="105" w:right="31"/>
              <w:rPr>
                <w:rFonts w:ascii="Arial" w:eastAsia="Times New Roman" w:hAnsi="Arial" w:cs="Arial"/>
                <w:b/>
                <w:color w:val="000000"/>
                <w:sz w:val="22"/>
              </w:rPr>
            </w:pPr>
            <w:r w:rsidRPr="006F6CD4">
              <w:rPr>
                <w:rFonts w:ascii="Arial" w:eastAsia="Times New Roman" w:hAnsi="Arial" w:cs="Arial"/>
                <w:b/>
                <w:color w:val="000000"/>
                <w:sz w:val="22"/>
              </w:rPr>
              <w:t>Ascertainment of exposure</w:t>
            </w:r>
          </w:p>
        </w:tc>
        <w:tc>
          <w:tcPr>
            <w:tcW w:w="632" w:type="pct"/>
            <w:tcBorders>
              <w:right w:val="single" w:sz="6" w:space="0" w:color="000000"/>
            </w:tcBorders>
          </w:tcPr>
          <w:p w14:paraId="33A33610" w14:textId="77777777" w:rsidR="00B15E72" w:rsidRPr="006F6CD4" w:rsidRDefault="00B15E72" w:rsidP="006F6CD4">
            <w:pPr>
              <w:pBdr>
                <w:top w:val="nil"/>
                <w:left w:val="nil"/>
                <w:bottom w:val="nil"/>
                <w:right w:val="nil"/>
                <w:between w:val="nil"/>
              </w:pBdr>
              <w:spacing w:before="52" w:line="480" w:lineRule="auto"/>
              <w:ind w:left="99"/>
              <w:rPr>
                <w:rFonts w:ascii="Arial" w:eastAsia="Times New Roman" w:hAnsi="Arial" w:cs="Arial"/>
                <w:b/>
                <w:color w:val="000000"/>
                <w:sz w:val="22"/>
              </w:rPr>
            </w:pPr>
            <w:r w:rsidRPr="006F6CD4">
              <w:rPr>
                <w:rFonts w:ascii="Arial" w:eastAsia="Times New Roman" w:hAnsi="Arial" w:cs="Arial"/>
                <w:b/>
                <w:color w:val="000000"/>
                <w:sz w:val="22"/>
              </w:rPr>
              <w:t>Demonstration that outcome</w:t>
            </w:r>
          </w:p>
          <w:p w14:paraId="33A33611" w14:textId="77777777" w:rsidR="00B15E72" w:rsidRPr="006F6CD4" w:rsidRDefault="00B15E72" w:rsidP="006F6CD4">
            <w:pPr>
              <w:pBdr>
                <w:top w:val="nil"/>
                <w:left w:val="nil"/>
                <w:bottom w:val="nil"/>
                <w:right w:val="nil"/>
                <w:between w:val="nil"/>
              </w:pBdr>
              <w:spacing w:before="1" w:line="480" w:lineRule="auto"/>
              <w:ind w:left="99" w:right="402"/>
              <w:rPr>
                <w:rFonts w:ascii="Arial" w:eastAsia="Times New Roman" w:hAnsi="Arial" w:cs="Arial"/>
                <w:b/>
                <w:color w:val="000000"/>
                <w:sz w:val="22"/>
              </w:rPr>
            </w:pPr>
            <w:r w:rsidRPr="006F6CD4">
              <w:rPr>
                <w:rFonts w:ascii="Arial" w:eastAsia="Times New Roman" w:hAnsi="Arial" w:cs="Arial"/>
                <w:b/>
                <w:color w:val="000000"/>
                <w:sz w:val="22"/>
              </w:rPr>
              <w:t xml:space="preserve">of interest was not present at </w:t>
            </w:r>
            <w:r w:rsidR="008F4D66" w:rsidRPr="006F6CD4">
              <w:rPr>
                <w:rFonts w:ascii="Arial" w:eastAsia="Times New Roman" w:hAnsi="Arial" w:cs="Arial"/>
                <w:b/>
                <w:color w:val="000000"/>
                <w:sz w:val="22"/>
              </w:rPr>
              <w:t xml:space="preserve">the </w:t>
            </w:r>
            <w:r w:rsidRPr="006F6CD4">
              <w:rPr>
                <w:rFonts w:ascii="Arial" w:eastAsia="Times New Roman" w:hAnsi="Arial" w:cs="Arial"/>
                <w:b/>
                <w:color w:val="000000"/>
                <w:sz w:val="22"/>
              </w:rPr>
              <w:t>start of</w:t>
            </w:r>
          </w:p>
          <w:p w14:paraId="33A33612" w14:textId="77777777" w:rsidR="00B15E72" w:rsidRPr="006F6CD4" w:rsidRDefault="00B15E72" w:rsidP="006F6CD4">
            <w:pPr>
              <w:pBdr>
                <w:top w:val="nil"/>
                <w:left w:val="nil"/>
                <w:bottom w:val="nil"/>
                <w:right w:val="nil"/>
                <w:between w:val="nil"/>
              </w:pBdr>
              <w:spacing w:before="5" w:line="480" w:lineRule="auto"/>
              <w:ind w:left="99"/>
              <w:rPr>
                <w:rFonts w:ascii="Arial" w:eastAsia="Times New Roman" w:hAnsi="Arial" w:cs="Arial"/>
                <w:b/>
                <w:color w:val="000000"/>
                <w:sz w:val="22"/>
              </w:rPr>
            </w:pPr>
            <w:r w:rsidRPr="006F6CD4">
              <w:rPr>
                <w:rFonts w:ascii="Arial" w:eastAsia="Times New Roman" w:hAnsi="Arial" w:cs="Arial"/>
                <w:b/>
                <w:color w:val="000000"/>
                <w:sz w:val="22"/>
              </w:rPr>
              <w:t>study</w:t>
            </w:r>
          </w:p>
        </w:tc>
        <w:tc>
          <w:tcPr>
            <w:tcW w:w="462" w:type="pct"/>
            <w:tcBorders>
              <w:left w:val="single" w:sz="6" w:space="0" w:color="000000"/>
            </w:tcBorders>
          </w:tcPr>
          <w:p w14:paraId="33A33613" w14:textId="77777777" w:rsidR="00B15E72" w:rsidRPr="006F6CD4" w:rsidRDefault="00B15E72" w:rsidP="006F6CD4">
            <w:pPr>
              <w:pBdr>
                <w:top w:val="nil"/>
                <w:left w:val="nil"/>
                <w:bottom w:val="nil"/>
                <w:right w:val="nil"/>
                <w:between w:val="nil"/>
              </w:pBdr>
              <w:spacing w:before="52" w:line="480" w:lineRule="auto"/>
              <w:ind w:left="93" w:right="156"/>
              <w:rPr>
                <w:rFonts w:ascii="Arial" w:eastAsia="Times New Roman" w:hAnsi="Arial" w:cs="Arial"/>
                <w:b/>
                <w:color w:val="000000"/>
                <w:sz w:val="22"/>
              </w:rPr>
            </w:pPr>
            <w:r w:rsidRPr="006F6CD4">
              <w:rPr>
                <w:rFonts w:ascii="Arial" w:eastAsia="Times New Roman" w:hAnsi="Arial" w:cs="Arial"/>
                <w:b/>
                <w:color w:val="000000"/>
                <w:sz w:val="22"/>
              </w:rPr>
              <w:t>Controls for the most important risk factors</w:t>
            </w:r>
          </w:p>
        </w:tc>
        <w:tc>
          <w:tcPr>
            <w:tcW w:w="519" w:type="pct"/>
            <w:tcBorders>
              <w:right w:val="single" w:sz="6" w:space="0" w:color="000000"/>
            </w:tcBorders>
          </w:tcPr>
          <w:p w14:paraId="33A33614" w14:textId="77777777" w:rsidR="00B15E72" w:rsidRPr="006F6CD4" w:rsidRDefault="00B15E72" w:rsidP="006F6CD4">
            <w:pPr>
              <w:pBdr>
                <w:top w:val="nil"/>
                <w:left w:val="nil"/>
                <w:bottom w:val="nil"/>
                <w:right w:val="nil"/>
                <w:between w:val="nil"/>
              </w:pBdr>
              <w:spacing w:before="52" w:line="480" w:lineRule="auto"/>
              <w:ind w:left="96" w:right="82"/>
              <w:rPr>
                <w:rFonts w:ascii="Arial" w:eastAsia="Times New Roman" w:hAnsi="Arial" w:cs="Arial"/>
                <w:b/>
                <w:color w:val="000000"/>
                <w:sz w:val="22"/>
              </w:rPr>
            </w:pPr>
            <w:r w:rsidRPr="006F6CD4">
              <w:rPr>
                <w:rFonts w:ascii="Arial" w:eastAsia="Times New Roman" w:hAnsi="Arial" w:cs="Arial"/>
                <w:b/>
                <w:color w:val="000000"/>
                <w:sz w:val="22"/>
              </w:rPr>
              <w:t>Controls for other risk factors</w:t>
            </w:r>
          </w:p>
        </w:tc>
        <w:tc>
          <w:tcPr>
            <w:tcW w:w="440" w:type="pct"/>
            <w:tcBorders>
              <w:left w:val="single" w:sz="6" w:space="0" w:color="000000"/>
            </w:tcBorders>
          </w:tcPr>
          <w:p w14:paraId="33A33615" w14:textId="77777777" w:rsidR="00B15E72" w:rsidRPr="006F6CD4" w:rsidRDefault="00B15E72" w:rsidP="006F6CD4">
            <w:pPr>
              <w:pBdr>
                <w:top w:val="nil"/>
                <w:left w:val="nil"/>
                <w:bottom w:val="nil"/>
                <w:right w:val="nil"/>
                <w:between w:val="nil"/>
              </w:pBdr>
              <w:spacing w:before="52" w:line="480" w:lineRule="auto"/>
              <w:ind w:left="88"/>
              <w:rPr>
                <w:rFonts w:ascii="Arial" w:eastAsia="Times New Roman" w:hAnsi="Arial" w:cs="Arial"/>
                <w:b/>
                <w:color w:val="000000"/>
                <w:sz w:val="22"/>
              </w:rPr>
            </w:pPr>
            <w:r w:rsidRPr="006F6CD4">
              <w:rPr>
                <w:rFonts w:ascii="Arial" w:eastAsia="Times New Roman" w:hAnsi="Arial" w:cs="Arial"/>
                <w:b/>
                <w:color w:val="000000"/>
                <w:sz w:val="22"/>
              </w:rPr>
              <w:t>Assessment of outcome</w:t>
            </w:r>
          </w:p>
        </w:tc>
        <w:tc>
          <w:tcPr>
            <w:tcW w:w="343" w:type="pct"/>
          </w:tcPr>
          <w:p w14:paraId="33A33616" w14:textId="77777777" w:rsidR="00B15E72" w:rsidRPr="006F6CD4" w:rsidRDefault="00B15E72" w:rsidP="006F6CD4">
            <w:pPr>
              <w:spacing w:line="480" w:lineRule="auto"/>
              <w:rPr>
                <w:rFonts w:ascii="Arial" w:hAnsi="Arial" w:cs="Arial"/>
                <w:b/>
                <w:sz w:val="22"/>
              </w:rPr>
            </w:pPr>
            <w:r w:rsidRPr="006F6CD4">
              <w:rPr>
                <w:rFonts w:ascii="Arial" w:hAnsi="Arial" w:cs="Arial"/>
                <w:b/>
                <w:sz w:val="22"/>
              </w:rPr>
              <w:t>Was follow up long enough for outcomes to occur</w:t>
            </w:r>
          </w:p>
        </w:tc>
        <w:tc>
          <w:tcPr>
            <w:tcW w:w="344" w:type="pct"/>
          </w:tcPr>
          <w:p w14:paraId="33A33617" w14:textId="77777777" w:rsidR="00B15E72" w:rsidRPr="006F6CD4" w:rsidRDefault="00B15E72" w:rsidP="006F6CD4">
            <w:pPr>
              <w:pBdr>
                <w:top w:val="nil"/>
                <w:left w:val="nil"/>
                <w:bottom w:val="nil"/>
                <w:right w:val="nil"/>
                <w:between w:val="nil"/>
              </w:pBdr>
              <w:spacing w:before="52" w:line="480" w:lineRule="auto"/>
              <w:ind w:left="87" w:right="219"/>
              <w:rPr>
                <w:rFonts w:ascii="Arial" w:eastAsia="Times New Roman" w:hAnsi="Arial" w:cs="Arial"/>
                <w:b/>
                <w:color w:val="000000"/>
                <w:sz w:val="22"/>
              </w:rPr>
            </w:pPr>
            <w:r w:rsidRPr="006F6CD4">
              <w:rPr>
                <w:rFonts w:ascii="Arial" w:hAnsi="Arial" w:cs="Arial"/>
                <w:b/>
                <w:sz w:val="22"/>
              </w:rPr>
              <w:t>Adequacy of follow up of cohorts</w:t>
            </w:r>
          </w:p>
        </w:tc>
        <w:tc>
          <w:tcPr>
            <w:tcW w:w="411" w:type="pct"/>
          </w:tcPr>
          <w:p w14:paraId="33A33618" w14:textId="77777777" w:rsidR="00B15E72" w:rsidRPr="006F6CD4" w:rsidRDefault="00B15E72" w:rsidP="006F6CD4">
            <w:pPr>
              <w:pBdr>
                <w:top w:val="nil"/>
                <w:left w:val="nil"/>
                <w:bottom w:val="nil"/>
                <w:right w:val="nil"/>
                <w:between w:val="nil"/>
              </w:pBdr>
              <w:spacing w:before="52" w:line="480" w:lineRule="auto"/>
              <w:ind w:left="88"/>
              <w:rPr>
                <w:rFonts w:ascii="Arial" w:eastAsia="Times New Roman" w:hAnsi="Arial" w:cs="Arial"/>
                <w:b/>
                <w:color w:val="000000"/>
                <w:sz w:val="22"/>
              </w:rPr>
            </w:pPr>
            <w:r w:rsidRPr="006F6CD4">
              <w:rPr>
                <w:rFonts w:ascii="Arial" w:eastAsia="Times New Roman" w:hAnsi="Arial" w:cs="Arial"/>
                <w:b/>
                <w:color w:val="000000"/>
                <w:sz w:val="22"/>
              </w:rPr>
              <w:t>Total quality score</w:t>
            </w:r>
          </w:p>
        </w:tc>
      </w:tr>
      <w:tr w:rsidR="001C5052" w:rsidRPr="006F6CD4" w14:paraId="33A33625" w14:textId="77777777" w:rsidTr="00B15E72">
        <w:trPr>
          <w:trHeight w:val="277"/>
        </w:trPr>
        <w:tc>
          <w:tcPr>
            <w:tcW w:w="527" w:type="pct"/>
          </w:tcPr>
          <w:p w14:paraId="33A3361A" w14:textId="7BA654E4" w:rsidR="00B15E72" w:rsidRPr="006F6CD4" w:rsidRDefault="00B15E72" w:rsidP="006F6CD4">
            <w:pPr>
              <w:pBdr>
                <w:top w:val="nil"/>
                <w:left w:val="nil"/>
                <w:bottom w:val="nil"/>
                <w:right w:val="nil"/>
                <w:between w:val="nil"/>
              </w:pBdr>
              <w:spacing w:before="53" w:line="480" w:lineRule="auto"/>
              <w:ind w:left="107"/>
              <w:rPr>
                <w:rFonts w:ascii="Arial" w:eastAsia="Times New Roman" w:hAnsi="Arial" w:cs="Arial"/>
                <w:color w:val="000000"/>
                <w:sz w:val="22"/>
              </w:rPr>
            </w:pPr>
            <w:proofErr w:type="spellStart"/>
            <w:r w:rsidRPr="006F6CD4">
              <w:rPr>
                <w:rFonts w:ascii="Arial" w:eastAsia="Times New Roman" w:hAnsi="Arial" w:cs="Arial"/>
                <w:color w:val="000000"/>
                <w:sz w:val="22"/>
              </w:rPr>
              <w:t>Choudry</w:t>
            </w:r>
            <w:proofErr w:type="spellEnd"/>
            <w:r w:rsidRPr="006F6CD4">
              <w:rPr>
                <w:rFonts w:ascii="Arial" w:eastAsia="Times New Roman" w:hAnsi="Arial" w:cs="Arial"/>
                <w:color w:val="000000"/>
                <w:sz w:val="22"/>
              </w:rPr>
              <w:t xml:space="preserve"> et al, 2020</w:t>
            </w:r>
            <w:r w:rsidRPr="006F6CD4">
              <w:rPr>
                <w:rFonts w:ascii="Arial" w:eastAsia="Times New Roman" w:hAnsi="Arial" w:cs="Arial"/>
                <w:color w:val="000000"/>
                <w:sz w:val="22"/>
              </w:rPr>
              <w:fldChar w:fldCharType="begin" w:fldLock="1"/>
            </w:r>
            <w:r w:rsidR="008D40E5">
              <w:rPr>
                <w:rFonts w:ascii="Arial" w:eastAsia="Times New Roman" w:hAnsi="Arial" w:cs="Arial"/>
                <w:color w:val="000000"/>
                <w:sz w:val="22"/>
              </w:rPr>
              <w:instrText>ADDIN CSL_CITATION {"citationItems":[{"id":"ITEM-1","itemData":{"DOI":"10.1016/j.jacc.2020.07.022","ISSN":"07351097","abstract":"BACKGROUND: Coronavirus disease-2019 (COVID-19) is thought to predispose patients to thrombotic disease. To date there are few reports of ST-segment elevation myocardial infarction (STEMI) caused by type 1 myocardial infarction in patients with COVID-19. OBJECTIVES: The aim of this study was to describe the demographic, angiographic, and procedural characteristics alongside clinical outcomes of consecutive cases of COVID-19-positive patients with STEMI compared with COVID-19-negative patients. METHODS: This was a single-center, observational study of 115 consecutive patients admitted with confirmed STEMI treated with primary percutaneous coronary intervention at Barts Heart Centre between March 1, 2020, and May 20, 2020. RESULTS: Patients with STEMI presenting with concurrent COVID-19 infection had higher levels of troponin T and lower lymphocyte count, but elevated D-dimer and C-reactive protein. There were significantly higher rates of multivessel thrombosis, stent thrombosis, higher modified thrombus grade post first device with consequently higher use of glycoprotein IIb/IIIa inhibitors and thrombus aspiration. Myocardial blush grade and left ventricular function were significantly lower in patients with COVID-19 with STEMI. Higher doses of heparin to achieve therapeutic activated clotting times were also noted. Importantly, patients with STEMI presenting with COVID-19 infection had a longer in-patient admission and higher rates of intensive care admission. CONCLUSIONS: In patients presenting with STEMI and concurrent COVID-19 infection, there is a strong signal toward higher thrombus burden and poorer outcomes. This supports the need for establishing COVID-19 status in all STEMI cases. Further work is required to understand the mechanism of increased thrombosis and the benefit of aggressive antithrombotic therapy in selected cases.","author":[{"dropping-particle":"","family":"Choudry","given":"Fizzah A","non-dropping-particle":"","parse-names":false,"suffix":""},{"dropping-particle":"","family":"Hamshere","given":"Stephen M","non-dropping-particle":"","parse-names":false,"suffix":""},{"dropping-particle":"","family":"Rathod","given":"Krishnaraj S","non-dropping-particle":"","parse-names":false,"suffix":""},{"dropping-particle":"","family":"Akhtar","given":"Mohammed M","non-dropping-particle":"","parse-names":false,"suffix":""},{"dropping-particle":"","family":"Archbold","given":"R Andrew","non-dropping-particle":"","parse-names":false,"suffix":""},{"dropping-particle":"","family":"Guttmann","given":"Oliver P","non-dropping-particle":"","parse-names":false,"suffix":""},{"dropping-particle":"","family":"Woldman","given":"Simon","non-dropping-particle":"","parse-names":false,"suffix":""},{"dropping-particle":"","family":"Jain","given":"Ajay K","non-dropping-particle":"","parse-names":false,"suffix":""},{"dropping-particle":"","family":"Knight","given":"Charles J","non-dropping-particle":"","parse-names":false,"suffix":""},{"dropping-particle":"","family":"Baumbach","given":"Andreas","non-dropping-particle":"","parse-names":false,"suffix":""},{"dropping-particle":"","family":"Mathur","given":"Anthony","non-dropping-particle":"","parse-names":false,"suffix":""},{"dropping-particle":"","family":"Jones","given":"Daniel A","non-dropping-particle":"","parse-names":false,"suffix":""}],"container-title":"Journal of the American College of Cardiology","edition":"2020/07/14","id":"ITEM-1","issue":"10","issued":{"date-parts":[["2020","9","8"]]},"language":"eng","page":"1168-1176","publisher":"by the American College of Cardiology Foundation. Published by Elsevier.","title":"High Thrombus Burden in Patients With COVID-19 Presenting With ST-Segment Elevation Myocardial Infarction","type":"article-journal","volume":"76"},"uris":["http://www.mendeley.com/documents/?uuid=4350a316-6c90-4061-ba63-b3c7c1967fb0"]}],"mendeley":{"formattedCitation":"[1]","plainTextFormattedCitation":"[1]","previouslyFormattedCitation":"&lt;sup&gt;1&lt;/sup&gt;"},"properties":{"noteIndex":0},"schema":"https://github.com/citation-style-language/schema/raw/master/csl-citation.json"}</w:instrText>
            </w:r>
            <w:r w:rsidRPr="006F6CD4">
              <w:rPr>
                <w:rFonts w:ascii="Arial" w:eastAsia="Times New Roman" w:hAnsi="Arial" w:cs="Arial"/>
                <w:color w:val="000000"/>
                <w:sz w:val="22"/>
              </w:rPr>
              <w:fldChar w:fldCharType="separate"/>
            </w:r>
            <w:r w:rsidR="008D40E5" w:rsidRPr="008D40E5">
              <w:rPr>
                <w:rFonts w:ascii="Arial" w:eastAsia="Times New Roman" w:hAnsi="Arial" w:cs="Arial"/>
                <w:noProof/>
                <w:color w:val="000000"/>
                <w:sz w:val="22"/>
              </w:rPr>
              <w:t>[1]</w:t>
            </w:r>
            <w:r w:rsidRPr="006F6CD4">
              <w:rPr>
                <w:rFonts w:ascii="Arial" w:eastAsia="Times New Roman" w:hAnsi="Arial" w:cs="Arial"/>
                <w:color w:val="000000"/>
                <w:sz w:val="22"/>
              </w:rPr>
              <w:fldChar w:fldCharType="end"/>
            </w:r>
          </w:p>
        </w:tc>
        <w:tc>
          <w:tcPr>
            <w:tcW w:w="435" w:type="pct"/>
          </w:tcPr>
          <w:p w14:paraId="33A3361B" w14:textId="77777777" w:rsidR="00B15E72" w:rsidRPr="006F6CD4" w:rsidRDefault="00B15E72" w:rsidP="006F6CD4">
            <w:pPr>
              <w:pBdr>
                <w:top w:val="nil"/>
                <w:left w:val="nil"/>
                <w:bottom w:val="nil"/>
                <w:right w:val="nil"/>
                <w:between w:val="nil"/>
              </w:pBdr>
              <w:spacing w:before="53" w:line="480" w:lineRule="auto"/>
              <w:ind w:left="106"/>
              <w:rPr>
                <w:rFonts w:ascii="Arial" w:eastAsia="Times New Roman" w:hAnsi="Arial" w:cs="Arial"/>
                <w:color w:val="000000"/>
                <w:sz w:val="22"/>
              </w:rPr>
            </w:pPr>
            <w:r w:rsidRPr="006F6CD4">
              <w:rPr>
                <w:rFonts w:ascii="Arial" w:eastAsia="Times New Roman" w:hAnsi="Arial" w:cs="Arial"/>
                <w:color w:val="000000"/>
                <w:sz w:val="22"/>
              </w:rPr>
              <w:t>1</w:t>
            </w:r>
          </w:p>
        </w:tc>
        <w:tc>
          <w:tcPr>
            <w:tcW w:w="494" w:type="pct"/>
          </w:tcPr>
          <w:p w14:paraId="33A3361C" w14:textId="77777777" w:rsidR="00B15E72" w:rsidRPr="006F6CD4" w:rsidRDefault="00B15E72" w:rsidP="006F6CD4">
            <w:pPr>
              <w:pBdr>
                <w:top w:val="nil"/>
                <w:left w:val="nil"/>
                <w:bottom w:val="nil"/>
                <w:right w:val="nil"/>
                <w:between w:val="nil"/>
              </w:pBdr>
              <w:spacing w:before="53" w:line="480" w:lineRule="auto"/>
              <w:ind w:left="106"/>
              <w:rPr>
                <w:rFonts w:ascii="Arial" w:eastAsia="Times New Roman" w:hAnsi="Arial" w:cs="Arial"/>
                <w:color w:val="000000"/>
                <w:sz w:val="22"/>
              </w:rPr>
            </w:pPr>
            <w:r w:rsidRPr="006F6CD4">
              <w:rPr>
                <w:rFonts w:ascii="Arial" w:eastAsia="Times New Roman" w:hAnsi="Arial" w:cs="Arial"/>
                <w:color w:val="000000"/>
                <w:sz w:val="22"/>
              </w:rPr>
              <w:t>1</w:t>
            </w:r>
          </w:p>
        </w:tc>
        <w:tc>
          <w:tcPr>
            <w:tcW w:w="393" w:type="pct"/>
          </w:tcPr>
          <w:p w14:paraId="33A3361D" w14:textId="77777777" w:rsidR="00B15E72" w:rsidRPr="006F6CD4" w:rsidRDefault="00B15E72" w:rsidP="006F6CD4">
            <w:pPr>
              <w:pBdr>
                <w:top w:val="nil"/>
                <w:left w:val="nil"/>
                <w:bottom w:val="nil"/>
                <w:right w:val="nil"/>
                <w:between w:val="nil"/>
              </w:pBdr>
              <w:spacing w:before="53" w:line="480" w:lineRule="auto"/>
              <w:ind w:left="105"/>
              <w:rPr>
                <w:rFonts w:ascii="Arial" w:eastAsia="Times New Roman" w:hAnsi="Arial" w:cs="Arial"/>
                <w:color w:val="000000"/>
                <w:sz w:val="22"/>
              </w:rPr>
            </w:pPr>
            <w:r w:rsidRPr="006F6CD4">
              <w:rPr>
                <w:rFonts w:ascii="Arial" w:eastAsia="Times New Roman" w:hAnsi="Arial" w:cs="Arial"/>
                <w:color w:val="000000"/>
                <w:sz w:val="22"/>
              </w:rPr>
              <w:t>1</w:t>
            </w:r>
          </w:p>
        </w:tc>
        <w:tc>
          <w:tcPr>
            <w:tcW w:w="632" w:type="pct"/>
            <w:tcBorders>
              <w:right w:val="single" w:sz="6" w:space="0" w:color="000000"/>
            </w:tcBorders>
          </w:tcPr>
          <w:p w14:paraId="33A3361E" w14:textId="77777777" w:rsidR="00B15E72" w:rsidRPr="006F6CD4" w:rsidRDefault="00B15E72" w:rsidP="006F6CD4">
            <w:pPr>
              <w:pBdr>
                <w:top w:val="nil"/>
                <w:left w:val="nil"/>
                <w:bottom w:val="nil"/>
                <w:right w:val="nil"/>
                <w:between w:val="nil"/>
              </w:pBdr>
              <w:spacing w:before="53" w:line="480" w:lineRule="auto"/>
              <w:ind w:left="99"/>
              <w:rPr>
                <w:rFonts w:ascii="Arial" w:eastAsia="Times New Roman" w:hAnsi="Arial" w:cs="Arial"/>
                <w:color w:val="000000"/>
                <w:sz w:val="22"/>
              </w:rPr>
            </w:pPr>
            <w:r w:rsidRPr="006F6CD4">
              <w:rPr>
                <w:rFonts w:ascii="Arial" w:eastAsia="Times New Roman" w:hAnsi="Arial" w:cs="Arial"/>
                <w:color w:val="000000"/>
                <w:sz w:val="22"/>
              </w:rPr>
              <w:t>1</w:t>
            </w:r>
          </w:p>
        </w:tc>
        <w:tc>
          <w:tcPr>
            <w:tcW w:w="462" w:type="pct"/>
            <w:tcBorders>
              <w:left w:val="single" w:sz="6" w:space="0" w:color="000000"/>
            </w:tcBorders>
          </w:tcPr>
          <w:p w14:paraId="33A3361F" w14:textId="77777777" w:rsidR="00B15E72" w:rsidRPr="006F6CD4" w:rsidRDefault="00B15E72" w:rsidP="006F6CD4">
            <w:pPr>
              <w:pBdr>
                <w:top w:val="nil"/>
                <w:left w:val="nil"/>
                <w:bottom w:val="nil"/>
                <w:right w:val="nil"/>
                <w:between w:val="nil"/>
              </w:pBdr>
              <w:spacing w:before="53" w:line="480" w:lineRule="auto"/>
              <w:ind w:left="93"/>
              <w:rPr>
                <w:rFonts w:ascii="Arial" w:eastAsia="Times New Roman" w:hAnsi="Arial" w:cs="Arial"/>
                <w:color w:val="000000"/>
                <w:sz w:val="22"/>
              </w:rPr>
            </w:pPr>
            <w:r w:rsidRPr="006F6CD4">
              <w:rPr>
                <w:rFonts w:ascii="Arial" w:eastAsia="Times New Roman" w:hAnsi="Arial" w:cs="Arial"/>
                <w:color w:val="000000"/>
                <w:sz w:val="22"/>
              </w:rPr>
              <w:t>0</w:t>
            </w:r>
          </w:p>
        </w:tc>
        <w:tc>
          <w:tcPr>
            <w:tcW w:w="519" w:type="pct"/>
            <w:tcBorders>
              <w:right w:val="single" w:sz="6" w:space="0" w:color="000000"/>
            </w:tcBorders>
          </w:tcPr>
          <w:p w14:paraId="33A33620" w14:textId="77777777" w:rsidR="00B15E72" w:rsidRPr="006F6CD4" w:rsidRDefault="00B15E72" w:rsidP="006F6CD4">
            <w:pPr>
              <w:pBdr>
                <w:top w:val="nil"/>
                <w:left w:val="nil"/>
                <w:bottom w:val="nil"/>
                <w:right w:val="nil"/>
                <w:between w:val="nil"/>
              </w:pBdr>
              <w:spacing w:before="53" w:line="480" w:lineRule="auto"/>
              <w:ind w:left="96"/>
              <w:rPr>
                <w:rFonts w:ascii="Arial" w:eastAsia="Times New Roman" w:hAnsi="Arial" w:cs="Arial"/>
                <w:color w:val="000000"/>
                <w:sz w:val="22"/>
              </w:rPr>
            </w:pPr>
            <w:r w:rsidRPr="006F6CD4">
              <w:rPr>
                <w:rFonts w:ascii="Arial" w:eastAsia="Times New Roman" w:hAnsi="Arial" w:cs="Arial"/>
                <w:color w:val="000000"/>
                <w:sz w:val="22"/>
              </w:rPr>
              <w:t>0</w:t>
            </w:r>
          </w:p>
        </w:tc>
        <w:tc>
          <w:tcPr>
            <w:tcW w:w="440" w:type="pct"/>
            <w:tcBorders>
              <w:left w:val="single" w:sz="6" w:space="0" w:color="000000"/>
            </w:tcBorders>
          </w:tcPr>
          <w:p w14:paraId="33A33621" w14:textId="77777777" w:rsidR="00B15E72" w:rsidRPr="006F6CD4" w:rsidRDefault="00B15E72" w:rsidP="006F6CD4">
            <w:pPr>
              <w:pBdr>
                <w:top w:val="nil"/>
                <w:left w:val="nil"/>
                <w:bottom w:val="nil"/>
                <w:right w:val="nil"/>
                <w:between w:val="nil"/>
              </w:pBdr>
              <w:spacing w:before="53" w:line="480" w:lineRule="auto"/>
              <w:ind w:left="88"/>
              <w:rPr>
                <w:rFonts w:ascii="Arial" w:eastAsia="Times New Roman" w:hAnsi="Arial" w:cs="Arial"/>
                <w:color w:val="000000"/>
                <w:sz w:val="22"/>
              </w:rPr>
            </w:pPr>
            <w:r w:rsidRPr="006F6CD4">
              <w:rPr>
                <w:rFonts w:ascii="Arial" w:eastAsia="Times New Roman" w:hAnsi="Arial" w:cs="Arial"/>
                <w:color w:val="000000"/>
                <w:sz w:val="22"/>
              </w:rPr>
              <w:t>1</w:t>
            </w:r>
          </w:p>
        </w:tc>
        <w:tc>
          <w:tcPr>
            <w:tcW w:w="343" w:type="pct"/>
          </w:tcPr>
          <w:p w14:paraId="33A33622" w14:textId="77777777" w:rsidR="00B15E72" w:rsidRPr="006F6CD4" w:rsidRDefault="00B15E72" w:rsidP="006F6CD4">
            <w:pPr>
              <w:pBdr>
                <w:top w:val="nil"/>
                <w:left w:val="nil"/>
                <w:bottom w:val="nil"/>
                <w:right w:val="nil"/>
                <w:between w:val="nil"/>
              </w:pBdr>
              <w:spacing w:before="53" w:line="480" w:lineRule="auto"/>
              <w:ind w:left="95"/>
              <w:rPr>
                <w:rFonts w:ascii="Arial" w:eastAsia="Times New Roman" w:hAnsi="Arial" w:cs="Arial"/>
                <w:color w:val="000000"/>
                <w:sz w:val="22"/>
              </w:rPr>
            </w:pPr>
            <w:r w:rsidRPr="006F6CD4">
              <w:rPr>
                <w:rFonts w:ascii="Arial" w:eastAsia="Times New Roman" w:hAnsi="Arial" w:cs="Arial"/>
                <w:color w:val="000000"/>
                <w:sz w:val="22"/>
              </w:rPr>
              <w:t>1</w:t>
            </w:r>
          </w:p>
        </w:tc>
        <w:tc>
          <w:tcPr>
            <w:tcW w:w="344" w:type="pct"/>
          </w:tcPr>
          <w:p w14:paraId="33A33623" w14:textId="77777777" w:rsidR="00B15E72" w:rsidRPr="006F6CD4" w:rsidRDefault="00B15E72" w:rsidP="006F6CD4">
            <w:pPr>
              <w:pBdr>
                <w:top w:val="nil"/>
                <w:left w:val="nil"/>
                <w:bottom w:val="nil"/>
                <w:right w:val="nil"/>
                <w:between w:val="nil"/>
              </w:pBdr>
              <w:spacing w:before="53" w:line="480" w:lineRule="auto"/>
              <w:ind w:left="87"/>
              <w:rPr>
                <w:rFonts w:ascii="Arial" w:eastAsia="Times New Roman" w:hAnsi="Arial" w:cs="Arial"/>
                <w:color w:val="000000"/>
                <w:sz w:val="22"/>
              </w:rPr>
            </w:pPr>
            <w:r w:rsidRPr="006F6CD4">
              <w:rPr>
                <w:rFonts w:ascii="Arial" w:eastAsia="Times New Roman" w:hAnsi="Arial" w:cs="Arial"/>
                <w:color w:val="000000"/>
                <w:sz w:val="22"/>
              </w:rPr>
              <w:t>1</w:t>
            </w:r>
          </w:p>
        </w:tc>
        <w:tc>
          <w:tcPr>
            <w:tcW w:w="411" w:type="pct"/>
          </w:tcPr>
          <w:p w14:paraId="33A33624" w14:textId="77777777" w:rsidR="00B15E72" w:rsidRPr="006F6CD4" w:rsidRDefault="00B15E72" w:rsidP="006F6CD4">
            <w:pPr>
              <w:pBdr>
                <w:top w:val="nil"/>
                <w:left w:val="nil"/>
                <w:bottom w:val="nil"/>
                <w:right w:val="nil"/>
                <w:between w:val="nil"/>
              </w:pBdr>
              <w:spacing w:before="53" w:line="480" w:lineRule="auto"/>
              <w:ind w:left="88"/>
              <w:rPr>
                <w:rFonts w:ascii="Arial" w:eastAsia="Times New Roman" w:hAnsi="Arial" w:cs="Arial"/>
                <w:b/>
                <w:color w:val="000000"/>
                <w:sz w:val="22"/>
              </w:rPr>
            </w:pPr>
            <w:r w:rsidRPr="006F6CD4">
              <w:rPr>
                <w:rFonts w:ascii="Arial" w:eastAsia="Times New Roman" w:hAnsi="Arial" w:cs="Arial"/>
                <w:b/>
                <w:color w:val="000000"/>
                <w:sz w:val="22"/>
              </w:rPr>
              <w:t>7</w:t>
            </w:r>
          </w:p>
        </w:tc>
      </w:tr>
      <w:tr w:rsidR="001C5052" w:rsidRPr="006F6CD4" w14:paraId="33A33631" w14:textId="77777777" w:rsidTr="00B15E72">
        <w:trPr>
          <w:trHeight w:val="282"/>
        </w:trPr>
        <w:tc>
          <w:tcPr>
            <w:tcW w:w="527" w:type="pct"/>
          </w:tcPr>
          <w:p w14:paraId="33A33626" w14:textId="74030765" w:rsidR="00B15E72" w:rsidRPr="006F6CD4" w:rsidRDefault="00B15E72" w:rsidP="006F6CD4">
            <w:pPr>
              <w:pBdr>
                <w:top w:val="nil"/>
                <w:left w:val="nil"/>
                <w:bottom w:val="nil"/>
                <w:right w:val="nil"/>
                <w:between w:val="nil"/>
              </w:pBdr>
              <w:spacing w:before="57" w:line="480" w:lineRule="auto"/>
              <w:ind w:left="106"/>
              <w:rPr>
                <w:rFonts w:ascii="Arial" w:eastAsia="Times New Roman" w:hAnsi="Arial" w:cs="Arial"/>
                <w:color w:val="000000"/>
                <w:sz w:val="22"/>
              </w:rPr>
            </w:pPr>
            <w:r w:rsidRPr="006F6CD4">
              <w:rPr>
                <w:rFonts w:ascii="Arial" w:eastAsia="Times New Roman" w:hAnsi="Arial" w:cs="Arial"/>
                <w:color w:val="000000"/>
                <w:sz w:val="22"/>
              </w:rPr>
              <w:lastRenderedPageBreak/>
              <w:t>Little et al, 2020</w:t>
            </w:r>
            <w:r w:rsidRPr="006F6CD4">
              <w:rPr>
                <w:rFonts w:ascii="Arial" w:eastAsia="Times New Roman" w:hAnsi="Arial" w:cs="Arial"/>
                <w:color w:val="000000"/>
                <w:sz w:val="22"/>
              </w:rPr>
              <w:fldChar w:fldCharType="begin" w:fldLock="1"/>
            </w:r>
            <w:r w:rsidR="008D40E5">
              <w:rPr>
                <w:rFonts w:ascii="Arial" w:eastAsia="Times New Roman" w:hAnsi="Arial" w:cs="Arial"/>
                <w:color w:val="000000"/>
                <w:sz w:val="22"/>
              </w:rPr>
              <w:instrText>ADDIN CSL_CITATION {"citationItems":[{"id":"ITEM-1","itemData":{"DOI":"10.1136/openhrt-2020-001432","ISSN":"2053-3624","abstract":"OBJECTIVES: To understand the impact of COVID-19 on delivery and outcomes of primary percutaneous coronary intervention (PPCI). Furthermore, to compare clinical presentation and outcomes of patients with ST-segment elevation myocardial infarction (STEMI) with active COVID-19 against those without COVID-19. METHODS: We systematically analysed 348 STEMI cases presenting to the PPCI programme in London during the peak of the pandemic (1 March to 30 April 2020) and compared with 440 cases from the same period in 2019. Outcomes of interest included ambulance response times, timeliness of revascularisation, angiographic and procedural characteristics, and in-hospital clinical outcomes RESULTS: There was a 21% reduction in STEMI admissions and longer ambulance response times (87 (62-118) min in 2020 vs 75 (57-95) min in 2019, p&lt;0.001), but that this was not associated with a delays in achieving revascularisation once in hospital (48 (34-65) min in 2020 vs 48 (35-70) min in 2019, p=0.35) or increased mortality (10.9% (38) in 2020 vs 8.6% (38) in 2019, p=0.28). 46 patients with active COVID-19 were more thrombotic and more likely to have intensive care unit admissions (32.6% (15) vs 9.3% (28), OR 5.74 (95%CI 2.24 to 9.89), p&lt;0.001). They also had increased length of stay (4 (3-9) days vs 3 (2-4) days, p&lt;0.001) and a higher mortality (21.7% (10) vs 9.3% (28), OR 2.72 (95% CI 1.25 to 5.82), p=0.012) compared with patients having PPCI without COVID-19. CONCLUSION: These findings suggest that PPCI pathways can be maintained during unprecedented healthcare emergencies but confirms the high mortality of STEMI in the context of concomitant COVID-19 infection characterised by a heightened state of thrombogenicity.","author":[{"dropping-particle":"","family":"Little","given":"Callum D","non-dropping-particle":"","parse-names":false,"suffix":""},{"dropping-particle":"","family":"Kotecha","given":"Tushar","non-dropping-particle":"","parse-names":false,"suffix":""},{"dropping-particle":"","family":"Candilio","given":"Luciano","non-dropping-particle":"","parse-names":false,"suffix":""},{"dropping-particle":"","family":"Jabbour","given":"Richard J","non-dropping-particle":"","parse-names":false,"suffix":""},{"dropping-particle":"","family":"Collins","given":"George B","non-dropping-particle":"","parse-names":false,"suffix":""},{"dropping-particle":"","family":"Ahmed","given":"Asrar","non-dropping-particle":"","parse-names":false,"suffix":""},{"dropping-particle":"","family":"Connolly","given":"Michelle","non-dropping-particle":"","parse-names":false,"suffix":""},{"dropping-particle":"","family":"Kanyal","given":"Ritesh","non-dropping-particle":"","parse-names":false,"suffix":""},{"dropping-particle":"","family":"Demir","given":"Ozan M","non-dropping-particle":"","parse-names":false,"suffix":""},{"dropping-particle":"","family":"Lawson","given":"Lucy O","non-dropping-particle":"","parse-names":false,"suffix":""},{"dropping-particle":"","family":"Wang","given":"Brian","non-dropping-particle":"","parse-names":false,"suffix":""},{"dropping-particle":"","family":"Firoozi","given":"Sam","non-dropping-particle":"","parse-names":false,"suffix":""},{"dropping-particle":"","family":"Spratt","given":"James C","non-dropping-particle":"","parse-names":false,"suffix":""},{"dropping-particle":"","family":"Perera","given":"Divaka","non-dropping-particle":"","parse-names":false,"suffix":""},{"dropping-particle":"","family":"MacCarthy","given":"Philip","non-dropping-particle":"","parse-names":false,"suffix":""},{"dropping-particle":"","family":"Dalby","given":"Miles","non-dropping-particle":"","parse-names":false,"suffix":""},{"dropping-particle":"","family":"Jain","given":"Ajay","non-dropping-particle":"","parse-names":false,"suffix":""},{"dropping-particle":"","family":"Wilson","given":"Simon J","non-dropping-particle":"","parse-names":false,"suffix":""},{"dropping-particle":"","family":"Malik","given":"Iqbal","non-dropping-particle":"","parse-names":false,"suffix":""},{"dropping-particle":"","family":"Rakhit","given":"Roby","non-dropping-particle":"","parse-names":false,"suffix":""}],"container-title":"Open Heart","id":"ITEM-1","issue":"2","issued":{"date-parts":[["2020","10","26"]]},"language":"eng","page":"e001432","publisher":"BMJ Publishing Group","title":"COVID-19 pandemic and STEMI: pathway activation and outcomes from the pan-London heart attack group","type":"article-journal","volume":"7"},"uris":["http://www.mendeley.com/documents/?uuid=a76ca4d9-3f6a-425c-b741-eaafcf3d2681"]}],"mendeley":{"formattedCitation":"[2]","plainTextFormattedCitation":"[2]","previouslyFormattedCitation":"&lt;sup&gt;2&lt;/sup&gt;"},"properties":{"noteIndex":0},"schema":"https://github.com/citation-style-language/schema/raw/master/csl-citation.json"}</w:instrText>
            </w:r>
            <w:r w:rsidRPr="006F6CD4">
              <w:rPr>
                <w:rFonts w:ascii="Arial" w:eastAsia="Times New Roman" w:hAnsi="Arial" w:cs="Arial"/>
                <w:color w:val="000000"/>
                <w:sz w:val="22"/>
              </w:rPr>
              <w:fldChar w:fldCharType="separate"/>
            </w:r>
            <w:r w:rsidR="008D40E5" w:rsidRPr="008D40E5">
              <w:rPr>
                <w:rFonts w:ascii="Arial" w:eastAsia="Times New Roman" w:hAnsi="Arial" w:cs="Arial"/>
                <w:noProof/>
                <w:color w:val="000000"/>
                <w:sz w:val="22"/>
              </w:rPr>
              <w:t>[2]</w:t>
            </w:r>
            <w:r w:rsidRPr="006F6CD4">
              <w:rPr>
                <w:rFonts w:ascii="Arial" w:eastAsia="Times New Roman" w:hAnsi="Arial" w:cs="Arial"/>
                <w:color w:val="000000"/>
                <w:sz w:val="22"/>
              </w:rPr>
              <w:fldChar w:fldCharType="end"/>
            </w:r>
          </w:p>
        </w:tc>
        <w:tc>
          <w:tcPr>
            <w:tcW w:w="435" w:type="pct"/>
          </w:tcPr>
          <w:p w14:paraId="33A33627" w14:textId="77777777" w:rsidR="00B15E72" w:rsidRPr="006F6CD4" w:rsidRDefault="00B15E72" w:rsidP="006F6CD4">
            <w:pPr>
              <w:pBdr>
                <w:top w:val="nil"/>
                <w:left w:val="nil"/>
                <w:bottom w:val="nil"/>
                <w:right w:val="nil"/>
                <w:between w:val="nil"/>
              </w:pBdr>
              <w:spacing w:before="57" w:line="480" w:lineRule="auto"/>
              <w:ind w:left="106"/>
              <w:rPr>
                <w:rFonts w:ascii="Arial" w:eastAsia="Times New Roman" w:hAnsi="Arial" w:cs="Arial"/>
                <w:color w:val="000000"/>
                <w:sz w:val="22"/>
              </w:rPr>
            </w:pPr>
            <w:r w:rsidRPr="006F6CD4">
              <w:rPr>
                <w:rFonts w:ascii="Arial" w:eastAsia="Times New Roman" w:hAnsi="Arial" w:cs="Arial"/>
                <w:color w:val="000000"/>
                <w:sz w:val="22"/>
              </w:rPr>
              <w:t>1</w:t>
            </w:r>
          </w:p>
        </w:tc>
        <w:tc>
          <w:tcPr>
            <w:tcW w:w="494" w:type="pct"/>
          </w:tcPr>
          <w:p w14:paraId="33A33628" w14:textId="77777777" w:rsidR="00B15E72" w:rsidRPr="006F6CD4" w:rsidRDefault="00B15E72" w:rsidP="006F6CD4">
            <w:pPr>
              <w:pBdr>
                <w:top w:val="nil"/>
                <w:left w:val="nil"/>
                <w:bottom w:val="nil"/>
                <w:right w:val="nil"/>
                <w:between w:val="nil"/>
              </w:pBdr>
              <w:spacing w:before="57" w:line="480" w:lineRule="auto"/>
              <w:ind w:left="106"/>
              <w:rPr>
                <w:rFonts w:ascii="Arial" w:eastAsia="Times New Roman" w:hAnsi="Arial" w:cs="Arial"/>
                <w:color w:val="000000"/>
                <w:sz w:val="22"/>
              </w:rPr>
            </w:pPr>
            <w:r w:rsidRPr="006F6CD4">
              <w:rPr>
                <w:rFonts w:ascii="Arial" w:eastAsia="Times New Roman" w:hAnsi="Arial" w:cs="Arial"/>
                <w:color w:val="000000"/>
                <w:sz w:val="22"/>
              </w:rPr>
              <w:t>1</w:t>
            </w:r>
          </w:p>
        </w:tc>
        <w:tc>
          <w:tcPr>
            <w:tcW w:w="393" w:type="pct"/>
          </w:tcPr>
          <w:p w14:paraId="33A33629" w14:textId="77777777" w:rsidR="00B15E72" w:rsidRPr="006F6CD4" w:rsidRDefault="00B15E72" w:rsidP="006F6CD4">
            <w:pPr>
              <w:pBdr>
                <w:top w:val="nil"/>
                <w:left w:val="nil"/>
                <w:bottom w:val="nil"/>
                <w:right w:val="nil"/>
                <w:between w:val="nil"/>
              </w:pBdr>
              <w:spacing w:before="57" w:line="480" w:lineRule="auto"/>
              <w:ind w:left="105"/>
              <w:rPr>
                <w:rFonts w:ascii="Arial" w:eastAsia="Times New Roman" w:hAnsi="Arial" w:cs="Arial"/>
                <w:color w:val="000000"/>
                <w:sz w:val="22"/>
              </w:rPr>
            </w:pPr>
            <w:r w:rsidRPr="006F6CD4">
              <w:rPr>
                <w:rFonts w:ascii="Arial" w:eastAsia="Times New Roman" w:hAnsi="Arial" w:cs="Arial"/>
                <w:color w:val="000000"/>
                <w:sz w:val="22"/>
              </w:rPr>
              <w:t>1</w:t>
            </w:r>
          </w:p>
        </w:tc>
        <w:tc>
          <w:tcPr>
            <w:tcW w:w="632" w:type="pct"/>
            <w:tcBorders>
              <w:right w:val="single" w:sz="6" w:space="0" w:color="000000"/>
            </w:tcBorders>
          </w:tcPr>
          <w:p w14:paraId="33A3362A" w14:textId="77777777" w:rsidR="00B15E72" w:rsidRPr="006F6CD4" w:rsidRDefault="00B15E72" w:rsidP="006F6CD4">
            <w:pPr>
              <w:pBdr>
                <w:top w:val="nil"/>
                <w:left w:val="nil"/>
                <w:bottom w:val="nil"/>
                <w:right w:val="nil"/>
                <w:between w:val="nil"/>
              </w:pBdr>
              <w:spacing w:before="57" w:line="480" w:lineRule="auto"/>
              <w:ind w:left="99"/>
              <w:rPr>
                <w:rFonts w:ascii="Arial" w:eastAsia="Times New Roman" w:hAnsi="Arial" w:cs="Arial"/>
                <w:color w:val="000000"/>
                <w:sz w:val="22"/>
              </w:rPr>
            </w:pPr>
            <w:r w:rsidRPr="006F6CD4">
              <w:rPr>
                <w:rFonts w:ascii="Arial" w:eastAsia="Times New Roman" w:hAnsi="Arial" w:cs="Arial"/>
                <w:color w:val="000000"/>
                <w:sz w:val="22"/>
              </w:rPr>
              <w:t>1</w:t>
            </w:r>
          </w:p>
        </w:tc>
        <w:tc>
          <w:tcPr>
            <w:tcW w:w="462" w:type="pct"/>
            <w:tcBorders>
              <w:left w:val="single" w:sz="6" w:space="0" w:color="000000"/>
            </w:tcBorders>
          </w:tcPr>
          <w:p w14:paraId="33A3362B" w14:textId="77777777" w:rsidR="00B15E72" w:rsidRPr="006F6CD4" w:rsidRDefault="00B15E72" w:rsidP="006F6CD4">
            <w:pPr>
              <w:pBdr>
                <w:top w:val="nil"/>
                <w:left w:val="nil"/>
                <w:bottom w:val="nil"/>
                <w:right w:val="nil"/>
                <w:between w:val="nil"/>
              </w:pBdr>
              <w:spacing w:before="57" w:line="480" w:lineRule="auto"/>
              <w:ind w:left="93"/>
              <w:rPr>
                <w:rFonts w:ascii="Arial" w:eastAsia="Times New Roman" w:hAnsi="Arial" w:cs="Arial"/>
                <w:color w:val="000000"/>
                <w:sz w:val="22"/>
              </w:rPr>
            </w:pPr>
            <w:r w:rsidRPr="006F6CD4">
              <w:rPr>
                <w:rFonts w:ascii="Arial" w:eastAsia="Times New Roman" w:hAnsi="Arial" w:cs="Arial"/>
                <w:color w:val="000000"/>
                <w:sz w:val="22"/>
              </w:rPr>
              <w:t>0</w:t>
            </w:r>
          </w:p>
        </w:tc>
        <w:tc>
          <w:tcPr>
            <w:tcW w:w="519" w:type="pct"/>
            <w:tcBorders>
              <w:right w:val="single" w:sz="6" w:space="0" w:color="000000"/>
            </w:tcBorders>
          </w:tcPr>
          <w:p w14:paraId="33A3362C" w14:textId="77777777" w:rsidR="00B15E72" w:rsidRPr="006F6CD4" w:rsidRDefault="00B15E72" w:rsidP="006F6CD4">
            <w:pPr>
              <w:pBdr>
                <w:top w:val="nil"/>
                <w:left w:val="nil"/>
                <w:bottom w:val="nil"/>
                <w:right w:val="nil"/>
                <w:between w:val="nil"/>
              </w:pBdr>
              <w:spacing w:before="57" w:line="480" w:lineRule="auto"/>
              <w:ind w:left="96"/>
              <w:rPr>
                <w:rFonts w:ascii="Arial" w:eastAsia="Times New Roman" w:hAnsi="Arial" w:cs="Arial"/>
                <w:color w:val="000000"/>
                <w:sz w:val="22"/>
              </w:rPr>
            </w:pPr>
            <w:r w:rsidRPr="006F6CD4">
              <w:rPr>
                <w:rFonts w:ascii="Arial" w:eastAsia="Times New Roman" w:hAnsi="Arial" w:cs="Arial"/>
                <w:color w:val="000000"/>
                <w:sz w:val="22"/>
              </w:rPr>
              <w:t>0</w:t>
            </w:r>
          </w:p>
        </w:tc>
        <w:tc>
          <w:tcPr>
            <w:tcW w:w="440" w:type="pct"/>
            <w:tcBorders>
              <w:left w:val="single" w:sz="6" w:space="0" w:color="000000"/>
            </w:tcBorders>
          </w:tcPr>
          <w:p w14:paraId="33A3362D" w14:textId="77777777" w:rsidR="00B15E72" w:rsidRPr="006F6CD4" w:rsidRDefault="00B15E72" w:rsidP="006F6CD4">
            <w:pPr>
              <w:pBdr>
                <w:top w:val="nil"/>
                <w:left w:val="nil"/>
                <w:bottom w:val="nil"/>
                <w:right w:val="nil"/>
                <w:between w:val="nil"/>
              </w:pBdr>
              <w:spacing w:before="57" w:line="480" w:lineRule="auto"/>
              <w:ind w:left="88"/>
              <w:rPr>
                <w:rFonts w:ascii="Arial" w:eastAsia="Times New Roman" w:hAnsi="Arial" w:cs="Arial"/>
                <w:color w:val="000000"/>
                <w:sz w:val="22"/>
              </w:rPr>
            </w:pPr>
            <w:r w:rsidRPr="006F6CD4">
              <w:rPr>
                <w:rFonts w:ascii="Arial" w:eastAsia="Times New Roman" w:hAnsi="Arial" w:cs="Arial"/>
                <w:color w:val="000000"/>
                <w:sz w:val="22"/>
              </w:rPr>
              <w:t>1</w:t>
            </w:r>
          </w:p>
        </w:tc>
        <w:tc>
          <w:tcPr>
            <w:tcW w:w="343" w:type="pct"/>
          </w:tcPr>
          <w:p w14:paraId="33A3362E" w14:textId="77777777" w:rsidR="00B15E72" w:rsidRPr="006F6CD4" w:rsidRDefault="00B15E72" w:rsidP="006F6CD4">
            <w:pPr>
              <w:pBdr>
                <w:top w:val="nil"/>
                <w:left w:val="nil"/>
                <w:bottom w:val="nil"/>
                <w:right w:val="nil"/>
                <w:between w:val="nil"/>
              </w:pBdr>
              <w:spacing w:before="57" w:line="480" w:lineRule="auto"/>
              <w:ind w:left="95"/>
              <w:rPr>
                <w:rFonts w:ascii="Arial" w:eastAsia="Times New Roman" w:hAnsi="Arial" w:cs="Arial"/>
                <w:color w:val="000000"/>
                <w:sz w:val="22"/>
              </w:rPr>
            </w:pPr>
            <w:r w:rsidRPr="006F6CD4">
              <w:rPr>
                <w:rFonts w:ascii="Arial" w:eastAsia="Times New Roman" w:hAnsi="Arial" w:cs="Arial"/>
                <w:color w:val="000000"/>
                <w:sz w:val="22"/>
              </w:rPr>
              <w:t>1</w:t>
            </w:r>
          </w:p>
        </w:tc>
        <w:tc>
          <w:tcPr>
            <w:tcW w:w="344" w:type="pct"/>
          </w:tcPr>
          <w:p w14:paraId="33A3362F" w14:textId="77777777" w:rsidR="00B15E72" w:rsidRPr="006F6CD4" w:rsidRDefault="00B15E72" w:rsidP="006F6CD4">
            <w:pPr>
              <w:pBdr>
                <w:top w:val="nil"/>
                <w:left w:val="nil"/>
                <w:bottom w:val="nil"/>
                <w:right w:val="nil"/>
                <w:between w:val="nil"/>
              </w:pBdr>
              <w:spacing w:before="57" w:line="480" w:lineRule="auto"/>
              <w:ind w:left="87"/>
              <w:rPr>
                <w:rFonts w:ascii="Arial" w:eastAsia="Times New Roman" w:hAnsi="Arial" w:cs="Arial"/>
                <w:color w:val="000000"/>
                <w:sz w:val="22"/>
              </w:rPr>
            </w:pPr>
            <w:r w:rsidRPr="006F6CD4">
              <w:rPr>
                <w:rFonts w:ascii="Arial" w:eastAsia="Times New Roman" w:hAnsi="Arial" w:cs="Arial"/>
                <w:color w:val="000000"/>
                <w:sz w:val="22"/>
              </w:rPr>
              <w:t>1</w:t>
            </w:r>
          </w:p>
        </w:tc>
        <w:tc>
          <w:tcPr>
            <w:tcW w:w="411" w:type="pct"/>
          </w:tcPr>
          <w:p w14:paraId="33A33630" w14:textId="77777777" w:rsidR="00B15E72" w:rsidRPr="006F6CD4" w:rsidRDefault="00B15E72" w:rsidP="006F6CD4">
            <w:pPr>
              <w:pBdr>
                <w:top w:val="nil"/>
                <w:left w:val="nil"/>
                <w:bottom w:val="nil"/>
                <w:right w:val="nil"/>
                <w:between w:val="nil"/>
              </w:pBdr>
              <w:spacing w:before="57" w:line="480" w:lineRule="auto"/>
              <w:ind w:left="88"/>
              <w:rPr>
                <w:rFonts w:ascii="Arial" w:eastAsia="Times New Roman" w:hAnsi="Arial" w:cs="Arial"/>
                <w:b/>
                <w:color w:val="000000"/>
                <w:sz w:val="22"/>
              </w:rPr>
            </w:pPr>
            <w:r w:rsidRPr="006F6CD4">
              <w:rPr>
                <w:rFonts w:ascii="Arial" w:eastAsia="Times New Roman" w:hAnsi="Arial" w:cs="Arial"/>
                <w:b/>
                <w:color w:val="000000"/>
                <w:sz w:val="22"/>
              </w:rPr>
              <w:t>7</w:t>
            </w:r>
          </w:p>
        </w:tc>
      </w:tr>
      <w:tr w:rsidR="001C5052" w:rsidRPr="006F6CD4" w14:paraId="33A3363D" w14:textId="77777777" w:rsidTr="00B15E72">
        <w:trPr>
          <w:trHeight w:val="553"/>
        </w:trPr>
        <w:tc>
          <w:tcPr>
            <w:tcW w:w="527" w:type="pct"/>
          </w:tcPr>
          <w:p w14:paraId="33A33632" w14:textId="4755D260" w:rsidR="00B15E72" w:rsidRPr="006F6CD4" w:rsidRDefault="00B15E72" w:rsidP="006F6CD4">
            <w:pPr>
              <w:pBdr>
                <w:top w:val="nil"/>
                <w:left w:val="nil"/>
                <w:bottom w:val="nil"/>
                <w:right w:val="nil"/>
                <w:between w:val="nil"/>
              </w:pBdr>
              <w:spacing w:before="53" w:line="480" w:lineRule="auto"/>
              <w:ind w:left="107"/>
              <w:rPr>
                <w:rFonts w:ascii="Arial" w:eastAsia="Times New Roman" w:hAnsi="Arial" w:cs="Arial"/>
                <w:color w:val="000000"/>
                <w:sz w:val="22"/>
              </w:rPr>
            </w:pPr>
            <w:r w:rsidRPr="006F6CD4">
              <w:rPr>
                <w:rFonts w:ascii="Arial" w:eastAsia="Times New Roman" w:hAnsi="Arial" w:cs="Arial"/>
                <w:color w:val="000000"/>
                <w:sz w:val="22"/>
              </w:rPr>
              <w:t>De Luca et al, 2021</w:t>
            </w:r>
            <w:r w:rsidRPr="006F6CD4">
              <w:rPr>
                <w:rFonts w:ascii="Arial" w:eastAsia="Times New Roman" w:hAnsi="Arial" w:cs="Arial"/>
                <w:color w:val="000000"/>
                <w:sz w:val="22"/>
              </w:rPr>
              <w:fldChar w:fldCharType="begin" w:fldLock="1"/>
            </w:r>
            <w:r w:rsidR="008D40E5">
              <w:rPr>
                <w:rFonts w:ascii="Arial" w:eastAsia="Times New Roman" w:hAnsi="Arial" w:cs="Arial"/>
                <w:color w:val="000000"/>
                <w:sz w:val="22"/>
              </w:rPr>
              <w:instrText>ADDIN CSL_CITATION {"citationItems":[{"id":"ITEM-1","itemData":{"DOI":"10.1016/j.atherosclerosis.2021.06.926","ISSN":"00219150","abstract":"BACKGROUND AND AIMS: SARS-Cov-2 predisposes patients to thrombotic complications, due to excessive inflammation, endothelial dysfunction, platelet activation, and coagulation/fibrinolysis disturbances. The aim of the present study was to evaluate clinical characteristics and prognostic impact of SARS-CoV-2 positivity among STEMI patients undergoing primary percutaneous coronary intervention (PPCI). METHODS: We selected SARS-CoV-2 positive patients included in the ISACS-STEMI COVID-19, a retrospective multicenter European registry including 6609 STEMI patients treated with PPCI from March 1st until April 30th, in 2019 and 2020. As a reference group, we randomly sampled 5 SARS-Cov-2 negative patients per each SARS-CoV-2 positive patient, individually matched for age, sex, and hospital/geographic area. Study endpoints were in-hospital mortality, definite stent thrombosis, heart failure. RESULTS: Our population is represented by 62 positive SARS-CoV-2 positive patients who were compared with a matched population of 310 STEMI patients. No significant difference was observed in baseline characteristics or the modality of access to the PCI center. In the SARS-CoV-2 positive patients, the culprit lesion was more often located in the RCA (p &lt; 0.001). Despite similar pre and postprocedural TIMI flow, we observed a trend in higher use of GP IIb-IIIa inhibitors and a significantly higher use of thrombectomy in the SARS-CoV-2 positive patients. SARS-CoV-2 positivity was associated with a remarkably higher in hospital mortality (29% vs 5.5%, p &lt; 0.001), definite in-stent thrombosis (8.1% vs 1.6%, p = 0.004) and heart failure (22.6% vs 10.6%, p = 0.001) that was confirmed after adjustment for confounding factors. CONCLUSIONS: Our study showed that among STEMI patients, SARS-CoV-2 positivity is associated with larger thrombus burden, a remarkably higher mortality but also higher rates of in-stent thrombosis and heart failure.","author":[{"dropping-particle":"","family":"Luca","given":"Giuseppe","non-dropping-particle":"De","parse-names":false,"suffix":""},{"dropping-particle":"","family":"Debel","given":"Niels","non-dropping-particle":"","parse-names":false,"suffix":""},{"dropping-particle":"","family":"Cercek","given":"Miha","non-dropping-particle":"","parse-names":false,"suffix":""},{"dropping-particle":"","family":"Jensen","given":"Lisette Okkels","non-dropping-particle":"","parse-names":false,"suffix":""},{"dropping-particle":"","family":"Vavlukis","given":"Marija","non-dropping-particle":"","parse-names":false,"suffix":""},{"dropping-particle":"","family":"Calmac","given":"Lucian","non-dropping-particle":"","parse-names":false,"suffix":""},{"dropping-particle":"","family":"Johnson","given":"Tom","non-dropping-particle":"","parse-names":false,"suffix":""},{"dropping-particle":"","family":"Ferrer","given":"Gerard Rourai","non-dropping-particle":"","parse-names":false,"suffix":""},{"dropping-particle":"","family":"Ganyukov","given":"Vladimir","non-dropping-particle":"","parse-names":false,"suffix":""},{"dropping-particle":"","family":"Wojakowski","given":"Wojtek","non-dropping-particle":"","parse-names":false,"suffix":""},{"dropping-particle":"","family":"Kinnaird","given":"Tim","non-dropping-particle":"","parse-names":false,"suffix":""},{"dropping-particle":"","family":"Birgelen","given":"Clemens","non-dropping-particle":"von","parse-names":false,"suffix":""},{"dropping-particle":"","family":"Cottin","given":"Yves","non-dropping-particle":"","parse-names":false,"suffix":""},{"dropping-particle":"","family":"IJsselmuiden","given":"Alexander","non-dropping-particle":"","parse-names":false,"suffix":""},{"dropping-particle":"","family":"Tuccillo","given":"Bernardo","non-dropping-particle":"","parse-names":false,"suffix":""},{"dropping-particle":"","family":"Versaci","given":"Francesco","non-dropping-particle":"","parse-names":false,"suffix":""},{"dropping-particle":"","family":"Royaards","given":"Kees-Jan","non-dropping-particle":"","parse-names":false,"suffix":""},{"dropping-particle":"Ten","family":"Berg","given":"Jurrien","non-dropping-particle":"","parse-names":false,"suffix":""},{"dropping-particle":"","family":"Laine","given":"Mika","non-dropping-particle":"","parse-names":false,"suffix":""},{"dropping-particle":"","family":"Dirksen","given":"Maurits","non-dropping-particle":"","parse-names":false,"suffix":""},{"dropping-particle":"","family":"Siviglia","given":"Massimo","non-dropping-particle":"","parse-names":false,"suffix":""},{"dropping-particle":"","family":"Casella","given":"Gianni","non-dropping-particle":"","parse-names":false,"suffix":""},{"dropping-particle":"","family":"Kala","given":"Petr","non-dropping-particle":"","parse-names":false,"suffix":""},{"dropping-particle":"","family":"Díez Gil","given":"José Luis","non-dropping-particle":"","parse-names":false,"suffix":""},{"dropping-particle":"","family":"Banning","given":"Adrian","non-dropping-particle":"","parse-names":false,"suffix":""},{"dropping-particle":"","family":"Becerra","given":"Victor","non-dropping-particle":"","parse-names":false,"suffix":""},{"dropping-particle":"","family":"Simone","given":"Ciro","non-dropping-particle":"De","parse-names":false,"suffix":""},{"dropping-particle":"","family":"Santucci","given":"Andrea","non-dropping-particle":"","parse-names":false,"suffix":""},{"dropping-particle":"","family":"Carrillo","given":"Xavier","non-dropping-particle":"","parse-names":false,"suffix":""},{"dropping-particle":"","family":"Scoccia","given":"Alessandra","non-dropping-particle":"","parse-names":false,"suffix":""},{"dropping-particle":"","family":"Amoroso","given":"Giovanni","non-dropping-particle":"","parse-names":false,"suffix":""},{"dropping-particle":"","family":"van't Hof","given":"Arnoud WJ.","non-dropping-particle":"","parse-names":false,"suffix":""},{"dropping-particle":"","family":"Kovarnik","given":"Tomas","non-dropping-particle":"","parse-names":false,"suffix":""},{"dropping-particle":"","family":"Tsigkas","given":"Grigorios","non-dropping-particle":"","parse-names":false,"suffix":""},{"dropping-particle":"","family":"Mehilli","given":"Julinda","non-dropping-particle":"","parse-names":false,"suffix":""},{"dropping-particle":"","family":"Gabrielli","given":"Gabriele","non-dropping-particle":"","parse-names":false,"suffix":""},{"dropping-particle":"","family":"Rios","given":"Xacobe Flores","non-dropping-particle":"","parse-names":false,"suffix":""},{"dropping-particle":"","family":"Bakraceski","given":"Nikola","non-dropping-particle":"","parse-names":false,"suffix":""},{"dropping-particle":"","family":"Levesque","given":"Sébastien","non-dropping-particle":"","parse-names":false,"suffix":""},{"dropping-particle":"","family":"Cirrincione","given":"Giuseppe","non-dropping-particle":"","parse-names":false,"suffix":""},{"dropping-particle":"","family":"Guiducci","given":"Vincenzo","non-dropping-particle":"","parse-names":false,"suffix":""},{"dropping-particle":"","family":"Kidawa","given":"Michał","non-dropping-particle":"","parse-names":false,"suffix":""},{"dropping-particle":"","family":"Spedicato","given":"Leonardo","non-dropping-particle":"","parse-names":false,"suffix":""},{"dropping-particle":"","family":"Marinucci","given":"Lucia","non-dropping-particle":"","parse-names":false,"suffix":""},{"dropping-particle":"","family":"Ludman","given":"Peter","non-dropping-particle":"","parse-names":false,"suffix":""},{"dropping-particle":"","family":"Zilio","given":"Filippo","non-dropping-particle":"","parse-names":false,"suffix":""},{"dropping-particle":"","family":"Galasso","given":"Gennaro","non-dropping-particle":"","parse-names":false,"suffix":""},{"dropping-particle":"","family":"Fabris","given":"Enrico","non-dropping-particle":"","parse-names":false,"suffix":""},{"dropping-particle":"","family":"Menichelli","given":"Maurizio","non-dropping-particle":"","parse-names":false,"suffix":""},{"dropping-particle":"","family":"Garcia-Touchard","given":"Arturo","non-dropping-particle":"","parse-names":false,"suffix":""},{"dropping-particle":"","family":"Manzo","given":"Stephane","non-dropping-particle":"","parse-names":false,"suffix":""},{"dropping-particle":"","family":"Caiazzo","given":"Gianluca","non-dropping-particle":"","parse-names":false,"suffix":""},{"dropping-particle":"","family":"Moreu","given":"Jose","non-dropping-particle":"","parse-names":false,"suffix":""},{"dropping-particle":"","family":"Forés","given":"Juan Sanchis","non-dropping-particle":"","parse-names":false,"suffix":""},{"dropping-particle":"","family":"Donazzan","given":"Luca","non-dropping-particle":"","parse-names":false,"suffix":""},{"dropping-particle":"","family":"Vignali","given":"Luigi","non-dropping-particle":"","parse-names":false,"suffix":""},{"dropping-particle":"","family":"Teles","given":"Rui","non-dropping-particle":"","parse-names":false,"suffix":""},{"dropping-particle":"","family":"Benit","given":"Edouard","non-dropping-particle":"","parse-names":false,"suffix":""},{"dropping-particle":"","family":"Agostoni","given":"Pierfrancesco","non-dropping-particle":"","parse-names":false,"suffix":""},{"dropping-particle":"","family":"Ojeda","given":"Francisco Bosa","non-dropping-particle":"","parse-names":false,"suffix":""},{"dropping-particle":"","family":"Lehtola","given":"Heidi","non-dropping-particle":"","parse-names":false,"suffix":""},{"dropping-particle":"","family":"Camacho-Freiere","given":"Santiago","non-dropping-particle":"","parse-names":false,"suffix":""},{"dropping-particle":"","family":"Kraaijeveld","given":"Adriaan","non-dropping-particle":"","parse-names":false,"suffix":""},{"dropping-particle":"","family":"Antti","given":"Ylitalo","non-dropping-particle":"","parse-names":false,"suffix":""},{"dropping-particle":"","family":"Boccalatte","given":"Marco","non-dropping-particle":"","parse-names":false,"suffix":""},{"dropping-particle":"","family":"Deharo","given":"Pierre","non-dropping-particle":"","parse-names":false,"suffix":""},{"dropping-particle":"","family":"Martínez-Luengas","given":"Iñigo Lozano","non-dropping-particle":"","parse-names":false,"suffix":""},{"dropping-particle":"","family":"Scheller","given":"Bruno","non-dropping-particle":"","parse-names":false,"suffix":""},{"dropping-particle":"","family":"Varytimiadi","given":"Efthymia","non-dropping-particle":"","parse-names":false,"suffix":""},{"dropping-particle":"","family":"Moreno","given":"Raul","non-dropping-particle":"","parse-names":false,"suffix":""},{"dropping-particle":"","family":"Uccello","given":"Giuseppe","non-dropping-particle":"","parse-names":false,"suffix":""},{"dropping-particle":"","family":"Faurie","given":"Benjamin","non-dropping-particle":"","parse-names":false,"suffix":""},{"dropping-particle":"","family":"Gutierrez Barrios","given":"Alejandro","non-dropping-particle":"","parse-names":false,"suffix":""},{"dropping-particle":"","family":"Milewski","given":"Marek","non-dropping-particle":"","parse-names":false,"suffix":""},{"dropping-particle":"","family":"Bruwiere","given":"Ewout","non-dropping-particle":"","parse-names":false,"suffix":""},{"dropping-particle":"","family":"Smits","given":"Pieter","non-dropping-particle":"","parse-names":false,"suffix":""},{"dropping-particle":"","family":"Wilbert","given":"Bor","non-dropping-particle":"","parse-names":false,"suffix":""},{"dropping-particle":"","family":"Uccio","given":"Fortunato Scotto","non-dropping-particle":"Di","parse-names":false,"suffix":""},{"dropping-particle":"","family":"Parodi","given":"Guido","non-dropping-particle":"","parse-names":false,"suffix":""},{"dropping-particle":"","family":"Kedhi","given":"Elvin","non-dropping-particle":"","parse-names":false,"suffix":""},{"dropping-particle":"","family":"Verdoia","given":"Monica","non-dropping-particle":"","parse-names":false,"suffix":""}],"container-title":"Atherosclerosis","edition":"2021/07/21","id":"ITEM-1","issued":{"date-parts":[["2021","9"]]},"language":"eng","page":"48-54","publisher":"Elsevier B.V.","title":"Impact of SARS-CoV-2 positivity on clinical outcome among STEMI patients undergoing mechanical reperfusion: Insights from the ISACS STEMI COVID 19 registry","type":"article-journal","volume":"332"},"uris":["http://www.mendeley.com/documents/?uuid=5f42239e-dc5d-458c-8221-f3aa53310feb"]}],"mendeley":{"formattedCitation":"[3]","plainTextFormattedCitation":"[3]","previouslyFormattedCitation":"&lt;sup&gt;3&lt;/sup&gt;"},"properties":{"noteIndex":0},"schema":"https://github.com/citation-style-language/schema/raw/master/csl-citation.json"}</w:instrText>
            </w:r>
            <w:r w:rsidRPr="006F6CD4">
              <w:rPr>
                <w:rFonts w:ascii="Arial" w:eastAsia="Times New Roman" w:hAnsi="Arial" w:cs="Arial"/>
                <w:color w:val="000000"/>
                <w:sz w:val="22"/>
              </w:rPr>
              <w:fldChar w:fldCharType="separate"/>
            </w:r>
            <w:r w:rsidR="008D40E5" w:rsidRPr="008D40E5">
              <w:rPr>
                <w:rFonts w:ascii="Arial" w:eastAsia="Times New Roman" w:hAnsi="Arial" w:cs="Arial"/>
                <w:noProof/>
                <w:color w:val="000000"/>
                <w:sz w:val="22"/>
              </w:rPr>
              <w:t>[3]</w:t>
            </w:r>
            <w:r w:rsidRPr="006F6CD4">
              <w:rPr>
                <w:rFonts w:ascii="Arial" w:eastAsia="Times New Roman" w:hAnsi="Arial" w:cs="Arial"/>
                <w:color w:val="000000"/>
                <w:sz w:val="22"/>
              </w:rPr>
              <w:fldChar w:fldCharType="end"/>
            </w:r>
          </w:p>
        </w:tc>
        <w:tc>
          <w:tcPr>
            <w:tcW w:w="435" w:type="pct"/>
          </w:tcPr>
          <w:p w14:paraId="33A33633" w14:textId="77777777" w:rsidR="00B15E72" w:rsidRPr="006F6CD4" w:rsidRDefault="00B15E72" w:rsidP="006F6CD4">
            <w:pPr>
              <w:pBdr>
                <w:top w:val="nil"/>
                <w:left w:val="nil"/>
                <w:bottom w:val="nil"/>
                <w:right w:val="nil"/>
                <w:between w:val="nil"/>
              </w:pBdr>
              <w:spacing w:before="53" w:line="480" w:lineRule="auto"/>
              <w:ind w:left="106"/>
              <w:rPr>
                <w:rFonts w:ascii="Arial" w:eastAsia="Times New Roman" w:hAnsi="Arial" w:cs="Arial"/>
                <w:color w:val="000000"/>
                <w:sz w:val="22"/>
              </w:rPr>
            </w:pPr>
            <w:r w:rsidRPr="006F6CD4">
              <w:rPr>
                <w:rFonts w:ascii="Arial" w:eastAsia="Times New Roman" w:hAnsi="Arial" w:cs="Arial"/>
                <w:color w:val="000000"/>
                <w:sz w:val="22"/>
              </w:rPr>
              <w:t>1</w:t>
            </w:r>
          </w:p>
        </w:tc>
        <w:tc>
          <w:tcPr>
            <w:tcW w:w="494" w:type="pct"/>
          </w:tcPr>
          <w:p w14:paraId="33A33634" w14:textId="77777777" w:rsidR="00B15E72" w:rsidRPr="006F6CD4" w:rsidRDefault="00B15E72" w:rsidP="006F6CD4">
            <w:pPr>
              <w:pBdr>
                <w:top w:val="nil"/>
                <w:left w:val="nil"/>
                <w:bottom w:val="nil"/>
                <w:right w:val="nil"/>
                <w:between w:val="nil"/>
              </w:pBdr>
              <w:spacing w:before="53" w:line="480" w:lineRule="auto"/>
              <w:ind w:left="106"/>
              <w:rPr>
                <w:rFonts w:ascii="Arial" w:eastAsia="Times New Roman" w:hAnsi="Arial" w:cs="Arial"/>
                <w:color w:val="000000"/>
                <w:sz w:val="22"/>
              </w:rPr>
            </w:pPr>
            <w:r w:rsidRPr="006F6CD4">
              <w:rPr>
                <w:rFonts w:ascii="Arial" w:eastAsia="Times New Roman" w:hAnsi="Arial" w:cs="Arial"/>
                <w:color w:val="000000"/>
                <w:sz w:val="22"/>
              </w:rPr>
              <w:t>1</w:t>
            </w:r>
          </w:p>
        </w:tc>
        <w:tc>
          <w:tcPr>
            <w:tcW w:w="393" w:type="pct"/>
          </w:tcPr>
          <w:p w14:paraId="33A33635" w14:textId="77777777" w:rsidR="00B15E72" w:rsidRPr="006F6CD4" w:rsidRDefault="00B15E72" w:rsidP="006F6CD4">
            <w:pPr>
              <w:pBdr>
                <w:top w:val="nil"/>
                <w:left w:val="nil"/>
                <w:bottom w:val="nil"/>
                <w:right w:val="nil"/>
                <w:between w:val="nil"/>
              </w:pBdr>
              <w:spacing w:before="53" w:line="480" w:lineRule="auto"/>
              <w:ind w:left="105"/>
              <w:rPr>
                <w:rFonts w:ascii="Arial" w:eastAsia="Times New Roman" w:hAnsi="Arial" w:cs="Arial"/>
                <w:color w:val="000000"/>
                <w:sz w:val="22"/>
              </w:rPr>
            </w:pPr>
            <w:r w:rsidRPr="006F6CD4">
              <w:rPr>
                <w:rFonts w:ascii="Arial" w:eastAsia="Times New Roman" w:hAnsi="Arial" w:cs="Arial"/>
                <w:color w:val="000000"/>
                <w:sz w:val="22"/>
              </w:rPr>
              <w:t>1</w:t>
            </w:r>
          </w:p>
        </w:tc>
        <w:tc>
          <w:tcPr>
            <w:tcW w:w="632" w:type="pct"/>
            <w:tcBorders>
              <w:right w:val="single" w:sz="6" w:space="0" w:color="000000"/>
            </w:tcBorders>
          </w:tcPr>
          <w:p w14:paraId="33A33636" w14:textId="77777777" w:rsidR="00B15E72" w:rsidRPr="006F6CD4" w:rsidRDefault="00B15E72" w:rsidP="006F6CD4">
            <w:pPr>
              <w:pBdr>
                <w:top w:val="nil"/>
                <w:left w:val="nil"/>
                <w:bottom w:val="nil"/>
                <w:right w:val="nil"/>
                <w:between w:val="nil"/>
              </w:pBdr>
              <w:spacing w:before="53" w:line="480" w:lineRule="auto"/>
              <w:ind w:left="99"/>
              <w:rPr>
                <w:rFonts w:ascii="Arial" w:eastAsia="Times New Roman" w:hAnsi="Arial" w:cs="Arial"/>
                <w:color w:val="000000"/>
                <w:sz w:val="22"/>
              </w:rPr>
            </w:pPr>
            <w:r w:rsidRPr="006F6CD4">
              <w:rPr>
                <w:rFonts w:ascii="Arial" w:eastAsia="Times New Roman" w:hAnsi="Arial" w:cs="Arial"/>
                <w:color w:val="000000"/>
                <w:sz w:val="22"/>
              </w:rPr>
              <w:t>1</w:t>
            </w:r>
          </w:p>
        </w:tc>
        <w:tc>
          <w:tcPr>
            <w:tcW w:w="462" w:type="pct"/>
            <w:tcBorders>
              <w:left w:val="single" w:sz="6" w:space="0" w:color="000000"/>
            </w:tcBorders>
          </w:tcPr>
          <w:p w14:paraId="33A33637" w14:textId="77777777" w:rsidR="00B15E72" w:rsidRPr="006F6CD4" w:rsidRDefault="00B15E72" w:rsidP="006F6CD4">
            <w:pPr>
              <w:pBdr>
                <w:top w:val="nil"/>
                <w:left w:val="nil"/>
                <w:bottom w:val="nil"/>
                <w:right w:val="nil"/>
                <w:between w:val="nil"/>
              </w:pBdr>
              <w:spacing w:before="53" w:line="480" w:lineRule="auto"/>
              <w:ind w:left="93"/>
              <w:rPr>
                <w:rFonts w:ascii="Arial" w:eastAsia="Times New Roman" w:hAnsi="Arial" w:cs="Arial"/>
                <w:color w:val="000000"/>
                <w:sz w:val="22"/>
              </w:rPr>
            </w:pPr>
            <w:r w:rsidRPr="006F6CD4">
              <w:rPr>
                <w:rFonts w:ascii="Arial" w:eastAsia="Times New Roman" w:hAnsi="Arial" w:cs="Arial"/>
                <w:color w:val="000000"/>
                <w:sz w:val="22"/>
              </w:rPr>
              <w:t>1</w:t>
            </w:r>
          </w:p>
        </w:tc>
        <w:tc>
          <w:tcPr>
            <w:tcW w:w="519" w:type="pct"/>
            <w:tcBorders>
              <w:right w:val="single" w:sz="6" w:space="0" w:color="000000"/>
            </w:tcBorders>
          </w:tcPr>
          <w:p w14:paraId="33A33638" w14:textId="77777777" w:rsidR="00B15E72" w:rsidRPr="006F6CD4" w:rsidRDefault="00B15E72" w:rsidP="006F6CD4">
            <w:pPr>
              <w:pBdr>
                <w:top w:val="nil"/>
                <w:left w:val="nil"/>
                <w:bottom w:val="nil"/>
                <w:right w:val="nil"/>
                <w:between w:val="nil"/>
              </w:pBdr>
              <w:spacing w:before="53" w:line="480" w:lineRule="auto"/>
              <w:ind w:left="96"/>
              <w:rPr>
                <w:rFonts w:ascii="Arial" w:eastAsia="Times New Roman" w:hAnsi="Arial" w:cs="Arial"/>
                <w:color w:val="000000"/>
                <w:sz w:val="22"/>
              </w:rPr>
            </w:pPr>
            <w:r w:rsidRPr="006F6CD4">
              <w:rPr>
                <w:rFonts w:ascii="Arial" w:eastAsia="Times New Roman" w:hAnsi="Arial" w:cs="Arial"/>
                <w:color w:val="000000"/>
                <w:sz w:val="22"/>
              </w:rPr>
              <w:t>1</w:t>
            </w:r>
          </w:p>
        </w:tc>
        <w:tc>
          <w:tcPr>
            <w:tcW w:w="440" w:type="pct"/>
            <w:tcBorders>
              <w:left w:val="single" w:sz="6" w:space="0" w:color="000000"/>
            </w:tcBorders>
          </w:tcPr>
          <w:p w14:paraId="33A33639" w14:textId="77777777" w:rsidR="00B15E72" w:rsidRPr="006F6CD4" w:rsidRDefault="00B15E72" w:rsidP="006F6CD4">
            <w:pPr>
              <w:pBdr>
                <w:top w:val="nil"/>
                <w:left w:val="nil"/>
                <w:bottom w:val="nil"/>
                <w:right w:val="nil"/>
                <w:between w:val="nil"/>
              </w:pBdr>
              <w:spacing w:before="53" w:line="480" w:lineRule="auto"/>
              <w:ind w:left="88"/>
              <w:rPr>
                <w:rFonts w:ascii="Arial" w:eastAsia="Times New Roman" w:hAnsi="Arial" w:cs="Arial"/>
                <w:color w:val="000000"/>
                <w:sz w:val="22"/>
              </w:rPr>
            </w:pPr>
            <w:r w:rsidRPr="006F6CD4">
              <w:rPr>
                <w:rFonts w:ascii="Arial" w:eastAsia="Times New Roman" w:hAnsi="Arial" w:cs="Arial"/>
                <w:color w:val="000000"/>
                <w:sz w:val="22"/>
              </w:rPr>
              <w:t>1</w:t>
            </w:r>
          </w:p>
        </w:tc>
        <w:tc>
          <w:tcPr>
            <w:tcW w:w="343" w:type="pct"/>
          </w:tcPr>
          <w:p w14:paraId="33A3363A" w14:textId="77777777" w:rsidR="00B15E72" w:rsidRPr="006F6CD4" w:rsidRDefault="00B15E72" w:rsidP="006F6CD4">
            <w:pPr>
              <w:pBdr>
                <w:top w:val="nil"/>
                <w:left w:val="nil"/>
                <w:bottom w:val="nil"/>
                <w:right w:val="nil"/>
                <w:between w:val="nil"/>
              </w:pBdr>
              <w:spacing w:before="53" w:line="480" w:lineRule="auto"/>
              <w:ind w:left="95"/>
              <w:rPr>
                <w:rFonts w:ascii="Arial" w:eastAsia="Times New Roman" w:hAnsi="Arial" w:cs="Arial"/>
                <w:color w:val="000000"/>
                <w:sz w:val="22"/>
              </w:rPr>
            </w:pPr>
            <w:r w:rsidRPr="006F6CD4">
              <w:rPr>
                <w:rFonts w:ascii="Arial" w:eastAsia="Times New Roman" w:hAnsi="Arial" w:cs="Arial"/>
                <w:color w:val="000000"/>
                <w:sz w:val="22"/>
              </w:rPr>
              <w:t>1</w:t>
            </w:r>
          </w:p>
        </w:tc>
        <w:tc>
          <w:tcPr>
            <w:tcW w:w="344" w:type="pct"/>
          </w:tcPr>
          <w:p w14:paraId="33A3363B" w14:textId="77777777" w:rsidR="00B15E72" w:rsidRPr="006F6CD4" w:rsidRDefault="00B15E72" w:rsidP="006F6CD4">
            <w:pPr>
              <w:pBdr>
                <w:top w:val="nil"/>
                <w:left w:val="nil"/>
                <w:bottom w:val="nil"/>
                <w:right w:val="nil"/>
                <w:between w:val="nil"/>
              </w:pBdr>
              <w:spacing w:before="53" w:line="480" w:lineRule="auto"/>
              <w:ind w:left="87"/>
              <w:rPr>
                <w:rFonts w:ascii="Arial" w:eastAsia="Times New Roman" w:hAnsi="Arial" w:cs="Arial"/>
                <w:color w:val="000000"/>
                <w:sz w:val="22"/>
              </w:rPr>
            </w:pPr>
            <w:r w:rsidRPr="006F6CD4">
              <w:rPr>
                <w:rFonts w:ascii="Arial" w:eastAsia="Times New Roman" w:hAnsi="Arial" w:cs="Arial"/>
                <w:color w:val="000000"/>
                <w:sz w:val="22"/>
              </w:rPr>
              <w:t>1</w:t>
            </w:r>
          </w:p>
        </w:tc>
        <w:tc>
          <w:tcPr>
            <w:tcW w:w="411" w:type="pct"/>
          </w:tcPr>
          <w:p w14:paraId="33A3363C" w14:textId="77777777" w:rsidR="00B15E72" w:rsidRPr="006F6CD4" w:rsidRDefault="00B15E72" w:rsidP="006F6CD4">
            <w:pPr>
              <w:pBdr>
                <w:top w:val="nil"/>
                <w:left w:val="nil"/>
                <w:bottom w:val="nil"/>
                <w:right w:val="nil"/>
                <w:between w:val="nil"/>
              </w:pBdr>
              <w:spacing w:before="53" w:line="480" w:lineRule="auto"/>
              <w:ind w:left="88"/>
              <w:rPr>
                <w:rFonts w:ascii="Arial" w:eastAsia="Times New Roman" w:hAnsi="Arial" w:cs="Arial"/>
                <w:b/>
                <w:color w:val="000000"/>
                <w:sz w:val="22"/>
              </w:rPr>
            </w:pPr>
            <w:r w:rsidRPr="006F6CD4">
              <w:rPr>
                <w:rFonts w:ascii="Arial" w:eastAsia="Times New Roman" w:hAnsi="Arial" w:cs="Arial"/>
                <w:b/>
                <w:color w:val="000000"/>
                <w:sz w:val="22"/>
              </w:rPr>
              <w:t>9</w:t>
            </w:r>
          </w:p>
        </w:tc>
      </w:tr>
      <w:tr w:rsidR="001C5052" w:rsidRPr="006F6CD4" w14:paraId="33A33649" w14:textId="77777777" w:rsidTr="00B15E72">
        <w:trPr>
          <w:trHeight w:val="698"/>
        </w:trPr>
        <w:tc>
          <w:tcPr>
            <w:tcW w:w="527" w:type="pct"/>
          </w:tcPr>
          <w:p w14:paraId="33A3363E" w14:textId="427B9434" w:rsidR="00B15E72" w:rsidRPr="006F6CD4" w:rsidRDefault="00B15E72" w:rsidP="006F6CD4">
            <w:pPr>
              <w:pBdr>
                <w:top w:val="nil"/>
                <w:left w:val="nil"/>
                <w:bottom w:val="nil"/>
                <w:right w:val="nil"/>
                <w:between w:val="nil"/>
              </w:pBdr>
              <w:spacing w:before="57" w:line="480" w:lineRule="auto"/>
              <w:ind w:left="107"/>
              <w:rPr>
                <w:rFonts w:ascii="Arial" w:eastAsia="Times New Roman" w:hAnsi="Arial" w:cs="Arial"/>
                <w:color w:val="000000"/>
                <w:sz w:val="22"/>
              </w:rPr>
            </w:pPr>
            <w:proofErr w:type="spellStart"/>
            <w:r w:rsidRPr="006F6CD4">
              <w:rPr>
                <w:rFonts w:ascii="Arial" w:eastAsia="Times New Roman" w:hAnsi="Arial" w:cs="Arial"/>
                <w:color w:val="000000"/>
                <w:sz w:val="22"/>
              </w:rPr>
              <w:t>Emren</w:t>
            </w:r>
            <w:proofErr w:type="spellEnd"/>
            <w:r w:rsidRPr="006F6CD4">
              <w:rPr>
                <w:rFonts w:ascii="Arial" w:eastAsia="Times New Roman" w:hAnsi="Arial" w:cs="Arial"/>
                <w:color w:val="000000"/>
                <w:sz w:val="22"/>
              </w:rPr>
              <w:t xml:space="preserve"> et al, 2021</w:t>
            </w:r>
            <w:r w:rsidRPr="006F6CD4">
              <w:rPr>
                <w:rFonts w:ascii="Arial" w:eastAsia="Times New Roman" w:hAnsi="Arial" w:cs="Arial"/>
                <w:color w:val="000000"/>
                <w:sz w:val="22"/>
              </w:rPr>
              <w:fldChar w:fldCharType="begin" w:fldLock="1"/>
            </w:r>
            <w:r w:rsidR="008D40E5">
              <w:rPr>
                <w:rFonts w:ascii="Arial" w:eastAsia="Times New Roman" w:hAnsi="Arial" w:cs="Arial"/>
                <w:color w:val="000000"/>
                <w:sz w:val="22"/>
              </w:rPr>
              <w:instrText>ADDIN CSL_CITATION {"citationItems":[{"id":"ITEM-1","itemData":{"DOI":"10.4103/ijca.ijca_18_21","ISSN":"2405-8181","abstract":"Introduction: Although coronavirus disease-19 (COVID-19) primarily causes respiratory system infection, it may cause thrombosis in the cardiovascular system. In this regard, we aimed to compare cardiovascular outcomes between COVID-19–positive and –negative patients with ST-segment elevation myocardial infarction (STEMI). Methods: This was a retrospective study that consecutively included 96 COVID − and 36 COVID+ patients with STEMI. Clinical, laboratory, and angiographic characteristics were obtained from hospital records, and these variables were compared between groups. Results: COVID-19 patients with STEMI had higher Killip score (3–4) (78 vs. 30, P &lt; 0.001) and mortality (42% vs. 21%, P = 0.017). Among COVID-19 patients with STEMI, 83% had lung infiltration. According to the angiographic findings, COVID-19 patients had a shorter door to balloon time (35 ± 20 vs. 49 ± 17, P = 0.013), glycoprotein IIb/IIIa antagonist use, and shorter door to balloon time. Conclusion: COVID-19 patients with STEMI had a higher rate of cardiogenic shock and mortality.","author":[{"dropping-particle":"","family":"Emren","given":"ZeynepYapan","non-dropping-particle":"","parse-names":false,"suffix":""},{"dropping-particle":"","family":"Gediz","given":"RahmanBilal","non-dropping-particle":"","parse-names":false,"suffix":""},{"dropping-particle":"","family":"Levent","given":"Fatih","non-dropping-particle":"","parse-names":false,"suffix":""},{"dropping-particle":"","family":"Emren","given":"SadikVolkan","non-dropping-particle":"","parse-names":false,"suffix":""},{"dropping-particle":"","family":"Senoz","given":"Oktay","non-dropping-particle":"","parse-names":false,"suffix":""}],"container-title":"International Journal of the Cardiovascular Academy","id":"ITEM-1","issue":"3","issued":{"date-parts":[["2021","7","1"]]},"note":"D2B is negative. possible senstivity analysis.","page":"78","title":"Comparison of clinical and angiographic results in COVID-19–positive and –negative patients undergoing primary coronary intervention due to ST-elevation myocardial infarction","type":"article-journal","volume":"7"},"uris":["http://www.mendeley.com/documents/?uuid=5595d997-86fd-4618-ba8b-d7ec91c19662"]}],"mendeley":{"formattedCitation":"[4]","plainTextFormattedCitation":"[4]","previouslyFormattedCitation":"&lt;sup&gt;4&lt;/sup&gt;"},"properties":{"noteIndex":0},"schema":"https://github.com/citation-style-language/schema/raw/master/csl-citation.json"}</w:instrText>
            </w:r>
            <w:r w:rsidRPr="006F6CD4">
              <w:rPr>
                <w:rFonts w:ascii="Arial" w:eastAsia="Times New Roman" w:hAnsi="Arial" w:cs="Arial"/>
                <w:color w:val="000000"/>
                <w:sz w:val="22"/>
              </w:rPr>
              <w:fldChar w:fldCharType="separate"/>
            </w:r>
            <w:r w:rsidR="008D40E5" w:rsidRPr="008D40E5">
              <w:rPr>
                <w:rFonts w:ascii="Arial" w:eastAsia="Times New Roman" w:hAnsi="Arial" w:cs="Arial"/>
                <w:noProof/>
                <w:color w:val="000000"/>
                <w:sz w:val="22"/>
              </w:rPr>
              <w:t>[4]</w:t>
            </w:r>
            <w:r w:rsidRPr="006F6CD4">
              <w:rPr>
                <w:rFonts w:ascii="Arial" w:eastAsia="Times New Roman" w:hAnsi="Arial" w:cs="Arial"/>
                <w:color w:val="000000"/>
                <w:sz w:val="22"/>
              </w:rPr>
              <w:fldChar w:fldCharType="end"/>
            </w:r>
          </w:p>
        </w:tc>
        <w:tc>
          <w:tcPr>
            <w:tcW w:w="435" w:type="pct"/>
          </w:tcPr>
          <w:p w14:paraId="33A3363F" w14:textId="77777777" w:rsidR="00B15E72" w:rsidRPr="006F6CD4" w:rsidRDefault="00B15E72" w:rsidP="006F6CD4">
            <w:pPr>
              <w:pBdr>
                <w:top w:val="nil"/>
                <w:left w:val="nil"/>
                <w:bottom w:val="nil"/>
                <w:right w:val="nil"/>
                <w:between w:val="nil"/>
              </w:pBdr>
              <w:spacing w:before="57" w:line="480" w:lineRule="auto"/>
              <w:ind w:left="106"/>
              <w:rPr>
                <w:rFonts w:ascii="Arial" w:eastAsia="Times New Roman" w:hAnsi="Arial" w:cs="Arial"/>
                <w:color w:val="000000"/>
                <w:sz w:val="22"/>
              </w:rPr>
            </w:pPr>
            <w:r w:rsidRPr="006F6CD4">
              <w:rPr>
                <w:rFonts w:ascii="Arial" w:eastAsia="Times New Roman" w:hAnsi="Arial" w:cs="Arial"/>
                <w:color w:val="000000"/>
                <w:sz w:val="22"/>
              </w:rPr>
              <w:t>1</w:t>
            </w:r>
          </w:p>
        </w:tc>
        <w:tc>
          <w:tcPr>
            <w:tcW w:w="494" w:type="pct"/>
          </w:tcPr>
          <w:p w14:paraId="33A33640" w14:textId="77777777" w:rsidR="00B15E72" w:rsidRPr="006F6CD4" w:rsidRDefault="00B15E72" w:rsidP="006F6CD4">
            <w:pPr>
              <w:pBdr>
                <w:top w:val="nil"/>
                <w:left w:val="nil"/>
                <w:bottom w:val="nil"/>
                <w:right w:val="nil"/>
                <w:between w:val="nil"/>
              </w:pBdr>
              <w:spacing w:before="57" w:line="480" w:lineRule="auto"/>
              <w:ind w:left="106"/>
              <w:rPr>
                <w:rFonts w:ascii="Arial" w:eastAsia="Times New Roman" w:hAnsi="Arial" w:cs="Arial"/>
                <w:color w:val="000000"/>
                <w:sz w:val="22"/>
              </w:rPr>
            </w:pPr>
            <w:r w:rsidRPr="006F6CD4">
              <w:rPr>
                <w:rFonts w:ascii="Arial" w:eastAsia="Times New Roman" w:hAnsi="Arial" w:cs="Arial"/>
                <w:color w:val="000000"/>
                <w:sz w:val="22"/>
              </w:rPr>
              <w:t>1</w:t>
            </w:r>
          </w:p>
        </w:tc>
        <w:tc>
          <w:tcPr>
            <w:tcW w:w="393" w:type="pct"/>
          </w:tcPr>
          <w:p w14:paraId="33A33641" w14:textId="77777777" w:rsidR="00B15E72" w:rsidRPr="006F6CD4" w:rsidRDefault="00B15E72" w:rsidP="006F6CD4">
            <w:pPr>
              <w:pBdr>
                <w:top w:val="nil"/>
                <w:left w:val="nil"/>
                <w:bottom w:val="nil"/>
                <w:right w:val="nil"/>
                <w:between w:val="nil"/>
              </w:pBdr>
              <w:spacing w:before="57" w:line="480" w:lineRule="auto"/>
              <w:ind w:left="105"/>
              <w:rPr>
                <w:rFonts w:ascii="Arial" w:eastAsia="Times New Roman" w:hAnsi="Arial" w:cs="Arial"/>
                <w:color w:val="000000"/>
                <w:sz w:val="22"/>
              </w:rPr>
            </w:pPr>
            <w:r w:rsidRPr="006F6CD4">
              <w:rPr>
                <w:rFonts w:ascii="Arial" w:eastAsia="Times New Roman" w:hAnsi="Arial" w:cs="Arial"/>
                <w:color w:val="000000"/>
                <w:sz w:val="22"/>
              </w:rPr>
              <w:t>1</w:t>
            </w:r>
          </w:p>
        </w:tc>
        <w:tc>
          <w:tcPr>
            <w:tcW w:w="632" w:type="pct"/>
            <w:tcBorders>
              <w:right w:val="single" w:sz="6" w:space="0" w:color="000000"/>
            </w:tcBorders>
          </w:tcPr>
          <w:p w14:paraId="33A33642" w14:textId="77777777" w:rsidR="00B15E72" w:rsidRPr="006F6CD4" w:rsidRDefault="00B15E72" w:rsidP="006F6CD4">
            <w:pPr>
              <w:pBdr>
                <w:top w:val="nil"/>
                <w:left w:val="nil"/>
                <w:bottom w:val="nil"/>
                <w:right w:val="nil"/>
                <w:between w:val="nil"/>
              </w:pBdr>
              <w:spacing w:before="57" w:line="480" w:lineRule="auto"/>
              <w:ind w:left="99"/>
              <w:rPr>
                <w:rFonts w:ascii="Arial" w:eastAsia="Times New Roman" w:hAnsi="Arial" w:cs="Arial"/>
                <w:color w:val="000000"/>
                <w:sz w:val="22"/>
              </w:rPr>
            </w:pPr>
            <w:r w:rsidRPr="006F6CD4">
              <w:rPr>
                <w:rFonts w:ascii="Arial" w:eastAsia="Times New Roman" w:hAnsi="Arial" w:cs="Arial"/>
                <w:color w:val="000000"/>
                <w:sz w:val="22"/>
              </w:rPr>
              <w:t>1</w:t>
            </w:r>
          </w:p>
        </w:tc>
        <w:tc>
          <w:tcPr>
            <w:tcW w:w="462" w:type="pct"/>
            <w:tcBorders>
              <w:left w:val="single" w:sz="6" w:space="0" w:color="000000"/>
            </w:tcBorders>
          </w:tcPr>
          <w:p w14:paraId="33A33643" w14:textId="77777777" w:rsidR="00B15E72" w:rsidRPr="006F6CD4" w:rsidRDefault="00B15E72" w:rsidP="006F6CD4">
            <w:pPr>
              <w:pBdr>
                <w:top w:val="nil"/>
                <w:left w:val="nil"/>
                <w:bottom w:val="nil"/>
                <w:right w:val="nil"/>
                <w:between w:val="nil"/>
              </w:pBdr>
              <w:spacing w:before="57" w:line="480" w:lineRule="auto"/>
              <w:ind w:left="93"/>
              <w:rPr>
                <w:rFonts w:ascii="Arial" w:eastAsia="Times New Roman" w:hAnsi="Arial" w:cs="Arial"/>
                <w:color w:val="000000"/>
                <w:sz w:val="22"/>
              </w:rPr>
            </w:pPr>
            <w:r w:rsidRPr="006F6CD4">
              <w:rPr>
                <w:rFonts w:ascii="Arial" w:eastAsia="Times New Roman" w:hAnsi="Arial" w:cs="Arial"/>
                <w:color w:val="000000"/>
                <w:sz w:val="22"/>
              </w:rPr>
              <w:t>0</w:t>
            </w:r>
          </w:p>
        </w:tc>
        <w:tc>
          <w:tcPr>
            <w:tcW w:w="519" w:type="pct"/>
            <w:tcBorders>
              <w:right w:val="single" w:sz="6" w:space="0" w:color="000000"/>
            </w:tcBorders>
          </w:tcPr>
          <w:p w14:paraId="33A33644" w14:textId="77777777" w:rsidR="00B15E72" w:rsidRPr="006F6CD4" w:rsidRDefault="00B15E72" w:rsidP="006F6CD4">
            <w:pPr>
              <w:pBdr>
                <w:top w:val="nil"/>
                <w:left w:val="nil"/>
                <w:bottom w:val="nil"/>
                <w:right w:val="nil"/>
                <w:between w:val="nil"/>
              </w:pBdr>
              <w:spacing w:before="57" w:line="480" w:lineRule="auto"/>
              <w:ind w:left="96"/>
              <w:rPr>
                <w:rFonts w:ascii="Arial" w:eastAsia="Times New Roman" w:hAnsi="Arial" w:cs="Arial"/>
                <w:color w:val="000000"/>
                <w:sz w:val="22"/>
              </w:rPr>
            </w:pPr>
            <w:r w:rsidRPr="006F6CD4">
              <w:rPr>
                <w:rFonts w:ascii="Arial" w:eastAsia="Times New Roman" w:hAnsi="Arial" w:cs="Arial"/>
                <w:color w:val="000000"/>
                <w:sz w:val="22"/>
              </w:rPr>
              <w:t>0</w:t>
            </w:r>
          </w:p>
        </w:tc>
        <w:tc>
          <w:tcPr>
            <w:tcW w:w="440" w:type="pct"/>
            <w:tcBorders>
              <w:left w:val="single" w:sz="6" w:space="0" w:color="000000"/>
            </w:tcBorders>
          </w:tcPr>
          <w:p w14:paraId="33A33645" w14:textId="77777777" w:rsidR="00B15E72" w:rsidRPr="006F6CD4" w:rsidRDefault="00B15E72" w:rsidP="006F6CD4">
            <w:pPr>
              <w:pBdr>
                <w:top w:val="nil"/>
                <w:left w:val="nil"/>
                <w:bottom w:val="nil"/>
                <w:right w:val="nil"/>
                <w:between w:val="nil"/>
              </w:pBdr>
              <w:spacing w:before="57" w:line="480" w:lineRule="auto"/>
              <w:ind w:left="88"/>
              <w:rPr>
                <w:rFonts w:ascii="Arial" w:eastAsia="Times New Roman" w:hAnsi="Arial" w:cs="Arial"/>
                <w:color w:val="000000"/>
                <w:sz w:val="22"/>
              </w:rPr>
            </w:pPr>
            <w:r w:rsidRPr="006F6CD4">
              <w:rPr>
                <w:rFonts w:ascii="Arial" w:eastAsia="Times New Roman" w:hAnsi="Arial" w:cs="Arial"/>
                <w:color w:val="000000"/>
                <w:sz w:val="22"/>
              </w:rPr>
              <w:t>1</w:t>
            </w:r>
          </w:p>
        </w:tc>
        <w:tc>
          <w:tcPr>
            <w:tcW w:w="343" w:type="pct"/>
          </w:tcPr>
          <w:p w14:paraId="33A33646" w14:textId="77777777" w:rsidR="00B15E72" w:rsidRPr="006F6CD4" w:rsidRDefault="00B15E72" w:rsidP="006F6CD4">
            <w:pPr>
              <w:pBdr>
                <w:top w:val="nil"/>
                <w:left w:val="nil"/>
                <w:bottom w:val="nil"/>
                <w:right w:val="nil"/>
                <w:between w:val="nil"/>
              </w:pBdr>
              <w:spacing w:before="57" w:line="480" w:lineRule="auto"/>
              <w:ind w:left="95"/>
              <w:rPr>
                <w:rFonts w:ascii="Arial" w:eastAsia="Times New Roman" w:hAnsi="Arial" w:cs="Arial"/>
                <w:color w:val="000000"/>
                <w:sz w:val="22"/>
              </w:rPr>
            </w:pPr>
            <w:r w:rsidRPr="006F6CD4">
              <w:rPr>
                <w:rFonts w:ascii="Arial" w:eastAsia="Times New Roman" w:hAnsi="Arial" w:cs="Arial"/>
                <w:color w:val="000000"/>
                <w:sz w:val="22"/>
              </w:rPr>
              <w:t>1</w:t>
            </w:r>
          </w:p>
        </w:tc>
        <w:tc>
          <w:tcPr>
            <w:tcW w:w="344" w:type="pct"/>
          </w:tcPr>
          <w:p w14:paraId="33A33647" w14:textId="77777777" w:rsidR="00B15E72" w:rsidRPr="006F6CD4" w:rsidRDefault="00B15E72" w:rsidP="006F6CD4">
            <w:pPr>
              <w:pBdr>
                <w:top w:val="nil"/>
                <w:left w:val="nil"/>
                <w:bottom w:val="nil"/>
                <w:right w:val="nil"/>
                <w:between w:val="nil"/>
              </w:pBdr>
              <w:spacing w:before="57" w:line="480" w:lineRule="auto"/>
              <w:ind w:left="87"/>
              <w:rPr>
                <w:rFonts w:ascii="Arial" w:eastAsia="Times New Roman" w:hAnsi="Arial" w:cs="Arial"/>
                <w:color w:val="000000"/>
                <w:sz w:val="22"/>
              </w:rPr>
            </w:pPr>
            <w:r w:rsidRPr="006F6CD4">
              <w:rPr>
                <w:rFonts w:ascii="Arial" w:eastAsia="Times New Roman" w:hAnsi="Arial" w:cs="Arial"/>
                <w:color w:val="000000"/>
                <w:sz w:val="22"/>
              </w:rPr>
              <w:t>1</w:t>
            </w:r>
          </w:p>
        </w:tc>
        <w:tc>
          <w:tcPr>
            <w:tcW w:w="411" w:type="pct"/>
          </w:tcPr>
          <w:p w14:paraId="33A33648" w14:textId="77777777" w:rsidR="00B15E72" w:rsidRPr="006F6CD4" w:rsidRDefault="00B15E72" w:rsidP="006F6CD4">
            <w:pPr>
              <w:pBdr>
                <w:top w:val="nil"/>
                <w:left w:val="nil"/>
                <w:bottom w:val="nil"/>
                <w:right w:val="nil"/>
                <w:between w:val="nil"/>
              </w:pBdr>
              <w:spacing w:before="57" w:line="480" w:lineRule="auto"/>
              <w:ind w:left="88"/>
              <w:rPr>
                <w:rFonts w:ascii="Arial" w:eastAsia="Times New Roman" w:hAnsi="Arial" w:cs="Arial"/>
                <w:b/>
                <w:color w:val="000000"/>
                <w:sz w:val="22"/>
              </w:rPr>
            </w:pPr>
            <w:r w:rsidRPr="006F6CD4">
              <w:rPr>
                <w:rFonts w:ascii="Arial" w:eastAsia="Times New Roman" w:hAnsi="Arial" w:cs="Arial"/>
                <w:b/>
                <w:color w:val="000000"/>
                <w:sz w:val="22"/>
              </w:rPr>
              <w:t>7</w:t>
            </w:r>
          </w:p>
        </w:tc>
      </w:tr>
      <w:tr w:rsidR="001C5052" w:rsidRPr="006F6CD4" w14:paraId="33A33655" w14:textId="77777777" w:rsidTr="00B15E72">
        <w:trPr>
          <w:trHeight w:val="278"/>
        </w:trPr>
        <w:tc>
          <w:tcPr>
            <w:tcW w:w="527" w:type="pct"/>
          </w:tcPr>
          <w:p w14:paraId="33A3364A" w14:textId="790E30A5" w:rsidR="00B15E72" w:rsidRPr="006F6CD4" w:rsidRDefault="00B15E72" w:rsidP="006F6CD4">
            <w:pPr>
              <w:pBdr>
                <w:top w:val="nil"/>
                <w:left w:val="nil"/>
                <w:bottom w:val="nil"/>
                <w:right w:val="nil"/>
                <w:between w:val="nil"/>
              </w:pBdr>
              <w:spacing w:before="53" w:line="480" w:lineRule="auto"/>
              <w:ind w:left="107"/>
              <w:rPr>
                <w:rFonts w:ascii="Arial" w:eastAsia="Times New Roman" w:hAnsi="Arial" w:cs="Arial"/>
                <w:color w:val="000000"/>
                <w:sz w:val="22"/>
              </w:rPr>
            </w:pPr>
            <w:r w:rsidRPr="006F6CD4">
              <w:rPr>
                <w:rFonts w:ascii="Arial" w:eastAsia="Times New Roman" w:hAnsi="Arial" w:cs="Arial"/>
                <w:color w:val="000000"/>
                <w:sz w:val="22"/>
              </w:rPr>
              <w:t>Garcia et al, 2021</w:t>
            </w:r>
            <w:r w:rsidRPr="006F6CD4">
              <w:rPr>
                <w:rFonts w:ascii="Arial" w:eastAsia="Times New Roman" w:hAnsi="Arial" w:cs="Arial"/>
                <w:color w:val="000000"/>
                <w:sz w:val="22"/>
              </w:rPr>
              <w:fldChar w:fldCharType="begin" w:fldLock="1"/>
            </w:r>
            <w:r w:rsidR="008D40E5">
              <w:rPr>
                <w:rFonts w:ascii="Arial" w:eastAsia="Times New Roman" w:hAnsi="Arial" w:cs="Arial"/>
                <w:color w:val="000000"/>
                <w:sz w:val="22"/>
              </w:rPr>
              <w:instrText>ADDIN CSL_CITATION {"citationItems":[{"id":"ITEM-1","itemData":{"DOI":"10.1016/j.jacc.2021.02.055","ISSN":"07351097","abstract":"BACKGROUND: The coronavirus disease 2019 (COVID-19) pandemic has impacted many aspects of ST-segment elevation myocardial infarction (STEMI) care, including timely access to primary percutaneous coronary intervention (PPCI). OBJECTIVES: The goal of the NACMI (North American COVID-19 and STEMI) registry is to describe demographic characteristics, management strategies, and outcomes of COVID-19 patients with STEMI. METHODS: A prospective, ongoing observational registry was created under the guidance of 3 cardiology societies. STEMI patients with confirmed COVID+ (group 1) or suspected (person under investigation [PUI]) (group 2) COVID-19 infection were included. A group of age- and sex-matched STEMI patients (matched to COVID+ patients in a 2:1 ratio) treated in the pre-COVID era (2015 to 2019) serves as the control group for comparison of treatment strategies and outcomes (group 3). The primary outcome was a composite of in-hospital death, stroke, recurrent myocardial infarction, or repeat unplanned revascularization. RESULTS: As of December 6, 2020, 1,185 patients were included in the NACMI registry (230 COVID+ patients, 495 PUIs, and 460 control patients). COVID+ patients were more likely to have minority ethnicity (Hispanic 23%, Black 24%) and had a higher prevalence of diabetes mellitus (46%) (all p &lt; 0.001 relative to PUIs). COVID+ patients were more likely to present with cardiogenic shock (18%) but were less likely to receive invasive angiography (78%) (all p &lt; 0.001 relative to control patients). Among COVID+ patients who received angiography, 71% received PPCI and 20% received medical therapy (both p &lt; 0.001 relative to control patients). The primary outcome occurred in 36% of COVID+ patients, 13% of PUIs, and 5% of control patients (p &lt; 0.001 relative to control patients). CONCLUSIONS: COVID+ patients with STEMI represent a high-risk group of patients with unique demographic and clinical characteristics. PPCI is feasible and remains the predominant reperfusion strategy, supporting current recommendations.","author":[{"dropping-particle":"","family":"Garcia","given":"Santiago","non-dropping-particle":"","parse-names":false,"suffix":""},{"dropping-particle":"","family":"Dehghani","given":"Payam","non-dropping-particle":"","parse-names":false,"suffix":""},{"dropping-particle":"","family":"Grines","given":"Cindy","non-dropping-particle":"","parse-names":false,"suffix":""},{"dropping-particle":"","family":"Davidson","given":"Laura","non-dropping-particle":"","parse-names":false,"suffix":""},{"dropping-particle":"","family":"Nayak","given":"Keshav R","non-dropping-particle":"","parse-names":false,"suffix":""},{"dropping-particle":"","family":"Saw","given":"Jacqueline","non-dropping-particle":"","parse-names":false,"suffix":""},{"dropping-particle":"","family":"Waksman","given":"Ron","non-dropping-particle":"","parse-names":false,"suffix":""},{"dropping-particle":"","family":"Blair","given":"John","non-dropping-particle":"","parse-names":false,"suffix":""},{"dropping-particle":"","family":"Akshay","given":"Bagai","non-dropping-particle":"","parse-names":false,"suffix":""},{"dropping-particle":"","family":"Garberich","given":"Ross","non-dropping-particle":"","parse-names":false,"suffix":""},{"dropping-particle":"","family":"Schmidt","given":"Christian","non-dropping-particle":"","parse-names":false,"suffix":""},{"dropping-particle":"","family":"Ly","given":"Hung Q","non-dropping-particle":"","parse-names":false,"suffix":""},{"dropping-particle":"","family":"Sharkey","given":"Scott","non-dropping-particle":"","parse-names":false,"suffix":""},{"dropping-particle":"","family":"Mercado","given":"Nestor","non-dropping-particle":"","parse-names":false,"suffix":""},{"dropping-particle":"","family":"Alfonso","given":"Carlos E","non-dropping-particle":"","parse-names":false,"suffix":""},{"dropping-particle":"","family":"Misumida","given":"Naoki","non-dropping-particle":"","parse-names":false,"suffix":""},{"dropping-particle":"","family":"Acharya","given":"Deepak","non-dropping-particle":"","parse-names":false,"suffix":""},{"dropping-particle":"","family":"Madan","given":"Mina","non-dropping-particle":"","parse-names":false,"suffix":""},{"dropping-particle":"","family":"Hafiz","given":"Abdul Moiz","non-dropping-particle":"","parse-names":false,"suffix":""},{"dropping-particle":"","family":"Javed","given":"Nosheen","non-dropping-particle":"","parse-names":false,"suffix":""},{"dropping-particle":"","family":"Shavadia","given":"Jay","non-dropping-particle":"","parse-names":false,"suffix":""},{"dropping-particle":"","family":"Stone","given":"Jay","non-dropping-particle":"","parse-names":false,"suffix":""},{"dropping-particle":"","family":"Alraies","given":"M Chadi","non-dropping-particle":"","parse-names":false,"suffix":""},{"dropping-particle":"","family":"Htun","given":"Wah","non-dropping-particle":"","parse-names":false,"suffix":""},{"dropping-particle":"","family":"Downey","given":"William","non-dropping-particle":"","parse-names":false,"suffix":""},{"dropping-particle":"","family":"Bergmark","given":"Brian A","non-dropping-particle":"","parse-names":false,"suffix":""},{"dropping-particle":"","family":"Ebinger","given":"Jospeh","non-dropping-particle":"","parse-names":false,"suffix":""},{"dropping-particle":"","family":"Alyousef","given":"Tareq","non-dropping-particle":"","parse-names":false,"suffix":""},{"dropping-particle":"","family":"Khalili","given":"Houman","non-dropping-particle":"","parse-names":false,"suffix":""},{"dropping-particle":"","family":"Hwang","given":"Chao-Wei","non-dropping-particle":"","parse-names":false,"suffix":""},{"dropping-particle":"","family":"Purow","given":"Joshua","non-dropping-particle":"","parse-names":false,"suffix":""},{"dropping-particle":"","family":"Llanos","given":"Alexander","non-dropping-particle":"","parse-names":false,"suffix":""},{"dropping-particle":"","family":"McGrath","given":"Brent","non-dropping-particle":"","parse-names":false,"suffix":""},{"dropping-particle":"","family":"Tannenbaum","given":"Mark","non-dropping-particle":"","parse-names":false,"suffix":""},{"dropping-particle":"","family":"Resar","given":"Jon","non-dropping-particle":"","parse-names":false,"suffix":""},{"dropping-particle":"","family":"Bagur","given":"Rodrigo","non-dropping-particle":"","parse-names":false,"suffix":""},{"dropping-particle":"","family":"Cox-Alomar","given":"Pedro","non-dropping-particle":"","parse-names":false,"suffix":""},{"dropping-particle":"","family":"Stefanescu Schmidt","given":"Ada C","non-dropping-particle":"","parse-names":false,"suffix":""},{"dropping-particle":"","family":"Cilia","given":"Lindsey A","non-dropping-particle":"","parse-names":false,"suffix":""},{"dropping-particle":"","family":"Jaffer","given":"Farouc A","non-dropping-particle":"","parse-names":false,"suffix":""},{"dropping-particle":"","family":"Gharacholou","given":"Michael","non-dropping-particle":"","parse-names":false,"suffix":""},{"dropping-particle":"","family":"Salinger","given":"Michael","non-dropping-particle":"","parse-names":false,"suffix":""},{"dropping-particle":"","family":"Case","given":"Brian","non-dropping-particle":"","parse-names":false,"suffix":""},{"dropping-particle":"","family":"Kabour","given":"Ameer","non-dropping-particle":"","parse-names":false,"suffix":""},{"dropping-particle":"","family":"Dai","given":"Xuming","non-dropping-particle":"","parse-names":false,"suffix":""},{"dropping-particle":"","family":"Elkhateeb","given":"Osama","non-dropping-particle":"","parse-names":false,"suffix":""},{"dropping-particle":"","family":"Kobayashi","given":"Taisei","non-dropping-particle":"","parse-names":false,"suffix":""},{"dropping-particle":"","family":"Kim","given":"Hahn-Ho","non-dropping-particle":"","parse-names":false,"suffix":""},{"dropping-particle":"","family":"Roumia","given":"Mazen","non-dropping-particle":"","parse-names":false,"suffix":""},{"dropping-particle":"V","family":"Aguirre","given":"Frank","non-dropping-particle":"","parse-names":false,"suffix":""},{"dropping-particle":"","family":"Rade","given":"Jeffrey","non-dropping-particle":"","parse-names":false,"suffix":""},{"dropping-particle":"","family":"Chong","given":"Aun-Yeong","non-dropping-particle":"","parse-names":false,"suffix":""},{"dropping-particle":"","family":"Hall","given":"Hurst M","non-dropping-particle":"","parse-names":false,"suffix":""},{"dropping-particle":"","family":"Amlani","given":"Shy","non-dropping-particle":"","parse-names":false,"suffix":""},{"dropping-particle":"","family":"Bagherli","given":"Alireza","non-dropping-particle":"","parse-names":false,"suffix":""},{"dropping-particle":"","family":"Patel","given":"Rajan A.G.","non-dropping-particle":"","parse-names":false,"suffix":""},{"dropping-particle":"","family":"Wood","given":"David A","non-dropping-particle":"","parse-names":false,"suffix":""},{"dropping-particle":"","family":"Welt","given":"Frederick G","non-dropping-particle":"","parse-names":false,"suffix":""},{"dropping-particle":"","family":"Giri","given":"Jay","non-dropping-particle":"","parse-names":false,"suffix":""},{"dropping-particle":"","family":"Mahmud","given":"Ehtisham","non-dropping-particle":"","parse-names":false,"suffix":""},{"dropping-particle":"","family":"Henry","given":"Timothy D","non-dropping-particle":"","parse-names":false,"suffix":""}],"container-title":"Journal of the American College of Cardiology","id":"ITEM-1","issue":"16","issued":{"date-parts":[["2021","4","27"]]},"language":"eng","page":"1994-2003","publisher":"the American College of Cardiology Foundation. Published by Elsevier.","title":"Initial Findings From the North American COVID-19 Myocardial Infarction Registry","type":"article-journal","volume":"77"},"uris":["http://www.mendeley.com/documents/?uuid=deffa66c-e807-4160-94aa-9c3af85f61cd"]}],"mendeley":{"formattedCitation":"[5]","plainTextFormattedCitation":"[5]","previouslyFormattedCitation":"&lt;sup&gt;5&lt;/sup&gt;"},"properties":{"noteIndex":0},"schema":"https://github.com/citation-style-language/schema/raw/master/csl-citation.json"}</w:instrText>
            </w:r>
            <w:r w:rsidRPr="006F6CD4">
              <w:rPr>
                <w:rFonts w:ascii="Arial" w:eastAsia="Times New Roman" w:hAnsi="Arial" w:cs="Arial"/>
                <w:color w:val="000000"/>
                <w:sz w:val="22"/>
              </w:rPr>
              <w:fldChar w:fldCharType="separate"/>
            </w:r>
            <w:r w:rsidR="008D40E5" w:rsidRPr="008D40E5">
              <w:rPr>
                <w:rFonts w:ascii="Arial" w:eastAsia="Times New Roman" w:hAnsi="Arial" w:cs="Arial"/>
                <w:noProof/>
                <w:color w:val="000000"/>
                <w:sz w:val="22"/>
              </w:rPr>
              <w:t>[5]</w:t>
            </w:r>
            <w:r w:rsidRPr="006F6CD4">
              <w:rPr>
                <w:rFonts w:ascii="Arial" w:eastAsia="Times New Roman" w:hAnsi="Arial" w:cs="Arial"/>
                <w:color w:val="000000"/>
                <w:sz w:val="22"/>
              </w:rPr>
              <w:fldChar w:fldCharType="end"/>
            </w:r>
          </w:p>
        </w:tc>
        <w:tc>
          <w:tcPr>
            <w:tcW w:w="435" w:type="pct"/>
          </w:tcPr>
          <w:p w14:paraId="33A3364B" w14:textId="77777777" w:rsidR="00B15E72" w:rsidRPr="006F6CD4" w:rsidRDefault="00B15E72" w:rsidP="006F6CD4">
            <w:pPr>
              <w:pBdr>
                <w:top w:val="nil"/>
                <w:left w:val="nil"/>
                <w:bottom w:val="nil"/>
                <w:right w:val="nil"/>
                <w:between w:val="nil"/>
              </w:pBdr>
              <w:spacing w:before="53" w:line="480" w:lineRule="auto"/>
              <w:ind w:left="106"/>
              <w:rPr>
                <w:rFonts w:ascii="Arial" w:eastAsia="Times New Roman" w:hAnsi="Arial" w:cs="Arial"/>
                <w:color w:val="000000"/>
                <w:sz w:val="22"/>
              </w:rPr>
            </w:pPr>
            <w:r w:rsidRPr="006F6CD4">
              <w:rPr>
                <w:rFonts w:ascii="Arial" w:eastAsia="Times New Roman" w:hAnsi="Arial" w:cs="Arial"/>
                <w:color w:val="000000"/>
                <w:sz w:val="22"/>
              </w:rPr>
              <w:t>1</w:t>
            </w:r>
          </w:p>
        </w:tc>
        <w:tc>
          <w:tcPr>
            <w:tcW w:w="494" w:type="pct"/>
          </w:tcPr>
          <w:p w14:paraId="33A3364C" w14:textId="77777777" w:rsidR="00B15E72" w:rsidRPr="006F6CD4" w:rsidRDefault="00B15E72" w:rsidP="006F6CD4">
            <w:pPr>
              <w:pBdr>
                <w:top w:val="nil"/>
                <w:left w:val="nil"/>
                <w:bottom w:val="nil"/>
                <w:right w:val="nil"/>
                <w:between w:val="nil"/>
              </w:pBdr>
              <w:spacing w:before="53" w:line="480" w:lineRule="auto"/>
              <w:ind w:left="106"/>
              <w:rPr>
                <w:rFonts w:ascii="Arial" w:eastAsia="Times New Roman" w:hAnsi="Arial" w:cs="Arial"/>
                <w:color w:val="000000"/>
                <w:sz w:val="22"/>
              </w:rPr>
            </w:pPr>
            <w:r w:rsidRPr="006F6CD4">
              <w:rPr>
                <w:rFonts w:ascii="Arial" w:eastAsia="Times New Roman" w:hAnsi="Arial" w:cs="Arial"/>
                <w:color w:val="000000"/>
                <w:sz w:val="22"/>
              </w:rPr>
              <w:t>1</w:t>
            </w:r>
          </w:p>
        </w:tc>
        <w:tc>
          <w:tcPr>
            <w:tcW w:w="393" w:type="pct"/>
          </w:tcPr>
          <w:p w14:paraId="33A3364D" w14:textId="77777777" w:rsidR="00B15E72" w:rsidRPr="006F6CD4" w:rsidRDefault="00B15E72" w:rsidP="006F6CD4">
            <w:pPr>
              <w:pBdr>
                <w:top w:val="nil"/>
                <w:left w:val="nil"/>
                <w:bottom w:val="nil"/>
                <w:right w:val="nil"/>
                <w:between w:val="nil"/>
              </w:pBdr>
              <w:spacing w:before="53" w:line="480" w:lineRule="auto"/>
              <w:ind w:left="105"/>
              <w:rPr>
                <w:rFonts w:ascii="Arial" w:eastAsia="Times New Roman" w:hAnsi="Arial" w:cs="Arial"/>
                <w:color w:val="000000"/>
                <w:sz w:val="22"/>
              </w:rPr>
            </w:pPr>
            <w:r w:rsidRPr="006F6CD4">
              <w:rPr>
                <w:rFonts w:ascii="Arial" w:eastAsia="Times New Roman" w:hAnsi="Arial" w:cs="Arial"/>
                <w:color w:val="000000"/>
                <w:sz w:val="22"/>
              </w:rPr>
              <w:t>1</w:t>
            </w:r>
          </w:p>
        </w:tc>
        <w:tc>
          <w:tcPr>
            <w:tcW w:w="632" w:type="pct"/>
            <w:tcBorders>
              <w:right w:val="single" w:sz="6" w:space="0" w:color="000000"/>
            </w:tcBorders>
          </w:tcPr>
          <w:p w14:paraId="33A3364E" w14:textId="77777777" w:rsidR="00B15E72" w:rsidRPr="006F6CD4" w:rsidRDefault="00B15E72" w:rsidP="006F6CD4">
            <w:pPr>
              <w:pBdr>
                <w:top w:val="nil"/>
                <w:left w:val="nil"/>
                <w:bottom w:val="nil"/>
                <w:right w:val="nil"/>
                <w:between w:val="nil"/>
              </w:pBdr>
              <w:spacing w:before="53" w:line="480" w:lineRule="auto"/>
              <w:ind w:left="99"/>
              <w:rPr>
                <w:rFonts w:ascii="Arial" w:eastAsia="Times New Roman" w:hAnsi="Arial" w:cs="Arial"/>
                <w:color w:val="000000"/>
                <w:sz w:val="22"/>
              </w:rPr>
            </w:pPr>
            <w:r w:rsidRPr="006F6CD4">
              <w:rPr>
                <w:rFonts w:ascii="Arial" w:eastAsia="Times New Roman" w:hAnsi="Arial" w:cs="Arial"/>
                <w:color w:val="000000"/>
                <w:sz w:val="22"/>
              </w:rPr>
              <w:t>1</w:t>
            </w:r>
          </w:p>
        </w:tc>
        <w:tc>
          <w:tcPr>
            <w:tcW w:w="462" w:type="pct"/>
            <w:tcBorders>
              <w:left w:val="single" w:sz="6" w:space="0" w:color="000000"/>
            </w:tcBorders>
          </w:tcPr>
          <w:p w14:paraId="33A3364F" w14:textId="77777777" w:rsidR="00B15E72" w:rsidRPr="006F6CD4" w:rsidRDefault="00B15E72" w:rsidP="006F6CD4">
            <w:pPr>
              <w:pBdr>
                <w:top w:val="nil"/>
                <w:left w:val="nil"/>
                <w:bottom w:val="nil"/>
                <w:right w:val="nil"/>
                <w:between w:val="nil"/>
              </w:pBdr>
              <w:spacing w:before="53" w:line="480" w:lineRule="auto"/>
              <w:ind w:left="93"/>
              <w:rPr>
                <w:rFonts w:ascii="Arial" w:eastAsia="Times New Roman" w:hAnsi="Arial" w:cs="Arial"/>
                <w:color w:val="000000"/>
                <w:sz w:val="22"/>
              </w:rPr>
            </w:pPr>
            <w:r w:rsidRPr="006F6CD4">
              <w:rPr>
                <w:rFonts w:ascii="Arial" w:eastAsia="Times New Roman" w:hAnsi="Arial" w:cs="Arial"/>
                <w:color w:val="000000"/>
                <w:sz w:val="22"/>
              </w:rPr>
              <w:t>1</w:t>
            </w:r>
          </w:p>
        </w:tc>
        <w:tc>
          <w:tcPr>
            <w:tcW w:w="519" w:type="pct"/>
            <w:tcBorders>
              <w:right w:val="single" w:sz="6" w:space="0" w:color="000000"/>
            </w:tcBorders>
          </w:tcPr>
          <w:p w14:paraId="33A33650" w14:textId="77777777" w:rsidR="00B15E72" w:rsidRPr="006F6CD4" w:rsidRDefault="00B15E72" w:rsidP="006F6CD4">
            <w:pPr>
              <w:pBdr>
                <w:top w:val="nil"/>
                <w:left w:val="nil"/>
                <w:bottom w:val="nil"/>
                <w:right w:val="nil"/>
                <w:between w:val="nil"/>
              </w:pBdr>
              <w:spacing w:before="53" w:line="480" w:lineRule="auto"/>
              <w:ind w:left="96"/>
              <w:rPr>
                <w:rFonts w:ascii="Arial" w:eastAsia="Times New Roman" w:hAnsi="Arial" w:cs="Arial"/>
                <w:color w:val="000000"/>
                <w:sz w:val="22"/>
              </w:rPr>
            </w:pPr>
            <w:r w:rsidRPr="006F6CD4">
              <w:rPr>
                <w:rFonts w:ascii="Arial" w:eastAsia="Times New Roman" w:hAnsi="Arial" w:cs="Arial"/>
                <w:color w:val="000000"/>
                <w:sz w:val="22"/>
              </w:rPr>
              <w:t>1</w:t>
            </w:r>
          </w:p>
        </w:tc>
        <w:tc>
          <w:tcPr>
            <w:tcW w:w="440" w:type="pct"/>
            <w:tcBorders>
              <w:left w:val="single" w:sz="6" w:space="0" w:color="000000"/>
            </w:tcBorders>
          </w:tcPr>
          <w:p w14:paraId="33A33651" w14:textId="77777777" w:rsidR="00B15E72" w:rsidRPr="006F6CD4" w:rsidRDefault="00B15E72" w:rsidP="006F6CD4">
            <w:pPr>
              <w:pBdr>
                <w:top w:val="nil"/>
                <w:left w:val="nil"/>
                <w:bottom w:val="nil"/>
                <w:right w:val="nil"/>
                <w:between w:val="nil"/>
              </w:pBdr>
              <w:spacing w:before="53" w:line="480" w:lineRule="auto"/>
              <w:ind w:left="88"/>
              <w:rPr>
                <w:rFonts w:ascii="Arial" w:eastAsia="Times New Roman" w:hAnsi="Arial" w:cs="Arial"/>
                <w:color w:val="000000"/>
                <w:sz w:val="22"/>
              </w:rPr>
            </w:pPr>
            <w:r w:rsidRPr="006F6CD4">
              <w:rPr>
                <w:rFonts w:ascii="Arial" w:eastAsia="Times New Roman" w:hAnsi="Arial" w:cs="Arial"/>
                <w:color w:val="000000"/>
                <w:sz w:val="22"/>
              </w:rPr>
              <w:t>1</w:t>
            </w:r>
          </w:p>
        </w:tc>
        <w:tc>
          <w:tcPr>
            <w:tcW w:w="343" w:type="pct"/>
          </w:tcPr>
          <w:p w14:paraId="33A33652" w14:textId="77777777" w:rsidR="00B15E72" w:rsidRPr="006F6CD4" w:rsidRDefault="00B15E72" w:rsidP="006F6CD4">
            <w:pPr>
              <w:pBdr>
                <w:top w:val="nil"/>
                <w:left w:val="nil"/>
                <w:bottom w:val="nil"/>
                <w:right w:val="nil"/>
                <w:between w:val="nil"/>
              </w:pBdr>
              <w:spacing w:before="53" w:line="480" w:lineRule="auto"/>
              <w:ind w:left="95"/>
              <w:rPr>
                <w:rFonts w:ascii="Arial" w:eastAsia="Times New Roman" w:hAnsi="Arial" w:cs="Arial"/>
                <w:color w:val="000000"/>
                <w:sz w:val="22"/>
              </w:rPr>
            </w:pPr>
            <w:r w:rsidRPr="006F6CD4">
              <w:rPr>
                <w:rFonts w:ascii="Arial" w:eastAsia="Times New Roman" w:hAnsi="Arial" w:cs="Arial"/>
                <w:color w:val="000000"/>
                <w:sz w:val="22"/>
              </w:rPr>
              <w:t>1</w:t>
            </w:r>
          </w:p>
        </w:tc>
        <w:tc>
          <w:tcPr>
            <w:tcW w:w="344" w:type="pct"/>
          </w:tcPr>
          <w:p w14:paraId="33A33653" w14:textId="77777777" w:rsidR="00B15E72" w:rsidRPr="006F6CD4" w:rsidRDefault="00B15E72" w:rsidP="006F6CD4">
            <w:pPr>
              <w:pBdr>
                <w:top w:val="nil"/>
                <w:left w:val="nil"/>
                <w:bottom w:val="nil"/>
                <w:right w:val="nil"/>
                <w:between w:val="nil"/>
              </w:pBdr>
              <w:spacing w:before="53" w:line="480" w:lineRule="auto"/>
              <w:ind w:left="87"/>
              <w:rPr>
                <w:rFonts w:ascii="Arial" w:eastAsia="Times New Roman" w:hAnsi="Arial" w:cs="Arial"/>
                <w:color w:val="000000"/>
                <w:sz w:val="22"/>
              </w:rPr>
            </w:pPr>
            <w:r w:rsidRPr="006F6CD4">
              <w:rPr>
                <w:rFonts w:ascii="Arial" w:eastAsia="Times New Roman" w:hAnsi="Arial" w:cs="Arial"/>
                <w:color w:val="000000"/>
                <w:sz w:val="22"/>
              </w:rPr>
              <w:t>1</w:t>
            </w:r>
          </w:p>
        </w:tc>
        <w:tc>
          <w:tcPr>
            <w:tcW w:w="411" w:type="pct"/>
          </w:tcPr>
          <w:p w14:paraId="33A33654" w14:textId="77777777" w:rsidR="00B15E72" w:rsidRPr="006F6CD4" w:rsidRDefault="00B15E72" w:rsidP="006F6CD4">
            <w:pPr>
              <w:pBdr>
                <w:top w:val="nil"/>
                <w:left w:val="nil"/>
                <w:bottom w:val="nil"/>
                <w:right w:val="nil"/>
                <w:between w:val="nil"/>
              </w:pBdr>
              <w:spacing w:before="53" w:line="480" w:lineRule="auto"/>
              <w:ind w:left="88"/>
              <w:rPr>
                <w:rFonts w:ascii="Arial" w:eastAsia="Times New Roman" w:hAnsi="Arial" w:cs="Arial"/>
                <w:b/>
                <w:color w:val="000000"/>
                <w:sz w:val="22"/>
              </w:rPr>
            </w:pPr>
            <w:r w:rsidRPr="006F6CD4">
              <w:rPr>
                <w:rFonts w:ascii="Arial" w:eastAsia="Times New Roman" w:hAnsi="Arial" w:cs="Arial"/>
                <w:b/>
                <w:color w:val="000000"/>
                <w:sz w:val="22"/>
              </w:rPr>
              <w:t>9</w:t>
            </w:r>
          </w:p>
        </w:tc>
      </w:tr>
      <w:tr w:rsidR="001C5052" w:rsidRPr="006F6CD4" w14:paraId="33A33661" w14:textId="77777777" w:rsidTr="00B15E72">
        <w:trPr>
          <w:trHeight w:val="277"/>
        </w:trPr>
        <w:tc>
          <w:tcPr>
            <w:tcW w:w="527" w:type="pct"/>
          </w:tcPr>
          <w:p w14:paraId="33A33656" w14:textId="514F2EFA" w:rsidR="00B15E72" w:rsidRPr="006F6CD4" w:rsidRDefault="00B15E72" w:rsidP="006F6CD4">
            <w:pPr>
              <w:pBdr>
                <w:top w:val="nil"/>
                <w:left w:val="nil"/>
                <w:bottom w:val="nil"/>
                <w:right w:val="nil"/>
                <w:between w:val="nil"/>
              </w:pBdr>
              <w:spacing w:before="53" w:line="480" w:lineRule="auto"/>
              <w:ind w:left="107"/>
              <w:rPr>
                <w:rFonts w:ascii="Arial" w:eastAsia="Times New Roman" w:hAnsi="Arial" w:cs="Arial"/>
                <w:color w:val="000000"/>
                <w:sz w:val="22"/>
              </w:rPr>
            </w:pPr>
            <w:proofErr w:type="spellStart"/>
            <w:r w:rsidRPr="006F6CD4">
              <w:rPr>
                <w:rFonts w:ascii="Arial" w:eastAsia="Times New Roman" w:hAnsi="Arial" w:cs="Arial"/>
                <w:color w:val="000000"/>
                <w:sz w:val="22"/>
              </w:rPr>
              <w:t>Kiris</w:t>
            </w:r>
            <w:proofErr w:type="spellEnd"/>
            <w:r w:rsidRPr="006F6CD4">
              <w:rPr>
                <w:rFonts w:ascii="Arial" w:eastAsia="Times New Roman" w:hAnsi="Arial" w:cs="Arial"/>
                <w:color w:val="000000"/>
                <w:sz w:val="22"/>
              </w:rPr>
              <w:t xml:space="preserve"> et al, 2021</w:t>
            </w:r>
            <w:r w:rsidR="00E000CE" w:rsidRPr="006F6CD4">
              <w:rPr>
                <w:rFonts w:ascii="Arial" w:eastAsia="Times New Roman" w:hAnsi="Arial" w:cs="Arial"/>
                <w:color w:val="000000"/>
                <w:sz w:val="22"/>
              </w:rPr>
              <w:fldChar w:fldCharType="begin" w:fldLock="1"/>
            </w:r>
            <w:r w:rsidR="008D40E5">
              <w:rPr>
                <w:rFonts w:ascii="Arial" w:eastAsia="Times New Roman" w:hAnsi="Arial" w:cs="Arial"/>
                <w:color w:val="000000"/>
                <w:sz w:val="22"/>
              </w:rPr>
              <w:instrText>ADDIN CSL_CITATION {"citationItems":[{"id":"ITEM-1","itemData":{"DOI":"10.1007/s11239-021-02487-3","ISSN":"0929-5305","abstract":"OBJECTIVE: We aimed to investigate both the impact of COVID-19 pandemic on ST-segment elevation myocardial infarction (STEMI) admission, and demographic, angiographic, procedural characteristics, and in-hospital clinical outcomes of patients with COVID-19 positive STEMI in Turkey. METHODS: This was a multi-center and cross-sectional observational study. The study population included 1788 STEMI patients from 15 centers in Turkey. The patients were divided into two groups: COVID-19 era (March 11st-May 15st, 2020; n = 733) or pre- COVID-19 era group (March 11st-May 15st, 2019; n = 1055). Also, the patients in COVID-19 era were grouped as COVID-19 positive (n = 65) or negative (n = 668). RESULTS: There was a 30.5% drop in STEMI admission during COVID-19 era in comparison to pre-COVID-19 era. The patients admitted to the medical centers during COVID-19 era had a longer symptom-to-first medical contact time [120 (75-240) vs. 100 (60-180) minutes, p &lt; 0.001]. COVID-19 positive STEMI patients had higher thrombus grade and lower left ventricular ejection fraction compared to COVID-19 negative patients. COVID-19 positive patients had higher mortality (28% vs. 6%, p &lt; 0.001) and cardiogenic shock (20% vs. 7%, p &lt; 0.001) rates compared with those without COVID-19. Matching based on propensity scores showed higher mortality and high thrombus grade in STEMI patients who were infected by SARS-COV-2 (each p &lt; 0.05). CONCLUSIONS: We detected significantly lower STEMI hospitalization rates and significant delay in duration of symptom onset to first medical contact in the context of Turkey during the COVID-19 outbreak. Moreover, high thrombus grade and mortality were more common in COVID-19 positive STEMI patients.","author":[{"dropping-particle":"","family":"Kiris","given":"Tuncay","non-dropping-particle":"","parse-names":false,"suffix":""},{"dropping-particle":"","family":"Avci","given":"Eyüp","non-dropping-particle":"","parse-names":false,"suffix":""},{"dropping-particle":"","family":"Ekin","given":"Tuba","non-dropping-particle":"","parse-names":false,"suffix":""},{"dropping-particle":"","family":"Akgün","given":"Didar Elif","non-dropping-particle":"","parse-names":false,"suffix":""},{"dropping-particle":"","family":"Tiryaki","given":"Mücahit","non-dropping-particle":"","parse-names":false,"suffix":""},{"dropping-particle":"","family":"Yidirim","given":"Arafat","non-dropping-particle":"","parse-names":false,"suffix":""},{"dropping-particle":"","family":"Hazir","given":"Kutluhan","non-dropping-particle":"","parse-names":false,"suffix":""},{"dropping-particle":"","family":"Murat","given":"Bektaş","non-dropping-particle":"","parse-names":false,"suffix":""},{"dropping-particle":"","family":"Yeni","given":"Mehtap","non-dropping-particle":"","parse-names":false,"suffix":""},{"dropping-particle":"","family":"Altindag","given":"Rojhad","non-dropping-particle":"","parse-names":false,"suffix":""},{"dropping-particle":"","family":"Gül","given":"Sefa","non-dropping-particle":"","parse-names":false,"suffix":""},{"dropping-particle":"","family":"Arik","given":"Baran","non-dropping-particle":"","parse-names":false,"suffix":""},{"dropping-particle":"","family":"Güzel","given":"Tuncay","non-dropping-particle":"","parse-names":false,"suffix":""},{"dropping-particle":"","family":"Murat","given":"Selda","non-dropping-particle":"","parse-names":false,"suffix":""},{"dropping-particle":"","family":"Oz","given":"Ahmet","non-dropping-particle":"","parse-names":false,"suffix":""},{"dropping-particle":"","family":"Karabacak","given":"Mustafa","non-dropping-particle":"","parse-names":false,"suffix":""},{"dropping-particle":"","family":"Aktas","given":"Zihni","non-dropping-particle":"","parse-names":false,"suffix":""},{"dropping-particle":"","family":"Yildirim","given":"Tarik","non-dropping-particle":"","parse-names":false,"suffix":""},{"dropping-particle":"","family":"Kilicaslan","given":"Baris","non-dropping-particle":"","parse-names":false,"suffix":""},{"dropping-particle":"","family":"Ergene","given":"Asim Oktay","non-dropping-particle":"","parse-names":false,"suffix":""}],"container-title":"Journal of Thrombosis and Thrombolysis","id":"ITEM-1","issued":{"date-parts":[["2021","5","29"]]},"language":"eng","page":"1-14","publisher":"Springer US","title":"Impact of COVID-19 outbreak on patients with ST-segment elevation myocardial ınfarction (STEMI) in Turkey: results from TURSER study (TURKISH St-segment elevation myocardial ınfarction registry)","type":"article-journal"},"uris":["http://www.mendeley.com/documents/?uuid=0e99f6e6-9aef-4e42-a211-4267299872b3"]}],"mendeley":{"formattedCitation":"[6]","plainTextFormattedCitation":"[6]","previouslyFormattedCitation":"&lt;sup&gt;6&lt;/sup&gt;"},"properties":{"noteIndex":0},"schema":"https://github.com/citation-style-language/schema/raw/master/csl-citation.json"}</w:instrText>
            </w:r>
            <w:r w:rsidR="00E000CE" w:rsidRPr="006F6CD4">
              <w:rPr>
                <w:rFonts w:ascii="Arial" w:eastAsia="Times New Roman" w:hAnsi="Arial" w:cs="Arial"/>
                <w:color w:val="000000"/>
                <w:sz w:val="22"/>
              </w:rPr>
              <w:fldChar w:fldCharType="separate"/>
            </w:r>
            <w:r w:rsidR="008D40E5" w:rsidRPr="008D40E5">
              <w:rPr>
                <w:rFonts w:ascii="Arial" w:eastAsia="Times New Roman" w:hAnsi="Arial" w:cs="Arial"/>
                <w:noProof/>
                <w:color w:val="000000"/>
                <w:sz w:val="22"/>
              </w:rPr>
              <w:t>[6]</w:t>
            </w:r>
            <w:r w:rsidR="00E000CE" w:rsidRPr="006F6CD4">
              <w:rPr>
                <w:rFonts w:ascii="Arial" w:eastAsia="Times New Roman" w:hAnsi="Arial" w:cs="Arial"/>
                <w:color w:val="000000"/>
                <w:sz w:val="22"/>
              </w:rPr>
              <w:fldChar w:fldCharType="end"/>
            </w:r>
          </w:p>
        </w:tc>
        <w:tc>
          <w:tcPr>
            <w:tcW w:w="435" w:type="pct"/>
          </w:tcPr>
          <w:p w14:paraId="33A33657" w14:textId="77777777" w:rsidR="00B15E72" w:rsidRPr="006F6CD4" w:rsidRDefault="00B15E72" w:rsidP="006F6CD4">
            <w:pPr>
              <w:pBdr>
                <w:top w:val="nil"/>
                <w:left w:val="nil"/>
                <w:bottom w:val="nil"/>
                <w:right w:val="nil"/>
                <w:between w:val="nil"/>
              </w:pBdr>
              <w:spacing w:before="53" w:line="480" w:lineRule="auto"/>
              <w:ind w:left="106"/>
              <w:rPr>
                <w:rFonts w:ascii="Arial" w:eastAsia="Times New Roman" w:hAnsi="Arial" w:cs="Arial"/>
                <w:color w:val="000000"/>
                <w:sz w:val="22"/>
              </w:rPr>
            </w:pPr>
            <w:r w:rsidRPr="006F6CD4">
              <w:rPr>
                <w:rFonts w:ascii="Arial" w:eastAsia="Times New Roman" w:hAnsi="Arial" w:cs="Arial"/>
                <w:color w:val="000000"/>
                <w:sz w:val="22"/>
              </w:rPr>
              <w:t>1</w:t>
            </w:r>
          </w:p>
        </w:tc>
        <w:tc>
          <w:tcPr>
            <w:tcW w:w="494" w:type="pct"/>
          </w:tcPr>
          <w:p w14:paraId="33A33658" w14:textId="77777777" w:rsidR="00B15E72" w:rsidRPr="006F6CD4" w:rsidRDefault="00B15E72" w:rsidP="006F6CD4">
            <w:pPr>
              <w:pBdr>
                <w:top w:val="nil"/>
                <w:left w:val="nil"/>
                <w:bottom w:val="nil"/>
                <w:right w:val="nil"/>
                <w:between w:val="nil"/>
              </w:pBdr>
              <w:spacing w:before="53" w:line="480" w:lineRule="auto"/>
              <w:ind w:left="106"/>
              <w:rPr>
                <w:rFonts w:ascii="Arial" w:eastAsia="Times New Roman" w:hAnsi="Arial" w:cs="Arial"/>
                <w:color w:val="000000"/>
                <w:sz w:val="22"/>
              </w:rPr>
            </w:pPr>
            <w:r w:rsidRPr="006F6CD4">
              <w:rPr>
                <w:rFonts w:ascii="Arial" w:eastAsia="Times New Roman" w:hAnsi="Arial" w:cs="Arial"/>
                <w:color w:val="000000"/>
                <w:sz w:val="22"/>
              </w:rPr>
              <w:t>1</w:t>
            </w:r>
          </w:p>
        </w:tc>
        <w:tc>
          <w:tcPr>
            <w:tcW w:w="393" w:type="pct"/>
          </w:tcPr>
          <w:p w14:paraId="33A33659" w14:textId="77777777" w:rsidR="00B15E72" w:rsidRPr="006F6CD4" w:rsidRDefault="00B15E72" w:rsidP="006F6CD4">
            <w:pPr>
              <w:pBdr>
                <w:top w:val="nil"/>
                <w:left w:val="nil"/>
                <w:bottom w:val="nil"/>
                <w:right w:val="nil"/>
                <w:between w:val="nil"/>
              </w:pBdr>
              <w:spacing w:before="53" w:line="480" w:lineRule="auto"/>
              <w:ind w:left="105"/>
              <w:rPr>
                <w:rFonts w:ascii="Arial" w:eastAsia="Times New Roman" w:hAnsi="Arial" w:cs="Arial"/>
                <w:color w:val="000000"/>
                <w:sz w:val="22"/>
              </w:rPr>
            </w:pPr>
            <w:r w:rsidRPr="006F6CD4">
              <w:rPr>
                <w:rFonts w:ascii="Arial" w:eastAsia="Times New Roman" w:hAnsi="Arial" w:cs="Arial"/>
                <w:color w:val="000000"/>
                <w:sz w:val="22"/>
              </w:rPr>
              <w:t>1</w:t>
            </w:r>
          </w:p>
        </w:tc>
        <w:tc>
          <w:tcPr>
            <w:tcW w:w="632" w:type="pct"/>
            <w:tcBorders>
              <w:right w:val="single" w:sz="6" w:space="0" w:color="000000"/>
            </w:tcBorders>
          </w:tcPr>
          <w:p w14:paraId="33A3365A" w14:textId="77777777" w:rsidR="00B15E72" w:rsidRPr="006F6CD4" w:rsidRDefault="00B15E72" w:rsidP="006F6CD4">
            <w:pPr>
              <w:pBdr>
                <w:top w:val="nil"/>
                <w:left w:val="nil"/>
                <w:bottom w:val="nil"/>
                <w:right w:val="nil"/>
                <w:between w:val="nil"/>
              </w:pBdr>
              <w:spacing w:before="53" w:line="480" w:lineRule="auto"/>
              <w:ind w:left="99"/>
              <w:rPr>
                <w:rFonts w:ascii="Arial" w:eastAsia="Times New Roman" w:hAnsi="Arial" w:cs="Arial"/>
                <w:color w:val="000000"/>
                <w:sz w:val="22"/>
              </w:rPr>
            </w:pPr>
            <w:r w:rsidRPr="006F6CD4">
              <w:rPr>
                <w:rFonts w:ascii="Arial" w:eastAsia="Times New Roman" w:hAnsi="Arial" w:cs="Arial"/>
                <w:color w:val="000000"/>
                <w:sz w:val="22"/>
              </w:rPr>
              <w:t>1</w:t>
            </w:r>
          </w:p>
        </w:tc>
        <w:tc>
          <w:tcPr>
            <w:tcW w:w="462" w:type="pct"/>
            <w:tcBorders>
              <w:left w:val="single" w:sz="6" w:space="0" w:color="000000"/>
            </w:tcBorders>
          </w:tcPr>
          <w:p w14:paraId="33A3365B" w14:textId="77777777" w:rsidR="00B15E72" w:rsidRPr="006F6CD4" w:rsidRDefault="00B15E72" w:rsidP="006F6CD4">
            <w:pPr>
              <w:pBdr>
                <w:top w:val="nil"/>
                <w:left w:val="nil"/>
                <w:bottom w:val="nil"/>
                <w:right w:val="nil"/>
                <w:between w:val="nil"/>
              </w:pBdr>
              <w:spacing w:before="53" w:line="480" w:lineRule="auto"/>
              <w:ind w:left="93"/>
              <w:rPr>
                <w:rFonts w:ascii="Arial" w:eastAsia="Times New Roman" w:hAnsi="Arial" w:cs="Arial"/>
                <w:color w:val="000000"/>
                <w:sz w:val="22"/>
              </w:rPr>
            </w:pPr>
            <w:r w:rsidRPr="006F6CD4">
              <w:rPr>
                <w:rFonts w:ascii="Arial" w:eastAsia="Times New Roman" w:hAnsi="Arial" w:cs="Arial"/>
                <w:color w:val="000000"/>
                <w:sz w:val="22"/>
              </w:rPr>
              <w:t>1</w:t>
            </w:r>
          </w:p>
        </w:tc>
        <w:tc>
          <w:tcPr>
            <w:tcW w:w="519" w:type="pct"/>
            <w:tcBorders>
              <w:right w:val="single" w:sz="6" w:space="0" w:color="000000"/>
            </w:tcBorders>
          </w:tcPr>
          <w:p w14:paraId="33A3365C" w14:textId="77777777" w:rsidR="00B15E72" w:rsidRPr="006F6CD4" w:rsidRDefault="00B15E72" w:rsidP="006F6CD4">
            <w:pPr>
              <w:pBdr>
                <w:top w:val="nil"/>
                <w:left w:val="nil"/>
                <w:bottom w:val="nil"/>
                <w:right w:val="nil"/>
                <w:between w:val="nil"/>
              </w:pBdr>
              <w:spacing w:before="53" w:line="480" w:lineRule="auto"/>
              <w:ind w:left="96"/>
              <w:rPr>
                <w:rFonts w:ascii="Arial" w:eastAsia="Times New Roman" w:hAnsi="Arial" w:cs="Arial"/>
                <w:color w:val="000000"/>
                <w:sz w:val="22"/>
              </w:rPr>
            </w:pPr>
            <w:r w:rsidRPr="006F6CD4">
              <w:rPr>
                <w:rFonts w:ascii="Arial" w:eastAsia="Times New Roman" w:hAnsi="Arial" w:cs="Arial"/>
                <w:color w:val="000000"/>
                <w:sz w:val="22"/>
              </w:rPr>
              <w:t>1</w:t>
            </w:r>
          </w:p>
        </w:tc>
        <w:tc>
          <w:tcPr>
            <w:tcW w:w="440" w:type="pct"/>
            <w:tcBorders>
              <w:left w:val="single" w:sz="6" w:space="0" w:color="000000"/>
            </w:tcBorders>
          </w:tcPr>
          <w:p w14:paraId="33A3365D" w14:textId="77777777" w:rsidR="00B15E72" w:rsidRPr="006F6CD4" w:rsidRDefault="00B15E72" w:rsidP="006F6CD4">
            <w:pPr>
              <w:pBdr>
                <w:top w:val="nil"/>
                <w:left w:val="nil"/>
                <w:bottom w:val="nil"/>
                <w:right w:val="nil"/>
                <w:between w:val="nil"/>
              </w:pBdr>
              <w:spacing w:before="53" w:line="480" w:lineRule="auto"/>
              <w:ind w:left="88"/>
              <w:rPr>
                <w:rFonts w:ascii="Arial" w:eastAsia="Times New Roman" w:hAnsi="Arial" w:cs="Arial"/>
                <w:color w:val="000000"/>
                <w:sz w:val="22"/>
              </w:rPr>
            </w:pPr>
            <w:r w:rsidRPr="006F6CD4">
              <w:rPr>
                <w:rFonts w:ascii="Arial" w:eastAsia="Times New Roman" w:hAnsi="Arial" w:cs="Arial"/>
                <w:color w:val="000000"/>
                <w:sz w:val="22"/>
              </w:rPr>
              <w:t>1</w:t>
            </w:r>
          </w:p>
        </w:tc>
        <w:tc>
          <w:tcPr>
            <w:tcW w:w="343" w:type="pct"/>
          </w:tcPr>
          <w:p w14:paraId="33A3365E" w14:textId="77777777" w:rsidR="00B15E72" w:rsidRPr="006F6CD4" w:rsidRDefault="00B15E72" w:rsidP="006F6CD4">
            <w:pPr>
              <w:pBdr>
                <w:top w:val="nil"/>
                <w:left w:val="nil"/>
                <w:bottom w:val="nil"/>
                <w:right w:val="nil"/>
                <w:between w:val="nil"/>
              </w:pBdr>
              <w:spacing w:before="53" w:line="480" w:lineRule="auto"/>
              <w:ind w:left="95"/>
              <w:rPr>
                <w:rFonts w:ascii="Arial" w:eastAsia="Times New Roman" w:hAnsi="Arial" w:cs="Arial"/>
                <w:color w:val="000000"/>
                <w:sz w:val="22"/>
              </w:rPr>
            </w:pPr>
            <w:r w:rsidRPr="006F6CD4">
              <w:rPr>
                <w:rFonts w:ascii="Arial" w:eastAsia="Times New Roman" w:hAnsi="Arial" w:cs="Arial"/>
                <w:color w:val="000000"/>
                <w:sz w:val="22"/>
              </w:rPr>
              <w:t>1</w:t>
            </w:r>
          </w:p>
        </w:tc>
        <w:tc>
          <w:tcPr>
            <w:tcW w:w="344" w:type="pct"/>
          </w:tcPr>
          <w:p w14:paraId="33A3365F" w14:textId="77777777" w:rsidR="00B15E72" w:rsidRPr="006F6CD4" w:rsidRDefault="00B15E72" w:rsidP="006F6CD4">
            <w:pPr>
              <w:pBdr>
                <w:top w:val="nil"/>
                <w:left w:val="nil"/>
                <w:bottom w:val="nil"/>
                <w:right w:val="nil"/>
                <w:between w:val="nil"/>
              </w:pBdr>
              <w:spacing w:before="53" w:line="480" w:lineRule="auto"/>
              <w:rPr>
                <w:rFonts w:ascii="Arial" w:eastAsia="Times New Roman" w:hAnsi="Arial" w:cs="Arial"/>
                <w:color w:val="000000"/>
                <w:sz w:val="22"/>
              </w:rPr>
            </w:pPr>
            <w:r w:rsidRPr="006F6CD4">
              <w:rPr>
                <w:rFonts w:ascii="Arial" w:eastAsia="Times New Roman" w:hAnsi="Arial" w:cs="Arial"/>
                <w:color w:val="000000"/>
                <w:sz w:val="22"/>
              </w:rPr>
              <w:t>1</w:t>
            </w:r>
          </w:p>
        </w:tc>
        <w:tc>
          <w:tcPr>
            <w:tcW w:w="411" w:type="pct"/>
          </w:tcPr>
          <w:p w14:paraId="33A33660" w14:textId="77777777" w:rsidR="00B15E72" w:rsidRPr="006F6CD4" w:rsidRDefault="00B15E72" w:rsidP="006F6CD4">
            <w:pPr>
              <w:pBdr>
                <w:top w:val="nil"/>
                <w:left w:val="nil"/>
                <w:bottom w:val="nil"/>
                <w:right w:val="nil"/>
                <w:between w:val="nil"/>
              </w:pBdr>
              <w:spacing w:before="53" w:line="480" w:lineRule="auto"/>
              <w:ind w:left="88"/>
              <w:rPr>
                <w:rFonts w:ascii="Arial" w:eastAsia="Times New Roman" w:hAnsi="Arial" w:cs="Arial"/>
                <w:b/>
                <w:color w:val="000000"/>
                <w:sz w:val="22"/>
              </w:rPr>
            </w:pPr>
            <w:r w:rsidRPr="006F6CD4">
              <w:rPr>
                <w:rFonts w:ascii="Arial" w:eastAsia="Times New Roman" w:hAnsi="Arial" w:cs="Arial"/>
                <w:b/>
                <w:color w:val="000000"/>
                <w:sz w:val="22"/>
              </w:rPr>
              <w:t>9</w:t>
            </w:r>
          </w:p>
        </w:tc>
      </w:tr>
      <w:tr w:rsidR="001C5052" w:rsidRPr="006F6CD4" w14:paraId="33A3366D" w14:textId="77777777" w:rsidTr="00B15E72">
        <w:trPr>
          <w:trHeight w:val="281"/>
        </w:trPr>
        <w:tc>
          <w:tcPr>
            <w:tcW w:w="527" w:type="pct"/>
          </w:tcPr>
          <w:p w14:paraId="33A33662" w14:textId="12CA658F" w:rsidR="00B15E72" w:rsidRPr="006F6CD4" w:rsidRDefault="00B15E72" w:rsidP="006F6CD4">
            <w:pPr>
              <w:pBdr>
                <w:top w:val="nil"/>
                <w:left w:val="nil"/>
                <w:bottom w:val="nil"/>
                <w:right w:val="nil"/>
                <w:between w:val="nil"/>
              </w:pBdr>
              <w:spacing w:before="56" w:line="480" w:lineRule="auto"/>
              <w:ind w:left="107"/>
              <w:rPr>
                <w:rFonts w:ascii="Arial" w:eastAsia="Times New Roman" w:hAnsi="Arial" w:cs="Arial"/>
                <w:color w:val="000000"/>
                <w:sz w:val="22"/>
              </w:rPr>
            </w:pPr>
            <w:r w:rsidRPr="006F6CD4">
              <w:rPr>
                <w:rFonts w:ascii="Arial" w:eastAsia="Times New Roman" w:hAnsi="Arial" w:cs="Arial"/>
                <w:color w:val="000000"/>
                <w:sz w:val="22"/>
              </w:rPr>
              <w:lastRenderedPageBreak/>
              <w:t>Kite et al, 2021</w:t>
            </w:r>
            <w:r w:rsidR="00E000CE" w:rsidRPr="006F6CD4">
              <w:rPr>
                <w:rFonts w:ascii="Arial" w:eastAsia="Times New Roman" w:hAnsi="Arial" w:cs="Arial"/>
                <w:color w:val="000000"/>
                <w:sz w:val="22"/>
              </w:rPr>
              <w:fldChar w:fldCharType="begin" w:fldLock="1"/>
            </w:r>
            <w:r w:rsidR="008D40E5">
              <w:rPr>
                <w:rFonts w:ascii="Arial" w:eastAsia="Times New Roman" w:hAnsi="Arial" w:cs="Arial"/>
                <w:color w:val="000000"/>
                <w:sz w:val="22"/>
              </w:rPr>
              <w:instrText>ADDIN CSL_CITATION {"citationItems":[{"id":"ITEM-1","itemData":{"DOI":"10.1016/j.jacc.2021.03.309","ISSN":"07351097","abstract":"BACKGROUND: Published data suggest worse outcomes in acute coronary syndrome (ACS) patients and concurrent coronavirus disease 2019 (COVID-19) infection. Mechanisms remain unclear. OBJECTIVES: The purpose of this study was to report the demographics, angiographic findings, and in-hospital outcomes of COVID-19 ACS patients and compare these with pre-COVID-19 cohorts. METHODS: From March 1, 2020 to July 31, 2020, data from 55 international centers were entered into a prospective, COVID-ACS Registry. Patients were COVID-19 positive (or had a high index of clinical suspicion) and underwent invasive coronary angiography for suspected ACS. Outcomes were in-hospital major cardiovascular events (all-cause mortality, re-myocardial infarction, heart failure, stroke, unplanned revascularization, or stent thrombosis). Results were compared with national pre-COVID-19 databases (MINAP [Myocardial Ischaemia National Audit Project] 2019 and BCIS [British Cardiovascular Intervention Society] 2018 to 2019). RESULTS: In 144 ST-segment elevation myocardial infarction (STEMI) and 121 non-ST-segment elevation acute coronary syndrome (NSTE-ACS) patients, symptom-to-admission times were significantly prolonged (COVID-STEMI vs. BCIS: median 339.0 min vs. 173.0 min; p &lt; 0.001; COVID NSTE-ACS vs. MINAP: 417.0 min vs. 295.0 min; p = 0.012). Mortality in COVID-ACS patients was significantly higher than BCIS/MINAP control subjects in both subgroups (COVID-STEMI: 22.9% vs. 5.7%; p &lt; 0.001; COVID NSTE-ACS: 6.6% vs. 1.2%; p &lt; 0.001), which remained following multivariate propensity analysis adjusting for comorbidities (STEMI subgroup odds ratio: 3.33 [95% confidence interval: 2.04 to 5.42]). Cardiogenic shock occurred in 20.1% of COVID-STEMI patients versus 8.7% of BCIS patients (p &lt; 0.001). CONCLUSIONS: In this multicenter international registry, COVID-19-positive ACS patients presented later and had increased in-hospital mortality compared with a pre-COVID-19 ACS population. Excessive rates of and mortality from cardiogenic shock were major contributors to the worse outcomes in COVID-19 positive STEMI patients.","author":[{"dropping-particle":"","family":"Kite","given":"Thomas A","non-dropping-particle":"","parse-names":false,"suffix":""},{"dropping-particle":"","family":"Ludman","given":"Peter F","non-dropping-particle":"","parse-names":false,"suffix":""},{"dropping-particle":"","family":"Gale","given":"Chris P","non-dropping-particle":"","parse-names":false,"suffix":""},{"dropping-particle":"","family":"Wu","given":"Jianhua","non-dropping-particle":"","parse-names":false,"suffix":""},{"dropping-particle":"","family":"Caixeta","given":"Adriano","non-dropping-particle":"","parse-names":false,"suffix":""},{"dropping-particle":"","family":"Mansourati","given":"Jacques","non-dropping-particle":"","parse-names":false,"suffix":""},{"dropping-particle":"","family":"Sabate","given":"Manel","non-dropping-particle":"","parse-names":false,"suffix":""},{"dropping-particle":"","family":"Jimenez-Quevedo","given":"Pilar","non-dropping-particle":"","parse-names":false,"suffix":""},{"dropping-particle":"","family":"Candilio","given":"Luciano","non-dropping-particle":"","parse-names":false,"suffix":""},{"dropping-particle":"","family":"Sadeghipour","given":"Parham","non-dropping-particle":"","parse-names":false,"suffix":""},{"dropping-particle":"","family":"Iniesta","given":"Angel M","non-dropping-particle":"","parse-names":false,"suffix":""},{"dropping-particle":"","family":"Hoole","given":"Stephen P","non-dropping-particle":"","parse-names":false,"suffix":""},{"dropping-particle":"","family":"Palmer","given":"Nick","non-dropping-particle":"","parse-names":false,"suffix":""},{"dropping-particle":"","family":"Ariza-Solé","given":"Albert","non-dropping-particle":"","parse-names":false,"suffix":""},{"dropping-particle":"","family":"Namitokov","given":"Alim","non-dropping-particle":"","parse-names":false,"suffix":""},{"dropping-particle":"","family":"Escutia-Cuevas","given":"Hector H","non-dropping-particle":"","parse-names":false,"suffix":""},{"dropping-particle":"","family":"Vincent","given":"Flavien","non-dropping-particle":"","parse-names":false,"suffix":""},{"dropping-particle":"","family":"Tica","given":"Otilia","non-dropping-particle":"","parse-names":false,"suffix":""},{"dropping-particle":"","family":"Ngunga","given":"Mzee","non-dropping-particle":"","parse-names":false,"suffix":""},{"dropping-particle":"","family":"Meray","given":"Imad","non-dropping-particle":"","parse-names":false,"suffix":""},{"dropping-particle":"","family":"Morrow","given":"Andrew","non-dropping-particle":"","parse-names":false,"suffix":""},{"dropping-particle":"","family":"Arefin","given":"Md Minhaj","non-dropping-particle":"","parse-names":false,"suffix":""},{"dropping-particle":"","family":"Lindsay","given":"Steven","non-dropping-particle":"","parse-names":false,"suffix":""},{"dropping-particle":"","family":"Kazamel","given":"Ghada","non-dropping-particle":"","parse-names":false,"suffix":""},{"dropping-particle":"","family":"Sharma","given":"Vinoda","non-dropping-particle":"","parse-names":false,"suffix":""},{"dropping-particle":"","family":"Saad","given":"Aly","non-dropping-particle":"","parse-names":false,"suffix":""},{"dropping-particle":"","family":"Sinagra","given":"Gianfranco","non-dropping-particle":"","parse-names":false,"suffix":""},{"dropping-particle":"","family":"Sanchez","given":"Federico Ariel","non-dropping-particle":"","parse-names":false,"suffix":""},{"dropping-particle":"","family":"Roik","given":"Marek","non-dropping-particle":"","parse-names":false,"suffix":""},{"dropping-particle":"","family":"Savonitto","given":"Stefano","non-dropping-particle":"","parse-names":false,"suffix":""},{"dropping-particle":"","family":"Vavlukis","given":"Marija","non-dropping-particle":"","parse-names":false,"suffix":""},{"dropping-particle":"","family":"Sangaraju","given":"Shankar","non-dropping-particle":"","parse-names":false,"suffix":""},{"dropping-particle":"","family":"Malik","given":"Iqbal S","non-dropping-particle":"","parse-names":false,"suffix":""},{"dropping-particle":"","family":"Kean","given":"Sharon","non-dropping-particle":"","parse-names":false,"suffix":""},{"dropping-particle":"","family":"Curzen","given":"Nick","non-dropping-particle":"","parse-names":false,"suffix":""},{"dropping-particle":"","family":"Berry","given":"Colin","non-dropping-particle":"","parse-names":false,"suffix":""},{"dropping-particle":"","family":"Stone","given":"Gregg W","non-dropping-particle":"","parse-names":false,"suffix":""},{"dropping-particle":"","family":"Gersh","given":"Bernard J","non-dropping-particle":"","parse-names":false,"suffix":""},{"dropping-particle":"","family":"Gershlick","given":"Anthony H","non-dropping-particle":"","parse-names":false,"suffix":""}],"container-title":"Journal of the American College of Cardiology","id":"ITEM-1","issue":"20","issued":{"date-parts":[["2021","5","25"]]},"language":"eng","note":"The inclusion criteria for the study were: 1) COVID-19 positive or a high index of clinical suspicion; and 2) invasive coronary angiography undertaken for sus- pected ACS. High-index clinical suspicion was defined as clinical status plus chest x-ray (CXR) or computed tomography (CT) findings suggestive of COVID-19 infection.","page":"2466-2476","publisher":"by the American College of Cardiology Foundation. Published by Elsevier.","title":"International Prospective Registry of Acute Coronary Syndromes in Patients With COVID-19","type":"article-journal","volume":"77"},"uris":["http://www.mendeley.com/documents/?uuid=f366547f-f5af-4f4e-957c-11326bd96efe"]}],"mendeley":{"formattedCitation":"[7]","plainTextFormattedCitation":"[7]","previouslyFormattedCitation":"&lt;sup&gt;7&lt;/sup&gt;"},"properties":{"noteIndex":0},"schema":"https://github.com/citation-style-language/schema/raw/master/csl-citation.json"}</w:instrText>
            </w:r>
            <w:r w:rsidR="00E000CE" w:rsidRPr="006F6CD4">
              <w:rPr>
                <w:rFonts w:ascii="Arial" w:eastAsia="Times New Roman" w:hAnsi="Arial" w:cs="Arial"/>
                <w:color w:val="000000"/>
                <w:sz w:val="22"/>
              </w:rPr>
              <w:fldChar w:fldCharType="separate"/>
            </w:r>
            <w:r w:rsidR="008D40E5" w:rsidRPr="008D40E5">
              <w:rPr>
                <w:rFonts w:ascii="Arial" w:eastAsia="Times New Roman" w:hAnsi="Arial" w:cs="Arial"/>
                <w:noProof/>
                <w:color w:val="000000"/>
                <w:sz w:val="22"/>
              </w:rPr>
              <w:t>[7]</w:t>
            </w:r>
            <w:r w:rsidR="00E000CE" w:rsidRPr="006F6CD4">
              <w:rPr>
                <w:rFonts w:ascii="Arial" w:eastAsia="Times New Roman" w:hAnsi="Arial" w:cs="Arial"/>
                <w:color w:val="000000"/>
                <w:sz w:val="22"/>
              </w:rPr>
              <w:fldChar w:fldCharType="end"/>
            </w:r>
          </w:p>
        </w:tc>
        <w:tc>
          <w:tcPr>
            <w:tcW w:w="435" w:type="pct"/>
          </w:tcPr>
          <w:p w14:paraId="33A33663" w14:textId="77777777" w:rsidR="00B15E72" w:rsidRPr="006F6CD4" w:rsidRDefault="00B15E72" w:rsidP="006F6CD4">
            <w:pPr>
              <w:pBdr>
                <w:top w:val="nil"/>
                <w:left w:val="nil"/>
                <w:bottom w:val="nil"/>
                <w:right w:val="nil"/>
                <w:between w:val="nil"/>
              </w:pBdr>
              <w:spacing w:before="56" w:line="480" w:lineRule="auto"/>
              <w:ind w:left="106"/>
              <w:rPr>
                <w:rFonts w:ascii="Arial" w:eastAsia="Times New Roman" w:hAnsi="Arial" w:cs="Arial"/>
                <w:color w:val="000000"/>
                <w:sz w:val="22"/>
              </w:rPr>
            </w:pPr>
            <w:r w:rsidRPr="006F6CD4">
              <w:rPr>
                <w:rFonts w:ascii="Arial" w:eastAsia="Times New Roman" w:hAnsi="Arial" w:cs="Arial"/>
                <w:color w:val="000000"/>
                <w:sz w:val="22"/>
              </w:rPr>
              <w:t>1</w:t>
            </w:r>
          </w:p>
        </w:tc>
        <w:tc>
          <w:tcPr>
            <w:tcW w:w="494" w:type="pct"/>
          </w:tcPr>
          <w:p w14:paraId="33A33664" w14:textId="77777777" w:rsidR="00B15E72" w:rsidRPr="006F6CD4" w:rsidRDefault="00B15E72" w:rsidP="006F6CD4">
            <w:pPr>
              <w:pBdr>
                <w:top w:val="nil"/>
                <w:left w:val="nil"/>
                <w:bottom w:val="nil"/>
                <w:right w:val="nil"/>
                <w:between w:val="nil"/>
              </w:pBdr>
              <w:spacing w:before="56" w:line="480" w:lineRule="auto"/>
              <w:ind w:left="106"/>
              <w:rPr>
                <w:rFonts w:ascii="Arial" w:eastAsia="Times New Roman" w:hAnsi="Arial" w:cs="Arial"/>
                <w:color w:val="000000"/>
                <w:sz w:val="22"/>
              </w:rPr>
            </w:pPr>
            <w:r w:rsidRPr="006F6CD4">
              <w:rPr>
                <w:rFonts w:ascii="Arial" w:eastAsia="Times New Roman" w:hAnsi="Arial" w:cs="Arial"/>
                <w:color w:val="000000"/>
                <w:sz w:val="22"/>
              </w:rPr>
              <w:t>1</w:t>
            </w:r>
          </w:p>
        </w:tc>
        <w:tc>
          <w:tcPr>
            <w:tcW w:w="393" w:type="pct"/>
          </w:tcPr>
          <w:p w14:paraId="33A33665" w14:textId="77777777" w:rsidR="00B15E72" w:rsidRPr="006F6CD4" w:rsidRDefault="00B15E72" w:rsidP="006F6CD4">
            <w:pPr>
              <w:pBdr>
                <w:top w:val="nil"/>
                <w:left w:val="nil"/>
                <w:bottom w:val="nil"/>
                <w:right w:val="nil"/>
                <w:between w:val="nil"/>
              </w:pBdr>
              <w:spacing w:before="56" w:line="480" w:lineRule="auto"/>
              <w:ind w:left="105"/>
              <w:rPr>
                <w:rFonts w:ascii="Arial" w:eastAsia="Times New Roman" w:hAnsi="Arial" w:cs="Arial"/>
                <w:color w:val="000000"/>
                <w:sz w:val="22"/>
              </w:rPr>
            </w:pPr>
            <w:r w:rsidRPr="006F6CD4">
              <w:rPr>
                <w:rFonts w:ascii="Arial" w:eastAsia="Times New Roman" w:hAnsi="Arial" w:cs="Arial"/>
                <w:color w:val="000000"/>
                <w:sz w:val="22"/>
              </w:rPr>
              <w:t>1</w:t>
            </w:r>
          </w:p>
        </w:tc>
        <w:tc>
          <w:tcPr>
            <w:tcW w:w="632" w:type="pct"/>
            <w:tcBorders>
              <w:right w:val="single" w:sz="6" w:space="0" w:color="000000"/>
            </w:tcBorders>
          </w:tcPr>
          <w:p w14:paraId="33A33666" w14:textId="77777777" w:rsidR="00B15E72" w:rsidRPr="006F6CD4" w:rsidRDefault="00B15E72" w:rsidP="006F6CD4">
            <w:pPr>
              <w:pBdr>
                <w:top w:val="nil"/>
                <w:left w:val="nil"/>
                <w:bottom w:val="nil"/>
                <w:right w:val="nil"/>
                <w:between w:val="nil"/>
              </w:pBdr>
              <w:spacing w:before="56" w:line="480" w:lineRule="auto"/>
              <w:ind w:left="99"/>
              <w:rPr>
                <w:rFonts w:ascii="Arial" w:eastAsia="Times New Roman" w:hAnsi="Arial" w:cs="Arial"/>
                <w:color w:val="000000"/>
                <w:sz w:val="22"/>
              </w:rPr>
            </w:pPr>
            <w:r w:rsidRPr="006F6CD4">
              <w:rPr>
                <w:rFonts w:ascii="Arial" w:eastAsia="Times New Roman" w:hAnsi="Arial" w:cs="Arial"/>
                <w:color w:val="000000"/>
                <w:sz w:val="22"/>
              </w:rPr>
              <w:t>1</w:t>
            </w:r>
          </w:p>
        </w:tc>
        <w:tc>
          <w:tcPr>
            <w:tcW w:w="462" w:type="pct"/>
            <w:tcBorders>
              <w:left w:val="single" w:sz="6" w:space="0" w:color="000000"/>
            </w:tcBorders>
          </w:tcPr>
          <w:p w14:paraId="33A33667" w14:textId="77777777" w:rsidR="00B15E72" w:rsidRPr="006F6CD4" w:rsidRDefault="00B15E72" w:rsidP="006F6CD4">
            <w:pPr>
              <w:pBdr>
                <w:top w:val="nil"/>
                <w:left w:val="nil"/>
                <w:bottom w:val="nil"/>
                <w:right w:val="nil"/>
                <w:between w:val="nil"/>
              </w:pBdr>
              <w:spacing w:before="56" w:line="480" w:lineRule="auto"/>
              <w:ind w:left="93"/>
              <w:rPr>
                <w:rFonts w:ascii="Arial" w:eastAsia="Times New Roman" w:hAnsi="Arial" w:cs="Arial"/>
                <w:color w:val="000000"/>
                <w:sz w:val="22"/>
              </w:rPr>
            </w:pPr>
            <w:r w:rsidRPr="006F6CD4">
              <w:rPr>
                <w:rFonts w:ascii="Arial" w:eastAsia="Times New Roman" w:hAnsi="Arial" w:cs="Arial"/>
                <w:color w:val="000000"/>
                <w:sz w:val="22"/>
              </w:rPr>
              <w:t>1</w:t>
            </w:r>
          </w:p>
        </w:tc>
        <w:tc>
          <w:tcPr>
            <w:tcW w:w="519" w:type="pct"/>
            <w:tcBorders>
              <w:right w:val="single" w:sz="6" w:space="0" w:color="000000"/>
            </w:tcBorders>
          </w:tcPr>
          <w:p w14:paraId="33A33668" w14:textId="77777777" w:rsidR="00B15E72" w:rsidRPr="006F6CD4" w:rsidRDefault="00B15E72" w:rsidP="006F6CD4">
            <w:pPr>
              <w:pBdr>
                <w:top w:val="nil"/>
                <w:left w:val="nil"/>
                <w:bottom w:val="nil"/>
                <w:right w:val="nil"/>
                <w:between w:val="nil"/>
              </w:pBdr>
              <w:spacing w:before="56" w:line="480" w:lineRule="auto"/>
              <w:ind w:left="96"/>
              <w:rPr>
                <w:rFonts w:ascii="Arial" w:eastAsia="Times New Roman" w:hAnsi="Arial" w:cs="Arial"/>
                <w:color w:val="000000"/>
                <w:sz w:val="22"/>
              </w:rPr>
            </w:pPr>
            <w:r w:rsidRPr="006F6CD4">
              <w:rPr>
                <w:rFonts w:ascii="Arial" w:eastAsia="Times New Roman" w:hAnsi="Arial" w:cs="Arial"/>
                <w:color w:val="000000"/>
                <w:sz w:val="22"/>
              </w:rPr>
              <w:t>1</w:t>
            </w:r>
          </w:p>
        </w:tc>
        <w:tc>
          <w:tcPr>
            <w:tcW w:w="440" w:type="pct"/>
            <w:tcBorders>
              <w:left w:val="single" w:sz="6" w:space="0" w:color="000000"/>
            </w:tcBorders>
          </w:tcPr>
          <w:p w14:paraId="33A33669" w14:textId="77777777" w:rsidR="00B15E72" w:rsidRPr="006F6CD4" w:rsidRDefault="00B15E72" w:rsidP="006F6CD4">
            <w:pPr>
              <w:pBdr>
                <w:top w:val="nil"/>
                <w:left w:val="nil"/>
                <w:bottom w:val="nil"/>
                <w:right w:val="nil"/>
                <w:between w:val="nil"/>
              </w:pBdr>
              <w:spacing w:before="56" w:line="480" w:lineRule="auto"/>
              <w:ind w:left="88"/>
              <w:rPr>
                <w:rFonts w:ascii="Arial" w:eastAsia="Times New Roman" w:hAnsi="Arial" w:cs="Arial"/>
                <w:color w:val="000000"/>
                <w:sz w:val="22"/>
              </w:rPr>
            </w:pPr>
            <w:r w:rsidRPr="006F6CD4">
              <w:rPr>
                <w:rFonts w:ascii="Arial" w:eastAsia="Times New Roman" w:hAnsi="Arial" w:cs="Arial"/>
                <w:color w:val="000000"/>
                <w:sz w:val="22"/>
              </w:rPr>
              <w:t>1</w:t>
            </w:r>
          </w:p>
        </w:tc>
        <w:tc>
          <w:tcPr>
            <w:tcW w:w="343" w:type="pct"/>
          </w:tcPr>
          <w:p w14:paraId="33A3366A" w14:textId="77777777" w:rsidR="00B15E72" w:rsidRPr="006F6CD4" w:rsidRDefault="00B15E72" w:rsidP="006F6CD4">
            <w:pPr>
              <w:pBdr>
                <w:top w:val="nil"/>
                <w:left w:val="nil"/>
                <w:bottom w:val="nil"/>
                <w:right w:val="nil"/>
                <w:between w:val="nil"/>
              </w:pBdr>
              <w:spacing w:before="56" w:line="480" w:lineRule="auto"/>
              <w:ind w:left="95"/>
              <w:rPr>
                <w:rFonts w:ascii="Arial" w:eastAsia="Times New Roman" w:hAnsi="Arial" w:cs="Arial"/>
                <w:color w:val="000000"/>
                <w:sz w:val="22"/>
              </w:rPr>
            </w:pPr>
            <w:r w:rsidRPr="006F6CD4">
              <w:rPr>
                <w:rFonts w:ascii="Arial" w:eastAsia="Times New Roman" w:hAnsi="Arial" w:cs="Arial"/>
                <w:color w:val="000000"/>
                <w:sz w:val="22"/>
              </w:rPr>
              <w:t>1</w:t>
            </w:r>
          </w:p>
        </w:tc>
        <w:tc>
          <w:tcPr>
            <w:tcW w:w="344" w:type="pct"/>
          </w:tcPr>
          <w:p w14:paraId="33A3366B" w14:textId="77777777" w:rsidR="00B15E72" w:rsidRPr="006F6CD4" w:rsidRDefault="00B15E72" w:rsidP="006F6CD4">
            <w:pPr>
              <w:pBdr>
                <w:top w:val="nil"/>
                <w:left w:val="nil"/>
                <w:bottom w:val="nil"/>
                <w:right w:val="nil"/>
                <w:between w:val="nil"/>
              </w:pBdr>
              <w:spacing w:before="56" w:line="480" w:lineRule="auto"/>
              <w:ind w:left="87"/>
              <w:rPr>
                <w:rFonts w:ascii="Arial" w:eastAsia="Times New Roman" w:hAnsi="Arial" w:cs="Arial"/>
                <w:color w:val="000000"/>
                <w:sz w:val="22"/>
              </w:rPr>
            </w:pPr>
            <w:r w:rsidRPr="006F6CD4">
              <w:rPr>
                <w:rFonts w:ascii="Arial" w:eastAsia="Times New Roman" w:hAnsi="Arial" w:cs="Arial"/>
                <w:color w:val="000000"/>
                <w:sz w:val="22"/>
              </w:rPr>
              <w:t>1</w:t>
            </w:r>
          </w:p>
        </w:tc>
        <w:tc>
          <w:tcPr>
            <w:tcW w:w="411" w:type="pct"/>
          </w:tcPr>
          <w:p w14:paraId="33A3366C" w14:textId="77777777" w:rsidR="00B15E72" w:rsidRPr="006F6CD4" w:rsidRDefault="00B15E72" w:rsidP="006F6CD4">
            <w:pPr>
              <w:pBdr>
                <w:top w:val="nil"/>
                <w:left w:val="nil"/>
                <w:bottom w:val="nil"/>
                <w:right w:val="nil"/>
                <w:between w:val="nil"/>
              </w:pBdr>
              <w:spacing w:before="56" w:line="480" w:lineRule="auto"/>
              <w:ind w:left="88"/>
              <w:rPr>
                <w:rFonts w:ascii="Arial" w:eastAsia="Times New Roman" w:hAnsi="Arial" w:cs="Arial"/>
                <w:b/>
                <w:color w:val="000000"/>
                <w:sz w:val="22"/>
              </w:rPr>
            </w:pPr>
            <w:r w:rsidRPr="006F6CD4">
              <w:rPr>
                <w:rFonts w:ascii="Arial" w:eastAsia="Times New Roman" w:hAnsi="Arial" w:cs="Arial"/>
                <w:b/>
                <w:color w:val="000000"/>
                <w:sz w:val="22"/>
              </w:rPr>
              <w:t>9</w:t>
            </w:r>
          </w:p>
        </w:tc>
      </w:tr>
      <w:tr w:rsidR="001C5052" w:rsidRPr="006F6CD4" w14:paraId="33A33679" w14:textId="77777777" w:rsidTr="00B15E72">
        <w:trPr>
          <w:trHeight w:val="748"/>
        </w:trPr>
        <w:tc>
          <w:tcPr>
            <w:tcW w:w="527" w:type="pct"/>
          </w:tcPr>
          <w:p w14:paraId="33A3366E" w14:textId="6296C66F" w:rsidR="00B15E72" w:rsidRPr="006F6CD4" w:rsidRDefault="00B15E72" w:rsidP="006F6CD4">
            <w:pPr>
              <w:pBdr>
                <w:top w:val="nil"/>
                <w:left w:val="nil"/>
                <w:bottom w:val="nil"/>
                <w:right w:val="nil"/>
                <w:between w:val="nil"/>
              </w:pBdr>
              <w:spacing w:before="53" w:line="480" w:lineRule="auto"/>
              <w:ind w:left="106"/>
              <w:rPr>
                <w:rFonts w:ascii="Arial" w:eastAsia="Times New Roman" w:hAnsi="Arial" w:cs="Arial"/>
                <w:color w:val="000000"/>
                <w:sz w:val="22"/>
              </w:rPr>
            </w:pPr>
            <w:proofErr w:type="spellStart"/>
            <w:r w:rsidRPr="006F6CD4">
              <w:rPr>
                <w:rFonts w:ascii="Arial" w:eastAsia="Times New Roman" w:hAnsi="Arial" w:cs="Arial"/>
                <w:color w:val="000000"/>
                <w:sz w:val="22"/>
              </w:rPr>
              <w:t>Koutsoukis</w:t>
            </w:r>
            <w:proofErr w:type="spellEnd"/>
            <w:r w:rsidRPr="006F6CD4">
              <w:rPr>
                <w:rFonts w:ascii="Arial" w:eastAsia="Times New Roman" w:hAnsi="Arial" w:cs="Arial"/>
                <w:color w:val="000000"/>
                <w:sz w:val="22"/>
              </w:rPr>
              <w:t xml:space="preserve"> et al, 2021</w:t>
            </w:r>
            <w:r w:rsidR="00E000CE" w:rsidRPr="006F6CD4">
              <w:rPr>
                <w:rFonts w:ascii="Arial" w:eastAsia="Times New Roman" w:hAnsi="Arial" w:cs="Arial"/>
                <w:color w:val="000000"/>
                <w:sz w:val="22"/>
              </w:rPr>
              <w:fldChar w:fldCharType="begin" w:fldLock="1"/>
            </w:r>
            <w:r w:rsidR="008D40E5">
              <w:rPr>
                <w:rFonts w:ascii="Arial" w:eastAsia="Times New Roman" w:hAnsi="Arial" w:cs="Arial"/>
                <w:color w:val="000000"/>
                <w:sz w:val="22"/>
              </w:rPr>
              <w:instrText>ADDIN CSL_CITATION {"citationItems":[{"id":"ITEM-1","itemData":{"DOI":"10.1016/j.cjco.2020.11.003","ISSN":"2589790X","abstract":"BACKGROUND: In this study, we aimed to report clinical characteristics and outcomes of patients with and without SARS-CoV-2 infection who were referred for acute coronary syndrome (ACS) during the peak of the pandemic in France. METHODS: We included all consecutive patients referred for ST-elevation myocardial infarction (STEMI) or non-STEMI (NSTEMI) during the first 3 weeks of April 2020 in 5 university hospitals (Paris, south, and north of France), all performing primary percutaneous coronary intervention. RESULTS: The study included 237 patients (67 ± 14 years old; 69% male), 116 (49%) with STEMI and 121 (51%) with NSTEMI. The prevalence of SARS-CoV-2-associated ACS was 11% (n = 26) and 11 patients had severe hypoxemia on presentation (mechanical ventilation or nasal oxygen &gt; 6 L/min). Patients were comparable regarding medical history and risk factors, except a higher prevalence of diabetes mellitus in SARS-CoV-2 patients (53.8% vs 25.6%; P = 0.003). In SARS-CoV-2 patients, cardiac arrest on admission was more frequent (26.9% vs 6.6%; P &lt; 0.001). The presence of significant coronary artery disease and culprit artery occlusion in SARS-CoV-2 patients respectively, was 92% and 69.4% for those with STEMI, and 50% and 15.5% for those with NSTEMI. Percutaneous coronary intervention was performed in the same percentage of STEMI (84.6%) and NSTEMI (84.8%) patients, regardless of SARS-CoV-2 infection, but no-reflow (19.2% vs 3.3%; P &lt; 0.001) was greater in SARS-CoV-2 patients. In-hospital death occurred in 7 SARS-CoV-2 patients (5 from cardiac cause) and was higher compared with noninfected patients (26.9% vs 6.2%; P &lt; 0.001). CONCLUSIONS: In this registry, ACS in SARS-CoV-2 patients presented with high a percentage of cardiac arrest on admission, high incidence of no-reflow, and high in-hospital mortality.","author":[{"dropping-particle":"","family":"Koutsoukis","given":"Athanasios","non-dropping-particle":"","parse-names":false,"suffix":""},{"dropping-particle":"","family":"Delmas","given":"Clément","non-dropping-particle":"","parse-names":false,"suffix":""},{"dropping-particle":"","family":"Roubille","given":"François","non-dropping-particle":"","parse-names":false,"suffix":""},{"dropping-particle":"","family":"Bonello","given":"Laurent","non-dropping-particle":"","parse-names":false,"suffix":""},{"dropping-particle":"","family":"Schurtz","given":"Guillaume","non-dropping-particle":"","parse-names":false,"suffix":""},{"dropping-particle":"","family":"Manzo-Silberman","given":"Stéphane","non-dropping-particle":"","parse-names":false,"suffix":""},{"dropping-particle":"","family":"Puymirat","given":"Etienne","non-dropping-particle":"","parse-names":false,"suffix":""},{"dropping-particle":"","family":"Elbaz","given":"Meyer","non-dropping-particle":"","parse-names":false,"suffix":""},{"dropping-particle":"","family":"Bouisset","given":"Frédéric","non-dropping-particle":"","parse-names":false,"suffix":""},{"dropping-particle":"","family":"Meunier","given":"Pierre-Alain","non-dropping-particle":"","parse-names":false,"suffix":""},{"dropping-particle":"","family":"Huet","given":"Fabien","non-dropping-particle":"","parse-names":false,"suffix":""},{"dropping-particle":"","family":"Paganelli","given":"Franck","non-dropping-particle":"","parse-names":false,"suffix":""},{"dropping-particle":"","family":"Laine","given":"Marc","non-dropping-particle":"","parse-names":false,"suffix":""},{"dropping-particle":"","family":"Lemesle","given":"Gilles","non-dropping-particle":"","parse-names":false,"suffix":""},{"dropping-particle":"","family":"Lamblin","given":"Nicolas","non-dropping-particle":"","parse-names":false,"suffix":""},{"dropping-particle":"","family":"Henry","given":"Patrick","non-dropping-particle":"","parse-names":false,"suffix":""},{"dropping-particle":"","family":"Tea","given":"Victoria","non-dropping-particle":"","parse-names":false,"suffix":""},{"dropping-particle":"","family":"Gallet","given":"Romain","non-dropping-particle":"","parse-names":false,"suffix":""},{"dropping-particle":"","family":"Teiger","given":"Emmanuel","non-dropping-particle":"","parse-names":false,"suffix":""},{"dropping-particle":"","family":"Huguet","given":"Raphaëlle","non-dropping-particle":"","parse-names":false,"suffix":""},{"dropping-particle":"","family":"Fard","given":"Damien","non-dropping-particle":"","parse-names":false,"suffix":""},{"dropping-particle":"","family":"Lim","given":"Pascal","non-dropping-particle":"","parse-names":false,"suffix":""}],"container-title":"CJC Open","edition":"2020/11/11","id":"ITEM-1","issue":"3","issued":{"date-parts":[["2021","3"]]},"language":"eng","page":"311-317","publisher":"Elsevier","title":"Acute Coronary Syndrome in the Era of SARS-CoV-2 Infection: A Registry of the French Group of Acute Cardiac Care","type":"article-journal","volume":"3"},"uris":["http://www.mendeley.com/documents/?uuid=fc3a8602-2356-45ac-bc2d-585674fad348"]}],"mendeley":{"formattedCitation":"[8]","plainTextFormattedCitation":"[8]","previouslyFormattedCitation":"&lt;sup&gt;8&lt;/sup&gt;"},"properties":{"noteIndex":0},"schema":"https://github.com/citation-style-language/schema/raw/master/csl-citation.json"}</w:instrText>
            </w:r>
            <w:r w:rsidR="00E000CE" w:rsidRPr="006F6CD4">
              <w:rPr>
                <w:rFonts w:ascii="Arial" w:eastAsia="Times New Roman" w:hAnsi="Arial" w:cs="Arial"/>
                <w:color w:val="000000"/>
                <w:sz w:val="22"/>
              </w:rPr>
              <w:fldChar w:fldCharType="separate"/>
            </w:r>
            <w:r w:rsidR="008D40E5" w:rsidRPr="008D40E5">
              <w:rPr>
                <w:rFonts w:ascii="Arial" w:eastAsia="Times New Roman" w:hAnsi="Arial" w:cs="Arial"/>
                <w:noProof/>
                <w:color w:val="000000"/>
                <w:sz w:val="22"/>
              </w:rPr>
              <w:t>[8]</w:t>
            </w:r>
            <w:r w:rsidR="00E000CE" w:rsidRPr="006F6CD4">
              <w:rPr>
                <w:rFonts w:ascii="Arial" w:eastAsia="Times New Roman" w:hAnsi="Arial" w:cs="Arial"/>
                <w:color w:val="000000"/>
                <w:sz w:val="22"/>
              </w:rPr>
              <w:fldChar w:fldCharType="end"/>
            </w:r>
          </w:p>
        </w:tc>
        <w:tc>
          <w:tcPr>
            <w:tcW w:w="435" w:type="pct"/>
          </w:tcPr>
          <w:p w14:paraId="33A3366F" w14:textId="77777777" w:rsidR="00B15E72" w:rsidRPr="006F6CD4" w:rsidRDefault="00B15E72" w:rsidP="006F6CD4">
            <w:pPr>
              <w:pBdr>
                <w:top w:val="nil"/>
                <w:left w:val="nil"/>
                <w:bottom w:val="nil"/>
                <w:right w:val="nil"/>
                <w:between w:val="nil"/>
              </w:pBdr>
              <w:spacing w:before="53" w:line="480" w:lineRule="auto"/>
              <w:ind w:left="106"/>
              <w:rPr>
                <w:rFonts w:ascii="Arial" w:eastAsia="Times New Roman" w:hAnsi="Arial" w:cs="Arial"/>
                <w:color w:val="000000"/>
                <w:sz w:val="22"/>
              </w:rPr>
            </w:pPr>
            <w:r w:rsidRPr="006F6CD4">
              <w:rPr>
                <w:rFonts w:ascii="Arial" w:eastAsia="Times New Roman" w:hAnsi="Arial" w:cs="Arial"/>
                <w:color w:val="000000"/>
                <w:sz w:val="22"/>
              </w:rPr>
              <w:t>1</w:t>
            </w:r>
          </w:p>
        </w:tc>
        <w:tc>
          <w:tcPr>
            <w:tcW w:w="494" w:type="pct"/>
          </w:tcPr>
          <w:p w14:paraId="33A33670" w14:textId="77777777" w:rsidR="00B15E72" w:rsidRPr="006F6CD4" w:rsidRDefault="00B15E72" w:rsidP="006F6CD4">
            <w:pPr>
              <w:pBdr>
                <w:top w:val="nil"/>
                <w:left w:val="nil"/>
                <w:bottom w:val="nil"/>
                <w:right w:val="nil"/>
                <w:between w:val="nil"/>
              </w:pBdr>
              <w:spacing w:before="53" w:line="480" w:lineRule="auto"/>
              <w:ind w:left="106"/>
              <w:rPr>
                <w:rFonts w:ascii="Arial" w:eastAsia="Times New Roman" w:hAnsi="Arial" w:cs="Arial"/>
                <w:color w:val="000000"/>
                <w:sz w:val="22"/>
              </w:rPr>
            </w:pPr>
            <w:r w:rsidRPr="006F6CD4">
              <w:rPr>
                <w:rFonts w:ascii="Arial" w:eastAsia="Times New Roman" w:hAnsi="Arial" w:cs="Arial"/>
                <w:color w:val="000000"/>
                <w:sz w:val="22"/>
              </w:rPr>
              <w:t>1</w:t>
            </w:r>
          </w:p>
        </w:tc>
        <w:tc>
          <w:tcPr>
            <w:tcW w:w="393" w:type="pct"/>
          </w:tcPr>
          <w:p w14:paraId="33A33671" w14:textId="77777777" w:rsidR="00B15E72" w:rsidRPr="006F6CD4" w:rsidRDefault="00B15E72" w:rsidP="006F6CD4">
            <w:pPr>
              <w:pBdr>
                <w:top w:val="nil"/>
                <w:left w:val="nil"/>
                <w:bottom w:val="nil"/>
                <w:right w:val="nil"/>
                <w:between w:val="nil"/>
              </w:pBdr>
              <w:spacing w:before="53" w:line="480" w:lineRule="auto"/>
              <w:ind w:left="105"/>
              <w:rPr>
                <w:rFonts w:ascii="Arial" w:eastAsia="Times New Roman" w:hAnsi="Arial" w:cs="Arial"/>
                <w:color w:val="000000"/>
                <w:sz w:val="22"/>
              </w:rPr>
            </w:pPr>
            <w:r w:rsidRPr="006F6CD4">
              <w:rPr>
                <w:rFonts w:ascii="Arial" w:eastAsia="Times New Roman" w:hAnsi="Arial" w:cs="Arial"/>
                <w:color w:val="000000"/>
                <w:sz w:val="22"/>
              </w:rPr>
              <w:t>1</w:t>
            </w:r>
          </w:p>
        </w:tc>
        <w:tc>
          <w:tcPr>
            <w:tcW w:w="632" w:type="pct"/>
            <w:tcBorders>
              <w:right w:val="single" w:sz="6" w:space="0" w:color="000000"/>
            </w:tcBorders>
          </w:tcPr>
          <w:p w14:paraId="33A33672" w14:textId="77777777" w:rsidR="00B15E72" w:rsidRPr="006F6CD4" w:rsidRDefault="00B15E72" w:rsidP="006F6CD4">
            <w:pPr>
              <w:pBdr>
                <w:top w:val="nil"/>
                <w:left w:val="nil"/>
                <w:bottom w:val="nil"/>
                <w:right w:val="nil"/>
                <w:between w:val="nil"/>
              </w:pBdr>
              <w:spacing w:before="53" w:line="480" w:lineRule="auto"/>
              <w:ind w:left="99"/>
              <w:rPr>
                <w:rFonts w:ascii="Arial" w:eastAsia="Times New Roman" w:hAnsi="Arial" w:cs="Arial"/>
                <w:color w:val="000000"/>
                <w:sz w:val="22"/>
              </w:rPr>
            </w:pPr>
            <w:r w:rsidRPr="006F6CD4">
              <w:rPr>
                <w:rFonts w:ascii="Arial" w:eastAsia="Times New Roman" w:hAnsi="Arial" w:cs="Arial"/>
                <w:color w:val="000000"/>
                <w:sz w:val="22"/>
              </w:rPr>
              <w:t>1</w:t>
            </w:r>
          </w:p>
        </w:tc>
        <w:tc>
          <w:tcPr>
            <w:tcW w:w="462" w:type="pct"/>
            <w:tcBorders>
              <w:left w:val="single" w:sz="6" w:space="0" w:color="000000"/>
            </w:tcBorders>
          </w:tcPr>
          <w:p w14:paraId="33A33673" w14:textId="77777777" w:rsidR="00B15E72" w:rsidRPr="006F6CD4" w:rsidRDefault="00B15E72" w:rsidP="006F6CD4">
            <w:pPr>
              <w:pBdr>
                <w:top w:val="nil"/>
                <w:left w:val="nil"/>
                <w:bottom w:val="nil"/>
                <w:right w:val="nil"/>
                <w:between w:val="nil"/>
              </w:pBdr>
              <w:spacing w:before="53" w:line="480" w:lineRule="auto"/>
              <w:ind w:left="93"/>
              <w:rPr>
                <w:rFonts w:ascii="Arial" w:eastAsia="Times New Roman" w:hAnsi="Arial" w:cs="Arial"/>
                <w:color w:val="000000"/>
                <w:sz w:val="22"/>
              </w:rPr>
            </w:pPr>
            <w:r w:rsidRPr="006F6CD4">
              <w:rPr>
                <w:rFonts w:ascii="Arial" w:eastAsia="Times New Roman" w:hAnsi="Arial" w:cs="Arial"/>
                <w:color w:val="000000"/>
                <w:sz w:val="22"/>
              </w:rPr>
              <w:t>0</w:t>
            </w:r>
          </w:p>
        </w:tc>
        <w:tc>
          <w:tcPr>
            <w:tcW w:w="519" w:type="pct"/>
            <w:tcBorders>
              <w:right w:val="single" w:sz="6" w:space="0" w:color="000000"/>
            </w:tcBorders>
          </w:tcPr>
          <w:p w14:paraId="33A33674" w14:textId="77777777" w:rsidR="00B15E72" w:rsidRPr="006F6CD4" w:rsidRDefault="00B15E72" w:rsidP="006F6CD4">
            <w:pPr>
              <w:pBdr>
                <w:top w:val="nil"/>
                <w:left w:val="nil"/>
                <w:bottom w:val="nil"/>
                <w:right w:val="nil"/>
                <w:between w:val="nil"/>
              </w:pBdr>
              <w:spacing w:before="53" w:line="480" w:lineRule="auto"/>
              <w:ind w:left="96"/>
              <w:rPr>
                <w:rFonts w:ascii="Arial" w:eastAsia="Times New Roman" w:hAnsi="Arial" w:cs="Arial"/>
                <w:color w:val="000000"/>
                <w:sz w:val="22"/>
              </w:rPr>
            </w:pPr>
            <w:r w:rsidRPr="006F6CD4">
              <w:rPr>
                <w:rFonts w:ascii="Arial" w:eastAsia="Times New Roman" w:hAnsi="Arial" w:cs="Arial"/>
                <w:color w:val="000000"/>
                <w:sz w:val="22"/>
              </w:rPr>
              <w:t>0</w:t>
            </w:r>
          </w:p>
        </w:tc>
        <w:tc>
          <w:tcPr>
            <w:tcW w:w="440" w:type="pct"/>
            <w:tcBorders>
              <w:left w:val="single" w:sz="6" w:space="0" w:color="000000"/>
            </w:tcBorders>
          </w:tcPr>
          <w:p w14:paraId="33A33675" w14:textId="77777777" w:rsidR="00B15E72" w:rsidRPr="006F6CD4" w:rsidRDefault="00B15E72" w:rsidP="006F6CD4">
            <w:pPr>
              <w:pBdr>
                <w:top w:val="nil"/>
                <w:left w:val="nil"/>
                <w:bottom w:val="nil"/>
                <w:right w:val="nil"/>
                <w:between w:val="nil"/>
              </w:pBdr>
              <w:spacing w:before="53" w:line="480" w:lineRule="auto"/>
              <w:ind w:left="88"/>
              <w:rPr>
                <w:rFonts w:ascii="Arial" w:eastAsia="Times New Roman" w:hAnsi="Arial" w:cs="Arial"/>
                <w:color w:val="000000"/>
                <w:sz w:val="22"/>
              </w:rPr>
            </w:pPr>
            <w:r w:rsidRPr="006F6CD4">
              <w:rPr>
                <w:rFonts w:ascii="Arial" w:eastAsia="Times New Roman" w:hAnsi="Arial" w:cs="Arial"/>
                <w:color w:val="000000"/>
                <w:sz w:val="22"/>
              </w:rPr>
              <w:t>1</w:t>
            </w:r>
          </w:p>
        </w:tc>
        <w:tc>
          <w:tcPr>
            <w:tcW w:w="343" w:type="pct"/>
          </w:tcPr>
          <w:p w14:paraId="33A33676" w14:textId="77777777" w:rsidR="00B15E72" w:rsidRPr="006F6CD4" w:rsidRDefault="00B15E72" w:rsidP="006F6CD4">
            <w:pPr>
              <w:pBdr>
                <w:top w:val="nil"/>
                <w:left w:val="nil"/>
                <w:bottom w:val="nil"/>
                <w:right w:val="nil"/>
                <w:between w:val="nil"/>
              </w:pBdr>
              <w:spacing w:before="53" w:line="480" w:lineRule="auto"/>
              <w:ind w:left="95"/>
              <w:rPr>
                <w:rFonts w:ascii="Arial" w:eastAsia="Times New Roman" w:hAnsi="Arial" w:cs="Arial"/>
                <w:color w:val="000000"/>
                <w:sz w:val="22"/>
              </w:rPr>
            </w:pPr>
            <w:r w:rsidRPr="006F6CD4">
              <w:rPr>
                <w:rFonts w:ascii="Arial" w:eastAsia="Times New Roman" w:hAnsi="Arial" w:cs="Arial"/>
                <w:color w:val="000000"/>
                <w:sz w:val="22"/>
              </w:rPr>
              <w:t>1</w:t>
            </w:r>
          </w:p>
        </w:tc>
        <w:tc>
          <w:tcPr>
            <w:tcW w:w="344" w:type="pct"/>
          </w:tcPr>
          <w:p w14:paraId="33A33677" w14:textId="77777777" w:rsidR="00B15E72" w:rsidRPr="006F6CD4" w:rsidRDefault="00B15E72" w:rsidP="006F6CD4">
            <w:pPr>
              <w:pBdr>
                <w:top w:val="nil"/>
                <w:left w:val="nil"/>
                <w:bottom w:val="nil"/>
                <w:right w:val="nil"/>
                <w:between w:val="nil"/>
              </w:pBdr>
              <w:spacing w:before="53" w:line="480" w:lineRule="auto"/>
              <w:ind w:left="87"/>
              <w:rPr>
                <w:rFonts w:ascii="Arial" w:eastAsia="Times New Roman" w:hAnsi="Arial" w:cs="Arial"/>
                <w:color w:val="000000"/>
                <w:sz w:val="22"/>
              </w:rPr>
            </w:pPr>
            <w:r w:rsidRPr="006F6CD4">
              <w:rPr>
                <w:rFonts w:ascii="Arial" w:eastAsia="Times New Roman" w:hAnsi="Arial" w:cs="Arial"/>
                <w:color w:val="000000"/>
                <w:sz w:val="22"/>
              </w:rPr>
              <w:t>1</w:t>
            </w:r>
          </w:p>
        </w:tc>
        <w:tc>
          <w:tcPr>
            <w:tcW w:w="411" w:type="pct"/>
          </w:tcPr>
          <w:p w14:paraId="33A33678" w14:textId="77777777" w:rsidR="00B15E72" w:rsidRPr="006F6CD4" w:rsidRDefault="00B15E72" w:rsidP="006F6CD4">
            <w:pPr>
              <w:pBdr>
                <w:top w:val="nil"/>
                <w:left w:val="nil"/>
                <w:bottom w:val="nil"/>
                <w:right w:val="nil"/>
                <w:between w:val="nil"/>
              </w:pBdr>
              <w:spacing w:before="53" w:line="480" w:lineRule="auto"/>
              <w:ind w:left="88"/>
              <w:rPr>
                <w:rFonts w:ascii="Arial" w:eastAsia="Times New Roman" w:hAnsi="Arial" w:cs="Arial"/>
                <w:b/>
                <w:color w:val="000000"/>
                <w:sz w:val="22"/>
              </w:rPr>
            </w:pPr>
            <w:r w:rsidRPr="006F6CD4">
              <w:rPr>
                <w:rFonts w:ascii="Arial" w:eastAsia="Times New Roman" w:hAnsi="Arial" w:cs="Arial"/>
                <w:b/>
                <w:color w:val="000000"/>
                <w:sz w:val="22"/>
              </w:rPr>
              <w:t>7</w:t>
            </w:r>
          </w:p>
        </w:tc>
      </w:tr>
      <w:tr w:rsidR="001C5052" w:rsidRPr="006F6CD4" w14:paraId="33A33685" w14:textId="77777777" w:rsidTr="00B15E72">
        <w:trPr>
          <w:trHeight w:val="558"/>
        </w:trPr>
        <w:tc>
          <w:tcPr>
            <w:tcW w:w="527" w:type="pct"/>
          </w:tcPr>
          <w:p w14:paraId="33A3367A" w14:textId="48316AE1" w:rsidR="00B15E72" w:rsidRPr="006F6CD4" w:rsidRDefault="00B15E72" w:rsidP="006F6CD4">
            <w:pPr>
              <w:pBdr>
                <w:top w:val="nil"/>
                <w:left w:val="nil"/>
                <w:bottom w:val="nil"/>
                <w:right w:val="nil"/>
                <w:between w:val="nil"/>
              </w:pBdr>
              <w:spacing w:before="53" w:line="480" w:lineRule="auto"/>
              <w:ind w:left="107"/>
              <w:rPr>
                <w:rFonts w:ascii="Arial" w:eastAsia="Times New Roman" w:hAnsi="Arial" w:cs="Arial"/>
                <w:color w:val="000000"/>
                <w:sz w:val="22"/>
              </w:rPr>
            </w:pPr>
            <w:proofErr w:type="spellStart"/>
            <w:r w:rsidRPr="006F6CD4">
              <w:rPr>
                <w:rFonts w:ascii="Arial" w:eastAsia="Times New Roman" w:hAnsi="Arial" w:cs="Arial"/>
                <w:color w:val="000000"/>
                <w:sz w:val="22"/>
              </w:rPr>
              <w:t>Marfella</w:t>
            </w:r>
            <w:proofErr w:type="spellEnd"/>
            <w:r w:rsidRPr="006F6CD4">
              <w:rPr>
                <w:rFonts w:ascii="Arial" w:eastAsia="Times New Roman" w:hAnsi="Arial" w:cs="Arial"/>
                <w:color w:val="000000"/>
                <w:sz w:val="22"/>
              </w:rPr>
              <w:t xml:space="preserve"> et al, 2021</w:t>
            </w:r>
            <w:r w:rsidR="00E000CE" w:rsidRPr="006F6CD4">
              <w:rPr>
                <w:rFonts w:ascii="Arial" w:eastAsia="Times New Roman" w:hAnsi="Arial" w:cs="Arial"/>
                <w:color w:val="000000"/>
                <w:sz w:val="22"/>
              </w:rPr>
              <w:fldChar w:fldCharType="begin" w:fldLock="1"/>
            </w:r>
            <w:r w:rsidR="008D40E5">
              <w:rPr>
                <w:rFonts w:ascii="Arial" w:eastAsia="Times New Roman" w:hAnsi="Arial" w:cs="Arial"/>
                <w:color w:val="000000"/>
                <w:sz w:val="22"/>
              </w:rPr>
              <w:instrText>ADDIN CSL_CITATION {"citationItems":[{"id":"ITEM-1","itemData":{"DOI":"10.1186/s13054-021-03643-0","ISSN":"1364-8535","abstract":"BACKGROUND: The viral load of asymptomatic SAR-COV-2 positive (ASAP) persons has been equal to that of symptomatic patients. On the other hand, there are no reports of ST-elevation myocardial infarction (STEMI) outcomes in ASAP patients. Therefore, we evaluated thrombus burden and thrombus viral load and their impact on microvascular bed perfusion in the infarct area (myocardial blush grade, MBG) in ASAP compared to SARS-COV-2 negative (SANE) STEMI patients. METHODS: This was an observational study of 46 ASAP, and 130 SANE patients admitted with confirmed STEMI treated with primary percutaneous coronary intervention and thrombus aspiration. The primary endpoints were thrombus dimension + thrombus viral load effects on MBG after PPCI. The secondary endpoints during hospitalization were major adverse cardiovascular events (MACEs). MACEs are defined as a composite of cardiovascular death, nonfatal acute AMI, and heart failure during hospitalization. RESULTS: In the study population, ASAP vs. SANE showed a significant greater use of GP IIb/IIIa inhibitors and of heparin (p &lt; 0.05), and a higher thrombus grade 5 and thrombus dimensions (p &lt; 0.05). Interestingly, ASAP vs. SANE patients had lower MBG and left ventricular function (p &lt; 0.001), and 39 (84.9%) of ASAP patients had thrombus specimens positive for SARS-COV-2. After PPCI, a MBG 2-3 was present in only 26.1% of ASAP vs. 97.7% of SANE STEMI patients (p &lt; 0.001). Notably, death and nonfatal AMI were higher in ASAP vs. SANE patients (p &lt; 0.05). Finally, in ASAP STEMI patients the thrombus viral load was a significant determinant of thrombus dimension independently of risk factors (p &lt; 0.005). Thus, multiple logistic regression analyses evidenced that thrombus SARS-CoV-2 infection and dimension were significant predictors of poorer MBG in STEMI patients. Intriguingly, in ASAP patients the female vs. male had higher thrombus viral load (15.53 ± 4.5 vs. 30.25 ± 5.51 CT; p &lt; 0.001), and thrombus dimension (4.62 ± 0.44 vs 4.00 ± 1.28 mm(2); p &lt; 0.001). ASAP vs. SANE patients had a significantly lower in-hospital survival for MACE following PPCI (p &lt; 0.001). CONCLUSIONS: In ASAP patients presenting with STEMI, there is strong evidence towards higher thrombus viral load, dimension, and poorer MBG. These data support the need to reconsider ASAP status as a risk factor that may worsen STEMI outcomes.","author":[{"dropping-particle":"","family":"Marfella","given":"Raffaele","non-dropping-particle":"","parse-names":false,"suffix":""},{"dropping-particle":"","family":"Paolisso","given":"Pasquale","non-dropping-particle":"","parse-names":false,"suffix":""},{"dropping-particle":"","family":"Sardu","given":"Celestino","non-dropping-particle":"","parse-names":false,"suffix":""},{"dropping-particle":"","family":"Palomba","given":"Luciana","non-dropping-particle":"","parse-names":false,"suffix":""},{"dropping-particle":"","family":"D’Onofrio","given":"Nunzia","non-dropping-particle":"","parse-names":false,"suffix":""},{"dropping-particle":"","family":"Cesaro","given":"Arturo","non-dropping-particle":"","parse-names":false,"suffix":""},{"dropping-particle":"","family":"Barbieri","given":"Michelangela","non-dropping-particle":"","parse-names":false,"suffix":""},{"dropping-particle":"","family":"Rizzo","given":"Maria Rosaria","non-dropping-particle":"","parse-names":false,"suffix":""},{"dropping-particle":"","family":"Sasso","given":"Ferdinando Carlo","non-dropping-particle":"","parse-names":false,"suffix":""},{"dropping-particle":"","family":"Scisciola","given":"Lucia","non-dropping-particle":"","parse-names":false,"suffix":""},{"dropping-particle":"","family":"Turriziani","given":"Fabrizio","non-dropping-particle":"","parse-names":false,"suffix":""},{"dropping-particle":"","family":"Galdiero","given":"Massimiliano","non-dropping-particle":"","parse-names":false,"suffix":""},{"dropping-particle":"","family":"Pignataro","given":"Danilo","non-dropping-particle":"","parse-names":false,"suffix":""},{"dropping-particle":"","family":"Minicucci","given":"Fabio","non-dropping-particle":"","parse-names":false,"suffix":""},{"dropping-particle":"","family":"Trotta","given":"Maria Consiglia","non-dropping-particle":"","parse-names":false,"suffix":""},{"dropping-particle":"","family":"D’Amico","given":"Michele","non-dropping-particle":"","parse-names":false,"suffix":""},{"dropping-particle":"","family":"Mauro","given":"Ciro","non-dropping-particle":"","parse-names":false,"suffix":""},{"dropping-particle":"","family":"Calabrò","given":"Paolo","non-dropping-particle":"","parse-names":false,"suffix":""},{"dropping-particle":"","family":"Balestrieri","given":"Maria Luisa","non-dropping-particle":"","parse-names":false,"suffix":""},{"dropping-particle":"","family":"Signioriello","given":"Giuseppe","non-dropping-particle":"","parse-names":false,"suffix":""},{"dropping-particle":"","family":"Barbato","given":"Emanuele","non-dropping-particle":"","parse-names":false,"suffix":""},{"dropping-particle":"","family":"Galdiero","given":"Marilena","non-dropping-particle":"","parse-names":false,"suffix":""},{"dropping-particle":"","family":"Paolisso","given":"Giuseppe","non-dropping-particle":"","parse-names":false,"suffix":""}],"container-title":"Critical Care","id":"ITEM-1","issue":"1","issued":{"date-parts":[["2021","12","24"]]},"language":"eng","page":"217","publisher":"BioMed Central","title":"SARS-COV-2 colonizes coronary thrombus and impairs heart microcirculation bed in asymptomatic SARS-CoV-2 positive subjects with acute myocardial infarction","type":"article-journal","volume":"25"},"uris":["http://www.mendeley.com/documents/?uuid=0c978e53-ce2b-4835-8973-80389b471ba4"]}],"mendeley":{"formattedCitation":"[9]","plainTextFormattedCitation":"[9]","previouslyFormattedCitation":"&lt;sup&gt;9&lt;/sup&gt;"},"properties":{"noteIndex":0},"schema":"https://github.com/citation-style-language/schema/raw/master/csl-citation.json"}</w:instrText>
            </w:r>
            <w:r w:rsidR="00E000CE" w:rsidRPr="006F6CD4">
              <w:rPr>
                <w:rFonts w:ascii="Arial" w:eastAsia="Times New Roman" w:hAnsi="Arial" w:cs="Arial"/>
                <w:color w:val="000000"/>
                <w:sz w:val="22"/>
              </w:rPr>
              <w:fldChar w:fldCharType="separate"/>
            </w:r>
            <w:r w:rsidR="008D40E5" w:rsidRPr="008D40E5">
              <w:rPr>
                <w:rFonts w:ascii="Arial" w:eastAsia="Times New Roman" w:hAnsi="Arial" w:cs="Arial"/>
                <w:noProof/>
                <w:color w:val="000000"/>
                <w:sz w:val="22"/>
              </w:rPr>
              <w:t>[9]</w:t>
            </w:r>
            <w:r w:rsidR="00E000CE" w:rsidRPr="006F6CD4">
              <w:rPr>
                <w:rFonts w:ascii="Arial" w:eastAsia="Times New Roman" w:hAnsi="Arial" w:cs="Arial"/>
                <w:color w:val="000000"/>
                <w:sz w:val="22"/>
              </w:rPr>
              <w:fldChar w:fldCharType="end"/>
            </w:r>
          </w:p>
        </w:tc>
        <w:tc>
          <w:tcPr>
            <w:tcW w:w="435" w:type="pct"/>
          </w:tcPr>
          <w:p w14:paraId="33A3367B" w14:textId="77777777" w:rsidR="00B15E72" w:rsidRPr="006F6CD4" w:rsidRDefault="00B15E72" w:rsidP="006F6CD4">
            <w:pPr>
              <w:pBdr>
                <w:top w:val="nil"/>
                <w:left w:val="nil"/>
                <w:bottom w:val="nil"/>
                <w:right w:val="nil"/>
                <w:between w:val="nil"/>
              </w:pBdr>
              <w:spacing w:before="53" w:line="480" w:lineRule="auto"/>
              <w:ind w:left="106"/>
              <w:rPr>
                <w:rFonts w:ascii="Arial" w:eastAsia="Times New Roman" w:hAnsi="Arial" w:cs="Arial"/>
                <w:color w:val="000000"/>
                <w:sz w:val="22"/>
              </w:rPr>
            </w:pPr>
            <w:r w:rsidRPr="006F6CD4">
              <w:rPr>
                <w:rFonts w:ascii="Arial" w:eastAsia="Times New Roman" w:hAnsi="Arial" w:cs="Arial"/>
                <w:color w:val="000000"/>
                <w:sz w:val="22"/>
              </w:rPr>
              <w:t>1</w:t>
            </w:r>
          </w:p>
        </w:tc>
        <w:tc>
          <w:tcPr>
            <w:tcW w:w="494" w:type="pct"/>
          </w:tcPr>
          <w:p w14:paraId="33A3367C" w14:textId="77777777" w:rsidR="00B15E72" w:rsidRPr="006F6CD4" w:rsidRDefault="00B15E72" w:rsidP="006F6CD4">
            <w:pPr>
              <w:pBdr>
                <w:top w:val="nil"/>
                <w:left w:val="nil"/>
                <w:bottom w:val="nil"/>
                <w:right w:val="nil"/>
                <w:between w:val="nil"/>
              </w:pBdr>
              <w:spacing w:before="53" w:line="480" w:lineRule="auto"/>
              <w:ind w:left="106"/>
              <w:rPr>
                <w:rFonts w:ascii="Arial" w:eastAsia="Times New Roman" w:hAnsi="Arial" w:cs="Arial"/>
                <w:color w:val="000000"/>
                <w:sz w:val="22"/>
              </w:rPr>
            </w:pPr>
            <w:r w:rsidRPr="006F6CD4">
              <w:rPr>
                <w:rFonts w:ascii="Arial" w:eastAsia="Times New Roman" w:hAnsi="Arial" w:cs="Arial"/>
                <w:color w:val="000000"/>
                <w:sz w:val="22"/>
              </w:rPr>
              <w:t>1</w:t>
            </w:r>
          </w:p>
        </w:tc>
        <w:tc>
          <w:tcPr>
            <w:tcW w:w="393" w:type="pct"/>
          </w:tcPr>
          <w:p w14:paraId="33A3367D" w14:textId="77777777" w:rsidR="00B15E72" w:rsidRPr="006F6CD4" w:rsidRDefault="00B15E72" w:rsidP="006F6CD4">
            <w:pPr>
              <w:pBdr>
                <w:top w:val="nil"/>
                <w:left w:val="nil"/>
                <w:bottom w:val="nil"/>
                <w:right w:val="nil"/>
                <w:between w:val="nil"/>
              </w:pBdr>
              <w:spacing w:before="53" w:line="480" w:lineRule="auto"/>
              <w:ind w:left="105"/>
              <w:rPr>
                <w:rFonts w:ascii="Arial" w:eastAsia="Times New Roman" w:hAnsi="Arial" w:cs="Arial"/>
                <w:color w:val="000000"/>
                <w:sz w:val="22"/>
              </w:rPr>
            </w:pPr>
            <w:r w:rsidRPr="006F6CD4">
              <w:rPr>
                <w:rFonts w:ascii="Arial" w:eastAsia="Times New Roman" w:hAnsi="Arial" w:cs="Arial"/>
                <w:color w:val="000000"/>
                <w:sz w:val="22"/>
              </w:rPr>
              <w:t>1</w:t>
            </w:r>
          </w:p>
        </w:tc>
        <w:tc>
          <w:tcPr>
            <w:tcW w:w="632" w:type="pct"/>
            <w:tcBorders>
              <w:right w:val="single" w:sz="6" w:space="0" w:color="000000"/>
            </w:tcBorders>
          </w:tcPr>
          <w:p w14:paraId="33A3367E" w14:textId="77777777" w:rsidR="00B15E72" w:rsidRPr="006F6CD4" w:rsidRDefault="00B15E72" w:rsidP="006F6CD4">
            <w:pPr>
              <w:pBdr>
                <w:top w:val="nil"/>
                <w:left w:val="nil"/>
                <w:bottom w:val="nil"/>
                <w:right w:val="nil"/>
                <w:between w:val="nil"/>
              </w:pBdr>
              <w:spacing w:before="53" w:line="480" w:lineRule="auto"/>
              <w:ind w:left="99"/>
              <w:rPr>
                <w:rFonts w:ascii="Arial" w:eastAsia="Times New Roman" w:hAnsi="Arial" w:cs="Arial"/>
                <w:color w:val="000000"/>
                <w:sz w:val="22"/>
              </w:rPr>
            </w:pPr>
            <w:r w:rsidRPr="006F6CD4">
              <w:rPr>
                <w:rFonts w:ascii="Arial" w:eastAsia="Times New Roman" w:hAnsi="Arial" w:cs="Arial"/>
                <w:color w:val="000000"/>
                <w:sz w:val="22"/>
              </w:rPr>
              <w:t>1</w:t>
            </w:r>
          </w:p>
        </w:tc>
        <w:tc>
          <w:tcPr>
            <w:tcW w:w="462" w:type="pct"/>
            <w:tcBorders>
              <w:left w:val="single" w:sz="6" w:space="0" w:color="000000"/>
            </w:tcBorders>
          </w:tcPr>
          <w:p w14:paraId="33A3367F" w14:textId="77777777" w:rsidR="00B15E72" w:rsidRPr="006F6CD4" w:rsidRDefault="00B15E72" w:rsidP="006F6CD4">
            <w:pPr>
              <w:pBdr>
                <w:top w:val="nil"/>
                <w:left w:val="nil"/>
                <w:bottom w:val="nil"/>
                <w:right w:val="nil"/>
                <w:between w:val="nil"/>
              </w:pBdr>
              <w:spacing w:before="53" w:line="480" w:lineRule="auto"/>
              <w:ind w:left="93"/>
              <w:rPr>
                <w:rFonts w:ascii="Arial" w:eastAsia="Times New Roman" w:hAnsi="Arial" w:cs="Arial"/>
                <w:color w:val="000000"/>
                <w:sz w:val="22"/>
              </w:rPr>
            </w:pPr>
            <w:r w:rsidRPr="006F6CD4">
              <w:rPr>
                <w:rFonts w:ascii="Arial" w:eastAsia="Times New Roman" w:hAnsi="Arial" w:cs="Arial"/>
                <w:color w:val="000000"/>
                <w:sz w:val="22"/>
              </w:rPr>
              <w:t>1</w:t>
            </w:r>
          </w:p>
        </w:tc>
        <w:tc>
          <w:tcPr>
            <w:tcW w:w="519" w:type="pct"/>
            <w:tcBorders>
              <w:right w:val="single" w:sz="6" w:space="0" w:color="000000"/>
            </w:tcBorders>
          </w:tcPr>
          <w:p w14:paraId="33A33680" w14:textId="77777777" w:rsidR="00B15E72" w:rsidRPr="006F6CD4" w:rsidRDefault="00B15E72" w:rsidP="006F6CD4">
            <w:pPr>
              <w:pBdr>
                <w:top w:val="nil"/>
                <w:left w:val="nil"/>
                <w:bottom w:val="nil"/>
                <w:right w:val="nil"/>
                <w:between w:val="nil"/>
              </w:pBdr>
              <w:spacing w:before="53" w:line="480" w:lineRule="auto"/>
              <w:ind w:left="96"/>
              <w:rPr>
                <w:rFonts w:ascii="Arial" w:eastAsia="Times New Roman" w:hAnsi="Arial" w:cs="Arial"/>
                <w:color w:val="000000"/>
                <w:sz w:val="22"/>
              </w:rPr>
            </w:pPr>
            <w:r w:rsidRPr="006F6CD4">
              <w:rPr>
                <w:rFonts w:ascii="Arial" w:eastAsia="Times New Roman" w:hAnsi="Arial" w:cs="Arial"/>
                <w:color w:val="000000"/>
                <w:sz w:val="22"/>
              </w:rPr>
              <w:t>1</w:t>
            </w:r>
          </w:p>
        </w:tc>
        <w:tc>
          <w:tcPr>
            <w:tcW w:w="440" w:type="pct"/>
            <w:tcBorders>
              <w:left w:val="single" w:sz="6" w:space="0" w:color="000000"/>
            </w:tcBorders>
          </w:tcPr>
          <w:p w14:paraId="33A33681" w14:textId="77777777" w:rsidR="00B15E72" w:rsidRPr="006F6CD4" w:rsidRDefault="00B15E72" w:rsidP="006F6CD4">
            <w:pPr>
              <w:pBdr>
                <w:top w:val="nil"/>
                <w:left w:val="nil"/>
                <w:bottom w:val="nil"/>
                <w:right w:val="nil"/>
                <w:between w:val="nil"/>
              </w:pBdr>
              <w:spacing w:before="53" w:line="480" w:lineRule="auto"/>
              <w:ind w:left="88"/>
              <w:rPr>
                <w:rFonts w:ascii="Arial" w:eastAsia="Times New Roman" w:hAnsi="Arial" w:cs="Arial"/>
                <w:color w:val="000000"/>
                <w:sz w:val="22"/>
              </w:rPr>
            </w:pPr>
            <w:r w:rsidRPr="006F6CD4">
              <w:rPr>
                <w:rFonts w:ascii="Arial" w:eastAsia="Times New Roman" w:hAnsi="Arial" w:cs="Arial"/>
                <w:color w:val="000000"/>
                <w:sz w:val="22"/>
              </w:rPr>
              <w:t>0</w:t>
            </w:r>
          </w:p>
        </w:tc>
        <w:tc>
          <w:tcPr>
            <w:tcW w:w="343" w:type="pct"/>
          </w:tcPr>
          <w:p w14:paraId="33A33682" w14:textId="77777777" w:rsidR="00B15E72" w:rsidRPr="006F6CD4" w:rsidRDefault="00B15E72" w:rsidP="006F6CD4">
            <w:pPr>
              <w:pBdr>
                <w:top w:val="nil"/>
                <w:left w:val="nil"/>
                <w:bottom w:val="nil"/>
                <w:right w:val="nil"/>
                <w:between w:val="nil"/>
              </w:pBdr>
              <w:spacing w:before="53" w:line="480" w:lineRule="auto"/>
              <w:ind w:left="95"/>
              <w:rPr>
                <w:rFonts w:ascii="Arial" w:eastAsia="Times New Roman" w:hAnsi="Arial" w:cs="Arial"/>
                <w:color w:val="000000"/>
                <w:sz w:val="22"/>
              </w:rPr>
            </w:pPr>
            <w:r w:rsidRPr="006F6CD4">
              <w:rPr>
                <w:rFonts w:ascii="Arial" w:eastAsia="Times New Roman" w:hAnsi="Arial" w:cs="Arial"/>
                <w:color w:val="000000"/>
                <w:sz w:val="22"/>
              </w:rPr>
              <w:t>1</w:t>
            </w:r>
          </w:p>
        </w:tc>
        <w:tc>
          <w:tcPr>
            <w:tcW w:w="344" w:type="pct"/>
          </w:tcPr>
          <w:p w14:paraId="33A33683" w14:textId="77777777" w:rsidR="00B15E72" w:rsidRPr="006F6CD4" w:rsidRDefault="00B15E72" w:rsidP="006F6CD4">
            <w:pPr>
              <w:pBdr>
                <w:top w:val="nil"/>
                <w:left w:val="nil"/>
                <w:bottom w:val="nil"/>
                <w:right w:val="nil"/>
                <w:between w:val="nil"/>
              </w:pBdr>
              <w:spacing w:before="53" w:line="480" w:lineRule="auto"/>
              <w:ind w:left="87"/>
              <w:rPr>
                <w:rFonts w:ascii="Arial" w:eastAsia="Times New Roman" w:hAnsi="Arial" w:cs="Arial"/>
                <w:color w:val="000000"/>
                <w:sz w:val="22"/>
              </w:rPr>
            </w:pPr>
            <w:r w:rsidRPr="006F6CD4">
              <w:rPr>
                <w:rFonts w:ascii="Arial" w:eastAsia="Times New Roman" w:hAnsi="Arial" w:cs="Arial"/>
                <w:color w:val="000000"/>
                <w:sz w:val="22"/>
              </w:rPr>
              <w:t>1</w:t>
            </w:r>
          </w:p>
        </w:tc>
        <w:tc>
          <w:tcPr>
            <w:tcW w:w="411" w:type="pct"/>
          </w:tcPr>
          <w:p w14:paraId="33A33684" w14:textId="77777777" w:rsidR="00B15E72" w:rsidRPr="006F6CD4" w:rsidRDefault="00B15E72" w:rsidP="006F6CD4">
            <w:pPr>
              <w:pBdr>
                <w:top w:val="nil"/>
                <w:left w:val="nil"/>
                <w:bottom w:val="nil"/>
                <w:right w:val="nil"/>
                <w:between w:val="nil"/>
              </w:pBdr>
              <w:spacing w:before="53" w:line="480" w:lineRule="auto"/>
              <w:ind w:left="88"/>
              <w:rPr>
                <w:rFonts w:ascii="Arial" w:eastAsia="Times New Roman" w:hAnsi="Arial" w:cs="Arial"/>
                <w:b/>
                <w:color w:val="000000"/>
                <w:sz w:val="22"/>
              </w:rPr>
            </w:pPr>
            <w:r w:rsidRPr="006F6CD4">
              <w:rPr>
                <w:rFonts w:ascii="Arial" w:eastAsia="Times New Roman" w:hAnsi="Arial" w:cs="Arial"/>
                <w:b/>
                <w:color w:val="000000"/>
                <w:sz w:val="22"/>
              </w:rPr>
              <w:t>8</w:t>
            </w:r>
          </w:p>
        </w:tc>
      </w:tr>
      <w:tr w:rsidR="001C5052" w:rsidRPr="006F6CD4" w14:paraId="33A33691" w14:textId="77777777" w:rsidTr="00B15E72">
        <w:trPr>
          <w:trHeight w:val="277"/>
        </w:trPr>
        <w:tc>
          <w:tcPr>
            <w:tcW w:w="527" w:type="pct"/>
          </w:tcPr>
          <w:p w14:paraId="33A33686" w14:textId="007CA5C6" w:rsidR="00B15E72" w:rsidRPr="006F6CD4" w:rsidRDefault="00B15E72" w:rsidP="006F6CD4">
            <w:pPr>
              <w:pBdr>
                <w:top w:val="nil"/>
                <w:left w:val="nil"/>
                <w:bottom w:val="nil"/>
                <w:right w:val="nil"/>
                <w:between w:val="nil"/>
              </w:pBdr>
              <w:spacing w:before="53" w:line="480" w:lineRule="auto"/>
              <w:ind w:left="106"/>
              <w:rPr>
                <w:rFonts w:ascii="Arial" w:eastAsia="Times New Roman" w:hAnsi="Arial" w:cs="Arial"/>
                <w:color w:val="000000"/>
                <w:sz w:val="22"/>
              </w:rPr>
            </w:pPr>
            <w:r w:rsidRPr="006F6CD4">
              <w:rPr>
                <w:rFonts w:ascii="Arial" w:eastAsia="Times New Roman" w:hAnsi="Arial" w:cs="Arial"/>
                <w:color w:val="000000"/>
                <w:sz w:val="22"/>
              </w:rPr>
              <w:t>Rodriguez–Leor et al, 2021</w:t>
            </w:r>
            <w:r w:rsidR="00E000CE" w:rsidRPr="006F6CD4">
              <w:rPr>
                <w:rFonts w:ascii="Arial" w:eastAsia="Times New Roman" w:hAnsi="Arial" w:cs="Arial"/>
                <w:color w:val="000000"/>
                <w:sz w:val="22"/>
              </w:rPr>
              <w:fldChar w:fldCharType="begin" w:fldLock="1"/>
            </w:r>
            <w:r w:rsidR="008D40E5">
              <w:rPr>
                <w:rFonts w:ascii="Arial" w:eastAsia="Times New Roman" w:hAnsi="Arial" w:cs="Arial"/>
                <w:color w:val="000000"/>
                <w:sz w:val="22"/>
              </w:rPr>
              <w:instrText>ADDIN CSL_CITATION {"citationItems":[{"id":"ITEM-1","itemData":{"DOI":"10.4244/EIJ-D-20-00935","ISSN":"1774-024X","abstract":"Aims: The aim of this study was to assess clinical and prognosis differences in patients with COVID-19 and STEMI. Methods and results: Using a nationwide registry of consecutive patients managed within 42 specific STEMI care networks, we compared patient and procedure characteristics and in-hospital outcomes in two different cohorts, according to whether or not they had COVID-19. Among 1,010 consecutive STEMI patients, 91 were identified as having COVID-19 (9.0%). With the exception of smoking status (more frequent in non-COVID-19 patients) and previous coronary artery disease (more frequent in COVID-19 patients), clinical characteristics were similar between the groups, but COVID-19 patients had more heart failure on arrival (31.9% vs 18.4%, p=0.002). Mechanical thrombectomy (44% vs 33.5%, p=0.046) and GP IIb/IIIa inhibitor administration (20.9% vs 11.2%, p=0.007) were more frequent in COVID-19 patients, who had an increased in-hospital mortality (23.1% vs 5.7%, p&lt;0.0001), that remained consistent after adjustment for age, sex, Killip class and ischaemic time (OR 4.85, 95% CI: 2.04-11.51; p&lt;0.001). COVID-19 patients had an increase of stent thrombosis (3.3% vs 0.8%, p=0.020) and cardiogenic shock development after PCI (9.9% vs 3.8%, p=0.007). Conclusions: Our study revealed a significant increase in in-hospital mortality, stent thrombosis and cardiogenic shock development after PCI in patients with STEMI and COVID-19 in comparison with contemporaneous non-COVID-19 STEMI patients. ￼ Visual summary. In-hospital outcomes of COVID-19 ST-elevation myocardial infarction patients.","author":[{"dropping-particle":"","family":"Rodriguez-Leor","given":"Oriol","non-dropping-particle":"","parse-names":false,"suffix":""},{"dropping-particle":"","family":"Cid Alvarez","given":"Ana Belen","non-dropping-particle":"","parse-names":false,"suffix":""},{"dropping-particle":"","family":"Pérez de Prado","given":"Armando","non-dropping-particle":"","parse-names":false,"suffix":""},{"dropping-particle":"","family":"Rossello","given":"Xavier","non-dropping-particle":"","parse-names":false,"suffix":""},{"dropping-particle":"","family":"Ojeda","given":"Soledad","non-dropping-particle":"","parse-names":false,"suffix":""},{"dropping-particle":"","family":"Serrador","given":"Ana","non-dropping-particle":"","parse-names":false,"suffix":""},{"dropping-particle":"","family":"López-Palop","given":"Ramon","non-dropping-particle":"","parse-names":false,"suffix":""},{"dropping-particle":"","family":"Martin-Moreiras","given":"Javier","non-dropping-particle":"","parse-names":false,"suffix":""},{"dropping-particle":"","family":"Rumoroso","given":"Jose Ramon","non-dropping-particle":"","parse-names":false,"suffix":""},{"dropping-particle":"","family":"Cequier","given":"Angel","non-dropping-particle":"","parse-names":false,"suffix":""},{"dropping-particle":"","family":"Ibáñez","given":"Borja","non-dropping-particle":"","parse-names":false,"suffix":""},{"dropping-particle":"","family":"Cruz-González","given":"Ignatio","non-dropping-particle":"","parse-names":false,"suffix":""},{"dropping-particle":"","family":"Romaguera","given":"Rafael","non-dropping-particle":"","parse-names":false,"suffix":""},{"dropping-particle":"","family":"Moreno","given":"Raúl","non-dropping-particle":"","parse-names":false,"suffix":""}],"container-title":"EuroIntervention","id":"ITEM-1","issue":"17","issued":{"date-parts":[["2021","4"]]},"page":"1426-1433","publisher":"Europa Digital &amp;amp; Publishing SE - Coronary interventions - Mini focus on STEMI","title":"In-hospital outcomes of COVID-19 ST-elevation myocardial infarction patients","type":"article-journal","volume":"16"},"uris":["http://www.mendeley.com/documents/?uuid=8267ce55-202d-4b79-9b02-9e9ed440a9d9"]}],"mendeley":{"formattedCitation":"[10]","plainTextFormattedCitation":"[10]","previouslyFormattedCitation":"&lt;sup&gt;10&lt;/sup&gt;"},"properties":{"noteIndex":0},"schema":"https://github.com/citation-style-language/schema/raw/master/csl-citation.json"}</w:instrText>
            </w:r>
            <w:r w:rsidR="00E000CE" w:rsidRPr="006F6CD4">
              <w:rPr>
                <w:rFonts w:ascii="Arial" w:eastAsia="Times New Roman" w:hAnsi="Arial" w:cs="Arial"/>
                <w:color w:val="000000"/>
                <w:sz w:val="22"/>
              </w:rPr>
              <w:fldChar w:fldCharType="separate"/>
            </w:r>
            <w:r w:rsidR="008D40E5" w:rsidRPr="008D40E5">
              <w:rPr>
                <w:rFonts w:ascii="Arial" w:eastAsia="Times New Roman" w:hAnsi="Arial" w:cs="Arial"/>
                <w:noProof/>
                <w:color w:val="000000"/>
                <w:sz w:val="22"/>
              </w:rPr>
              <w:t>[10]</w:t>
            </w:r>
            <w:r w:rsidR="00E000CE" w:rsidRPr="006F6CD4">
              <w:rPr>
                <w:rFonts w:ascii="Arial" w:eastAsia="Times New Roman" w:hAnsi="Arial" w:cs="Arial"/>
                <w:color w:val="000000"/>
                <w:sz w:val="22"/>
              </w:rPr>
              <w:fldChar w:fldCharType="end"/>
            </w:r>
          </w:p>
        </w:tc>
        <w:tc>
          <w:tcPr>
            <w:tcW w:w="435" w:type="pct"/>
          </w:tcPr>
          <w:p w14:paraId="33A33687" w14:textId="77777777" w:rsidR="00B15E72" w:rsidRPr="006F6CD4" w:rsidRDefault="00B15E72" w:rsidP="006F6CD4">
            <w:pPr>
              <w:pBdr>
                <w:top w:val="nil"/>
                <w:left w:val="nil"/>
                <w:bottom w:val="nil"/>
                <w:right w:val="nil"/>
                <w:between w:val="nil"/>
              </w:pBdr>
              <w:spacing w:before="53" w:line="480" w:lineRule="auto"/>
              <w:ind w:left="106"/>
              <w:rPr>
                <w:rFonts w:ascii="Arial" w:eastAsia="Times New Roman" w:hAnsi="Arial" w:cs="Arial"/>
                <w:color w:val="000000"/>
                <w:sz w:val="22"/>
              </w:rPr>
            </w:pPr>
            <w:r w:rsidRPr="006F6CD4">
              <w:rPr>
                <w:rFonts w:ascii="Arial" w:eastAsia="Times New Roman" w:hAnsi="Arial" w:cs="Arial"/>
                <w:sz w:val="22"/>
              </w:rPr>
              <w:t>1</w:t>
            </w:r>
          </w:p>
        </w:tc>
        <w:tc>
          <w:tcPr>
            <w:tcW w:w="494" w:type="pct"/>
          </w:tcPr>
          <w:p w14:paraId="33A33688" w14:textId="77777777" w:rsidR="00B15E72" w:rsidRPr="006F6CD4" w:rsidRDefault="00B15E72" w:rsidP="006F6CD4">
            <w:pPr>
              <w:pBdr>
                <w:top w:val="nil"/>
                <w:left w:val="nil"/>
                <w:bottom w:val="nil"/>
                <w:right w:val="nil"/>
                <w:between w:val="nil"/>
              </w:pBdr>
              <w:spacing w:before="53" w:line="480" w:lineRule="auto"/>
              <w:ind w:left="106"/>
              <w:rPr>
                <w:rFonts w:ascii="Arial" w:eastAsia="Times New Roman" w:hAnsi="Arial" w:cs="Arial"/>
                <w:color w:val="000000"/>
                <w:sz w:val="22"/>
              </w:rPr>
            </w:pPr>
            <w:r w:rsidRPr="006F6CD4">
              <w:rPr>
                <w:rFonts w:ascii="Arial" w:eastAsia="Times New Roman" w:hAnsi="Arial" w:cs="Arial"/>
                <w:sz w:val="22"/>
              </w:rPr>
              <w:t>1</w:t>
            </w:r>
          </w:p>
        </w:tc>
        <w:tc>
          <w:tcPr>
            <w:tcW w:w="393" w:type="pct"/>
          </w:tcPr>
          <w:p w14:paraId="33A33689" w14:textId="77777777" w:rsidR="00B15E72" w:rsidRPr="006F6CD4" w:rsidRDefault="00B15E72" w:rsidP="006F6CD4">
            <w:pPr>
              <w:pBdr>
                <w:top w:val="nil"/>
                <w:left w:val="nil"/>
                <w:bottom w:val="nil"/>
                <w:right w:val="nil"/>
                <w:between w:val="nil"/>
              </w:pBdr>
              <w:spacing w:before="53" w:line="480" w:lineRule="auto"/>
              <w:ind w:left="105"/>
              <w:rPr>
                <w:rFonts w:ascii="Arial" w:eastAsia="Times New Roman" w:hAnsi="Arial" w:cs="Arial"/>
                <w:color w:val="000000"/>
                <w:sz w:val="22"/>
              </w:rPr>
            </w:pPr>
            <w:r w:rsidRPr="006F6CD4">
              <w:rPr>
                <w:rFonts w:ascii="Arial" w:eastAsia="Times New Roman" w:hAnsi="Arial" w:cs="Arial"/>
                <w:sz w:val="22"/>
              </w:rPr>
              <w:t>1</w:t>
            </w:r>
          </w:p>
        </w:tc>
        <w:tc>
          <w:tcPr>
            <w:tcW w:w="632" w:type="pct"/>
            <w:tcBorders>
              <w:right w:val="single" w:sz="6" w:space="0" w:color="000000"/>
            </w:tcBorders>
          </w:tcPr>
          <w:p w14:paraId="33A3368A" w14:textId="77777777" w:rsidR="00B15E72" w:rsidRPr="006F6CD4" w:rsidRDefault="00B15E72" w:rsidP="006F6CD4">
            <w:pPr>
              <w:pBdr>
                <w:top w:val="nil"/>
                <w:left w:val="nil"/>
                <w:bottom w:val="nil"/>
                <w:right w:val="nil"/>
                <w:between w:val="nil"/>
              </w:pBdr>
              <w:spacing w:before="53" w:line="480" w:lineRule="auto"/>
              <w:ind w:left="99"/>
              <w:rPr>
                <w:rFonts w:ascii="Arial" w:eastAsia="Times New Roman" w:hAnsi="Arial" w:cs="Arial"/>
                <w:color w:val="000000"/>
                <w:sz w:val="22"/>
              </w:rPr>
            </w:pPr>
            <w:r w:rsidRPr="006F6CD4">
              <w:rPr>
                <w:rFonts w:ascii="Arial" w:eastAsia="Times New Roman" w:hAnsi="Arial" w:cs="Arial"/>
                <w:sz w:val="22"/>
              </w:rPr>
              <w:t>1</w:t>
            </w:r>
          </w:p>
        </w:tc>
        <w:tc>
          <w:tcPr>
            <w:tcW w:w="462" w:type="pct"/>
            <w:tcBorders>
              <w:left w:val="single" w:sz="6" w:space="0" w:color="000000"/>
            </w:tcBorders>
          </w:tcPr>
          <w:p w14:paraId="33A3368B" w14:textId="77777777" w:rsidR="00B15E72" w:rsidRPr="006F6CD4" w:rsidRDefault="00B15E72" w:rsidP="006F6CD4">
            <w:pPr>
              <w:pBdr>
                <w:top w:val="nil"/>
                <w:left w:val="nil"/>
                <w:bottom w:val="nil"/>
                <w:right w:val="nil"/>
                <w:between w:val="nil"/>
              </w:pBdr>
              <w:spacing w:before="53" w:line="480" w:lineRule="auto"/>
              <w:ind w:left="93"/>
              <w:rPr>
                <w:rFonts w:ascii="Arial" w:eastAsia="Times New Roman" w:hAnsi="Arial" w:cs="Arial"/>
                <w:color w:val="000000"/>
                <w:sz w:val="22"/>
              </w:rPr>
            </w:pPr>
            <w:r w:rsidRPr="006F6CD4">
              <w:rPr>
                <w:rFonts w:ascii="Arial" w:eastAsia="Times New Roman" w:hAnsi="Arial" w:cs="Arial"/>
                <w:sz w:val="22"/>
              </w:rPr>
              <w:t>1</w:t>
            </w:r>
          </w:p>
        </w:tc>
        <w:tc>
          <w:tcPr>
            <w:tcW w:w="519" w:type="pct"/>
            <w:tcBorders>
              <w:right w:val="single" w:sz="6" w:space="0" w:color="000000"/>
            </w:tcBorders>
          </w:tcPr>
          <w:p w14:paraId="33A3368C" w14:textId="77777777" w:rsidR="00B15E72" w:rsidRPr="006F6CD4" w:rsidRDefault="00B15E72" w:rsidP="006F6CD4">
            <w:pPr>
              <w:pBdr>
                <w:top w:val="nil"/>
                <w:left w:val="nil"/>
                <w:bottom w:val="nil"/>
                <w:right w:val="nil"/>
                <w:between w:val="nil"/>
              </w:pBdr>
              <w:spacing w:before="53" w:line="480" w:lineRule="auto"/>
              <w:ind w:left="96"/>
              <w:rPr>
                <w:rFonts w:ascii="Arial" w:eastAsia="Times New Roman" w:hAnsi="Arial" w:cs="Arial"/>
                <w:color w:val="000000"/>
                <w:sz w:val="22"/>
              </w:rPr>
            </w:pPr>
            <w:r w:rsidRPr="006F6CD4">
              <w:rPr>
                <w:rFonts w:ascii="Arial" w:eastAsia="Times New Roman" w:hAnsi="Arial" w:cs="Arial"/>
                <w:sz w:val="22"/>
              </w:rPr>
              <w:t>1</w:t>
            </w:r>
          </w:p>
        </w:tc>
        <w:tc>
          <w:tcPr>
            <w:tcW w:w="440" w:type="pct"/>
            <w:tcBorders>
              <w:left w:val="single" w:sz="6" w:space="0" w:color="000000"/>
            </w:tcBorders>
          </w:tcPr>
          <w:p w14:paraId="33A3368D" w14:textId="77777777" w:rsidR="00B15E72" w:rsidRPr="006F6CD4" w:rsidRDefault="00B15E72" w:rsidP="006F6CD4">
            <w:pPr>
              <w:pBdr>
                <w:top w:val="nil"/>
                <w:left w:val="nil"/>
                <w:bottom w:val="nil"/>
                <w:right w:val="nil"/>
                <w:between w:val="nil"/>
              </w:pBdr>
              <w:spacing w:before="53" w:line="480" w:lineRule="auto"/>
              <w:ind w:left="88"/>
              <w:rPr>
                <w:rFonts w:ascii="Arial" w:eastAsia="Times New Roman" w:hAnsi="Arial" w:cs="Arial"/>
                <w:color w:val="000000"/>
                <w:sz w:val="22"/>
              </w:rPr>
            </w:pPr>
            <w:r w:rsidRPr="006F6CD4">
              <w:rPr>
                <w:rFonts w:ascii="Arial" w:eastAsia="Times New Roman" w:hAnsi="Arial" w:cs="Arial"/>
                <w:sz w:val="22"/>
              </w:rPr>
              <w:t>1</w:t>
            </w:r>
          </w:p>
        </w:tc>
        <w:tc>
          <w:tcPr>
            <w:tcW w:w="343" w:type="pct"/>
          </w:tcPr>
          <w:p w14:paraId="33A3368E" w14:textId="77777777" w:rsidR="00B15E72" w:rsidRPr="006F6CD4" w:rsidRDefault="00B15E72" w:rsidP="006F6CD4">
            <w:pPr>
              <w:pBdr>
                <w:top w:val="nil"/>
                <w:left w:val="nil"/>
                <w:bottom w:val="nil"/>
                <w:right w:val="nil"/>
                <w:between w:val="nil"/>
              </w:pBdr>
              <w:spacing w:before="53" w:line="480" w:lineRule="auto"/>
              <w:ind w:left="95"/>
              <w:rPr>
                <w:rFonts w:ascii="Arial" w:eastAsia="Times New Roman" w:hAnsi="Arial" w:cs="Arial"/>
                <w:color w:val="000000"/>
                <w:sz w:val="22"/>
              </w:rPr>
            </w:pPr>
            <w:r w:rsidRPr="006F6CD4">
              <w:rPr>
                <w:rFonts w:ascii="Arial" w:eastAsia="Times New Roman" w:hAnsi="Arial" w:cs="Arial"/>
                <w:sz w:val="22"/>
              </w:rPr>
              <w:t>1</w:t>
            </w:r>
          </w:p>
        </w:tc>
        <w:tc>
          <w:tcPr>
            <w:tcW w:w="344" w:type="pct"/>
          </w:tcPr>
          <w:p w14:paraId="33A3368F" w14:textId="77777777" w:rsidR="00B15E72" w:rsidRPr="006F6CD4" w:rsidRDefault="00B15E72" w:rsidP="006F6CD4">
            <w:pPr>
              <w:pBdr>
                <w:top w:val="nil"/>
                <w:left w:val="nil"/>
                <w:bottom w:val="nil"/>
                <w:right w:val="nil"/>
                <w:between w:val="nil"/>
              </w:pBdr>
              <w:spacing w:before="53" w:line="480" w:lineRule="auto"/>
              <w:ind w:left="87"/>
              <w:rPr>
                <w:rFonts w:ascii="Arial" w:eastAsia="Times New Roman" w:hAnsi="Arial" w:cs="Arial"/>
                <w:color w:val="000000"/>
                <w:sz w:val="22"/>
              </w:rPr>
            </w:pPr>
            <w:r w:rsidRPr="006F6CD4">
              <w:rPr>
                <w:rFonts w:ascii="Arial" w:eastAsia="Times New Roman" w:hAnsi="Arial" w:cs="Arial"/>
                <w:sz w:val="22"/>
              </w:rPr>
              <w:t>1</w:t>
            </w:r>
          </w:p>
        </w:tc>
        <w:tc>
          <w:tcPr>
            <w:tcW w:w="411" w:type="pct"/>
          </w:tcPr>
          <w:p w14:paraId="33A33690" w14:textId="77777777" w:rsidR="00B15E72" w:rsidRPr="006F6CD4" w:rsidRDefault="00B15E72" w:rsidP="006F6CD4">
            <w:pPr>
              <w:pBdr>
                <w:top w:val="nil"/>
                <w:left w:val="nil"/>
                <w:bottom w:val="nil"/>
                <w:right w:val="nil"/>
                <w:between w:val="nil"/>
              </w:pBdr>
              <w:spacing w:before="53" w:line="480" w:lineRule="auto"/>
              <w:ind w:left="88"/>
              <w:rPr>
                <w:rFonts w:ascii="Arial" w:eastAsia="Times New Roman" w:hAnsi="Arial" w:cs="Arial"/>
                <w:b/>
                <w:color w:val="000000"/>
                <w:sz w:val="22"/>
              </w:rPr>
            </w:pPr>
            <w:r w:rsidRPr="006F6CD4">
              <w:rPr>
                <w:rFonts w:ascii="Arial" w:eastAsia="Times New Roman" w:hAnsi="Arial" w:cs="Arial"/>
                <w:b/>
                <w:sz w:val="22"/>
              </w:rPr>
              <w:t>9</w:t>
            </w:r>
          </w:p>
        </w:tc>
      </w:tr>
      <w:tr w:rsidR="001C5052" w:rsidRPr="006F6CD4" w14:paraId="33A3369D" w14:textId="77777777" w:rsidTr="00B15E72">
        <w:trPr>
          <w:trHeight w:val="554"/>
        </w:trPr>
        <w:tc>
          <w:tcPr>
            <w:tcW w:w="527" w:type="pct"/>
          </w:tcPr>
          <w:p w14:paraId="33A33692" w14:textId="1282BDC6" w:rsidR="00B15E72" w:rsidRPr="006F6CD4" w:rsidRDefault="00B15E72" w:rsidP="006F6CD4">
            <w:pPr>
              <w:pBdr>
                <w:top w:val="nil"/>
                <w:left w:val="nil"/>
                <w:bottom w:val="nil"/>
                <w:right w:val="nil"/>
                <w:between w:val="nil"/>
              </w:pBdr>
              <w:spacing w:before="53" w:line="480" w:lineRule="auto"/>
              <w:ind w:left="107"/>
              <w:rPr>
                <w:rFonts w:ascii="Arial" w:eastAsia="Times New Roman" w:hAnsi="Arial" w:cs="Arial"/>
                <w:color w:val="000000"/>
                <w:sz w:val="22"/>
              </w:rPr>
            </w:pPr>
            <w:r w:rsidRPr="006F6CD4">
              <w:rPr>
                <w:rFonts w:ascii="Arial" w:eastAsia="Times New Roman" w:hAnsi="Arial" w:cs="Arial"/>
                <w:color w:val="000000"/>
                <w:sz w:val="22"/>
              </w:rPr>
              <w:t>Saad et al, 2021</w:t>
            </w:r>
            <w:r w:rsidR="00E000CE" w:rsidRPr="006F6CD4">
              <w:rPr>
                <w:rFonts w:ascii="Arial" w:eastAsia="Times New Roman" w:hAnsi="Arial" w:cs="Arial"/>
                <w:color w:val="000000"/>
                <w:sz w:val="22"/>
              </w:rPr>
              <w:fldChar w:fldCharType="begin" w:fldLock="1"/>
            </w:r>
            <w:r w:rsidR="008D40E5">
              <w:rPr>
                <w:rFonts w:ascii="Arial" w:eastAsia="Times New Roman" w:hAnsi="Arial" w:cs="Arial"/>
                <w:color w:val="000000"/>
                <w:sz w:val="22"/>
              </w:rPr>
              <w:instrText>ADDIN CSL_CITATION {"citationItems":[{"id":"ITEM-1","itemData":{"DOI":"10.1001/jama.2021.18890","ISSN":"0098-7484","abstract":"There has been limited research on patients with ST-segment elevation myocardial infarction (STEMI) and COVID-19.To compare characteristics, treatment, and outcomes of patients with STEMI with vs without COVID-19 infection.Retrospective cohort study of consecutive adult patients admitted between January 2019 and December 2020 (end of follow-up in January 2021) with out-of-hospital or in-hospital STEMI at 509 US centers in the Vizient Clinical Database (N = 80 449).Active COVID-19 infection present during the same encounter.The primary outcome was in-hospital mortality. Patients were propensity matched on the likelihood of COVID-19 diagnosis. In the main analysis, patients with COVID-19 were compared with those without COVID-19 during the previous calendar year.The out-of-hospital STEMI group included 76 434 patients (551 with COVID-19 vs 2755 without COVID-19 after matching) from 370 centers (64.1% aged 51-74 years; 70.3% men). The in-hospital STEMI group included 4015 patients (252 with COVID-19 vs 756 without COVID-19 after matching) from 353 centers (58.3% aged 51-74 years; 60.7% men). In patients with out-of-hospital STEMI, there was no significant difference in the likelihood of undergoing primary percutaneous coronary intervention by COVID-19 status; patients with in-hospital STEMI and COVID-19 were significantly less likely to undergo invasive diagnostic or therapeutic coronary procedures than those without COVID-19. Among patients with out-of-hospital STEMI and COVID-19 vs out-of-hospital STEMI without COVID-19, the rates of in-hospital mortality were 15.2% vs 11.2% (absolute difference, 4.1% [95% CI, 1.1%-7.0%]; P = .007). Among patients with in-hospital STEMI and COVID-19 vs in-hospital STEMI without COVID-19, the rates of in-hospital mortality were 78.5% vs 46.1% (absolute difference, 32.4% [95% CI, 29.0%-35.9%]; P &lt; .001).Among patients with out-of-hospital or in-hospital STEMI, a concomitant diagnosis of COVID-19 was significantly associated with higher rates of in-hospital mortality compared with patients without a diagnosis of COVID-19 from the past year. Further research is required to understand the potential mechanisms underlying this association.","author":[{"dropping-particle":"","family":"Saad","given":"Marwan","non-dropping-particle":"","parse-names":false,"suffix":""},{"dropping-particle":"","family":"Kennedy","given":"Kevin F","non-dropping-particle":"","parse-names":false,"suffix":""},{"dropping-particle":"","family":"Imran","given":"Hafiz","non-dropping-particle":"","parse-names":false,"suffix":""},{"dropping-particle":"","family":"Louis","given":"David W","non-dropping-particle":"","parse-names":false,"suffix":""},{"dropping-particle":"","family":"Shippey","given":"Ernie","non-dropping-particle":"","parse-names":false,"suffix":""},{"dropping-particle":"","family":"Poppas","given":"Athena","non-dropping-particle":"","parse-names":false,"suffix":""},{"dropping-particle":"","family":"Wood","given":"Kenneth E","non-dropping-particle":"","parse-names":false,"suffix":""},{"dropping-particle":"","family":"Abbott","given":"J Dawn","non-dropping-particle":"","parse-names":false,"suffix":""},{"dropping-particle":"","family":"Aronow","given":"Herbert D","non-dropping-particle":"","parse-names":false,"suffix":""}],"container-title":"JAMA","id":"ITEM-1","issue":"19","issued":{"date-parts":[["2021","11","16"]]},"note":"Good cohort.","page":"1940","title":"Association Between COVID-19 Diagnosis and In-Hospital Mortality in Patients Hospitalized With ST-Segment Elevation Myocardial Infarction","type":"article-journal","volume":"326"},"uris":["http://www.mendeley.com/documents/?uuid=1dc1e60a-2295-4c40-8e7b-98a9cbd374f5"]}],"mendeley":{"formattedCitation":"[11]","plainTextFormattedCitation":"[11]","previouslyFormattedCitation":"&lt;sup&gt;11&lt;/sup&gt;"},"properties":{"noteIndex":0},"schema":"https://github.com/citation-style-language/schema/raw/master/csl-citation.json"}</w:instrText>
            </w:r>
            <w:r w:rsidR="00E000CE" w:rsidRPr="006F6CD4">
              <w:rPr>
                <w:rFonts w:ascii="Arial" w:eastAsia="Times New Roman" w:hAnsi="Arial" w:cs="Arial"/>
                <w:color w:val="000000"/>
                <w:sz w:val="22"/>
              </w:rPr>
              <w:fldChar w:fldCharType="separate"/>
            </w:r>
            <w:r w:rsidR="008D40E5" w:rsidRPr="008D40E5">
              <w:rPr>
                <w:rFonts w:ascii="Arial" w:eastAsia="Times New Roman" w:hAnsi="Arial" w:cs="Arial"/>
                <w:noProof/>
                <w:color w:val="000000"/>
                <w:sz w:val="22"/>
              </w:rPr>
              <w:t>[11]</w:t>
            </w:r>
            <w:r w:rsidR="00E000CE" w:rsidRPr="006F6CD4">
              <w:rPr>
                <w:rFonts w:ascii="Arial" w:eastAsia="Times New Roman" w:hAnsi="Arial" w:cs="Arial"/>
                <w:color w:val="000000"/>
                <w:sz w:val="22"/>
              </w:rPr>
              <w:fldChar w:fldCharType="end"/>
            </w:r>
          </w:p>
        </w:tc>
        <w:tc>
          <w:tcPr>
            <w:tcW w:w="435" w:type="pct"/>
          </w:tcPr>
          <w:p w14:paraId="33A33693" w14:textId="77777777" w:rsidR="00B15E72" w:rsidRPr="006F6CD4" w:rsidRDefault="00B15E72" w:rsidP="006F6CD4">
            <w:pPr>
              <w:pBdr>
                <w:top w:val="nil"/>
                <w:left w:val="nil"/>
                <w:bottom w:val="nil"/>
                <w:right w:val="nil"/>
                <w:between w:val="nil"/>
              </w:pBdr>
              <w:spacing w:before="53" w:line="480" w:lineRule="auto"/>
              <w:ind w:left="106"/>
              <w:rPr>
                <w:rFonts w:ascii="Arial" w:eastAsia="Times New Roman" w:hAnsi="Arial" w:cs="Arial"/>
                <w:color w:val="000000"/>
                <w:sz w:val="22"/>
              </w:rPr>
            </w:pPr>
            <w:r w:rsidRPr="006F6CD4">
              <w:rPr>
                <w:rFonts w:ascii="Arial" w:eastAsia="Times New Roman" w:hAnsi="Arial" w:cs="Arial"/>
                <w:sz w:val="22"/>
              </w:rPr>
              <w:t>1</w:t>
            </w:r>
          </w:p>
        </w:tc>
        <w:tc>
          <w:tcPr>
            <w:tcW w:w="494" w:type="pct"/>
          </w:tcPr>
          <w:p w14:paraId="33A33694" w14:textId="77777777" w:rsidR="00B15E72" w:rsidRPr="006F6CD4" w:rsidRDefault="00B15E72" w:rsidP="006F6CD4">
            <w:pPr>
              <w:pBdr>
                <w:top w:val="nil"/>
                <w:left w:val="nil"/>
                <w:bottom w:val="nil"/>
                <w:right w:val="nil"/>
                <w:between w:val="nil"/>
              </w:pBdr>
              <w:spacing w:before="53" w:line="480" w:lineRule="auto"/>
              <w:ind w:left="106"/>
              <w:rPr>
                <w:rFonts w:ascii="Arial" w:eastAsia="Times New Roman" w:hAnsi="Arial" w:cs="Arial"/>
                <w:color w:val="000000"/>
                <w:sz w:val="22"/>
              </w:rPr>
            </w:pPr>
            <w:r w:rsidRPr="006F6CD4">
              <w:rPr>
                <w:rFonts w:ascii="Arial" w:eastAsia="Times New Roman" w:hAnsi="Arial" w:cs="Arial"/>
                <w:sz w:val="22"/>
              </w:rPr>
              <w:t>1</w:t>
            </w:r>
          </w:p>
        </w:tc>
        <w:tc>
          <w:tcPr>
            <w:tcW w:w="393" w:type="pct"/>
          </w:tcPr>
          <w:p w14:paraId="33A33695" w14:textId="77777777" w:rsidR="00B15E72" w:rsidRPr="006F6CD4" w:rsidRDefault="00B15E72" w:rsidP="006F6CD4">
            <w:pPr>
              <w:pBdr>
                <w:top w:val="nil"/>
                <w:left w:val="nil"/>
                <w:bottom w:val="nil"/>
                <w:right w:val="nil"/>
                <w:between w:val="nil"/>
              </w:pBdr>
              <w:spacing w:before="53" w:line="480" w:lineRule="auto"/>
              <w:ind w:left="105"/>
              <w:rPr>
                <w:rFonts w:ascii="Arial" w:eastAsia="Times New Roman" w:hAnsi="Arial" w:cs="Arial"/>
                <w:color w:val="000000"/>
                <w:sz w:val="22"/>
              </w:rPr>
            </w:pPr>
            <w:r w:rsidRPr="006F6CD4">
              <w:rPr>
                <w:rFonts w:ascii="Arial" w:eastAsia="Times New Roman" w:hAnsi="Arial" w:cs="Arial"/>
                <w:sz w:val="22"/>
              </w:rPr>
              <w:t>1</w:t>
            </w:r>
          </w:p>
        </w:tc>
        <w:tc>
          <w:tcPr>
            <w:tcW w:w="632" w:type="pct"/>
            <w:tcBorders>
              <w:right w:val="single" w:sz="6" w:space="0" w:color="000000"/>
            </w:tcBorders>
          </w:tcPr>
          <w:p w14:paraId="33A33696" w14:textId="77777777" w:rsidR="00B15E72" w:rsidRPr="006F6CD4" w:rsidRDefault="00B15E72" w:rsidP="006F6CD4">
            <w:pPr>
              <w:pBdr>
                <w:top w:val="nil"/>
                <w:left w:val="nil"/>
                <w:bottom w:val="nil"/>
                <w:right w:val="nil"/>
                <w:between w:val="nil"/>
              </w:pBdr>
              <w:spacing w:before="53" w:line="480" w:lineRule="auto"/>
              <w:ind w:left="99"/>
              <w:rPr>
                <w:rFonts w:ascii="Arial" w:eastAsia="Times New Roman" w:hAnsi="Arial" w:cs="Arial"/>
                <w:color w:val="000000"/>
                <w:sz w:val="22"/>
              </w:rPr>
            </w:pPr>
            <w:r w:rsidRPr="006F6CD4">
              <w:rPr>
                <w:rFonts w:ascii="Arial" w:eastAsia="Times New Roman" w:hAnsi="Arial" w:cs="Arial"/>
                <w:sz w:val="22"/>
              </w:rPr>
              <w:t>1</w:t>
            </w:r>
          </w:p>
        </w:tc>
        <w:tc>
          <w:tcPr>
            <w:tcW w:w="462" w:type="pct"/>
            <w:tcBorders>
              <w:left w:val="single" w:sz="6" w:space="0" w:color="000000"/>
            </w:tcBorders>
          </w:tcPr>
          <w:p w14:paraId="33A33697" w14:textId="77777777" w:rsidR="00B15E72" w:rsidRPr="006F6CD4" w:rsidRDefault="00B15E72" w:rsidP="006F6CD4">
            <w:pPr>
              <w:pBdr>
                <w:top w:val="nil"/>
                <w:left w:val="nil"/>
                <w:bottom w:val="nil"/>
                <w:right w:val="nil"/>
                <w:between w:val="nil"/>
              </w:pBdr>
              <w:spacing w:before="53" w:line="480" w:lineRule="auto"/>
              <w:ind w:left="93"/>
              <w:rPr>
                <w:rFonts w:ascii="Arial" w:eastAsia="Times New Roman" w:hAnsi="Arial" w:cs="Arial"/>
                <w:color w:val="000000"/>
                <w:sz w:val="22"/>
              </w:rPr>
            </w:pPr>
            <w:r w:rsidRPr="006F6CD4">
              <w:rPr>
                <w:rFonts w:ascii="Arial" w:eastAsia="Times New Roman" w:hAnsi="Arial" w:cs="Arial"/>
                <w:sz w:val="22"/>
              </w:rPr>
              <w:t>1</w:t>
            </w:r>
          </w:p>
        </w:tc>
        <w:tc>
          <w:tcPr>
            <w:tcW w:w="519" w:type="pct"/>
            <w:tcBorders>
              <w:right w:val="single" w:sz="6" w:space="0" w:color="000000"/>
            </w:tcBorders>
          </w:tcPr>
          <w:p w14:paraId="33A33698" w14:textId="77777777" w:rsidR="00B15E72" w:rsidRPr="006F6CD4" w:rsidRDefault="00B15E72" w:rsidP="006F6CD4">
            <w:pPr>
              <w:pBdr>
                <w:top w:val="nil"/>
                <w:left w:val="nil"/>
                <w:bottom w:val="nil"/>
                <w:right w:val="nil"/>
                <w:between w:val="nil"/>
              </w:pBdr>
              <w:spacing w:before="53" w:line="480" w:lineRule="auto"/>
              <w:ind w:left="96"/>
              <w:rPr>
                <w:rFonts w:ascii="Arial" w:eastAsia="Times New Roman" w:hAnsi="Arial" w:cs="Arial"/>
                <w:color w:val="000000"/>
                <w:sz w:val="22"/>
              </w:rPr>
            </w:pPr>
            <w:r w:rsidRPr="006F6CD4">
              <w:rPr>
                <w:rFonts w:ascii="Arial" w:eastAsia="Times New Roman" w:hAnsi="Arial" w:cs="Arial"/>
                <w:sz w:val="22"/>
              </w:rPr>
              <w:t>1</w:t>
            </w:r>
          </w:p>
        </w:tc>
        <w:tc>
          <w:tcPr>
            <w:tcW w:w="440" w:type="pct"/>
            <w:tcBorders>
              <w:left w:val="single" w:sz="6" w:space="0" w:color="000000"/>
            </w:tcBorders>
          </w:tcPr>
          <w:p w14:paraId="33A33699" w14:textId="77777777" w:rsidR="00B15E72" w:rsidRPr="006F6CD4" w:rsidRDefault="00B15E72" w:rsidP="006F6CD4">
            <w:pPr>
              <w:pBdr>
                <w:top w:val="nil"/>
                <w:left w:val="nil"/>
                <w:bottom w:val="nil"/>
                <w:right w:val="nil"/>
                <w:between w:val="nil"/>
              </w:pBdr>
              <w:spacing w:before="53" w:line="480" w:lineRule="auto"/>
              <w:ind w:left="88"/>
              <w:rPr>
                <w:rFonts w:ascii="Arial" w:eastAsia="Times New Roman" w:hAnsi="Arial" w:cs="Arial"/>
                <w:color w:val="000000"/>
                <w:sz w:val="22"/>
              </w:rPr>
            </w:pPr>
            <w:r w:rsidRPr="006F6CD4">
              <w:rPr>
                <w:rFonts w:ascii="Arial" w:eastAsia="Times New Roman" w:hAnsi="Arial" w:cs="Arial"/>
                <w:sz w:val="22"/>
              </w:rPr>
              <w:t>1</w:t>
            </w:r>
          </w:p>
        </w:tc>
        <w:tc>
          <w:tcPr>
            <w:tcW w:w="343" w:type="pct"/>
          </w:tcPr>
          <w:p w14:paraId="33A3369A" w14:textId="77777777" w:rsidR="00B15E72" w:rsidRPr="006F6CD4" w:rsidRDefault="00B15E72" w:rsidP="006F6CD4">
            <w:pPr>
              <w:pBdr>
                <w:top w:val="nil"/>
                <w:left w:val="nil"/>
                <w:bottom w:val="nil"/>
                <w:right w:val="nil"/>
                <w:between w:val="nil"/>
              </w:pBdr>
              <w:spacing w:before="53" w:line="480" w:lineRule="auto"/>
              <w:ind w:left="95"/>
              <w:rPr>
                <w:rFonts w:ascii="Arial" w:eastAsia="Times New Roman" w:hAnsi="Arial" w:cs="Arial"/>
                <w:color w:val="000000"/>
                <w:sz w:val="22"/>
              </w:rPr>
            </w:pPr>
            <w:r w:rsidRPr="006F6CD4">
              <w:rPr>
                <w:rFonts w:ascii="Arial" w:eastAsia="Times New Roman" w:hAnsi="Arial" w:cs="Arial"/>
                <w:sz w:val="22"/>
              </w:rPr>
              <w:t>1</w:t>
            </w:r>
          </w:p>
        </w:tc>
        <w:tc>
          <w:tcPr>
            <w:tcW w:w="344" w:type="pct"/>
          </w:tcPr>
          <w:p w14:paraId="33A3369B" w14:textId="77777777" w:rsidR="00B15E72" w:rsidRPr="006F6CD4" w:rsidRDefault="00B15E72" w:rsidP="006F6CD4">
            <w:pPr>
              <w:pBdr>
                <w:top w:val="nil"/>
                <w:left w:val="nil"/>
                <w:bottom w:val="nil"/>
                <w:right w:val="nil"/>
                <w:between w:val="nil"/>
              </w:pBdr>
              <w:spacing w:before="53" w:line="480" w:lineRule="auto"/>
              <w:ind w:left="87"/>
              <w:rPr>
                <w:rFonts w:ascii="Arial" w:eastAsia="Times New Roman" w:hAnsi="Arial" w:cs="Arial"/>
                <w:color w:val="000000"/>
                <w:sz w:val="22"/>
              </w:rPr>
            </w:pPr>
            <w:r w:rsidRPr="006F6CD4">
              <w:rPr>
                <w:rFonts w:ascii="Arial" w:eastAsia="Times New Roman" w:hAnsi="Arial" w:cs="Arial"/>
                <w:sz w:val="22"/>
              </w:rPr>
              <w:t>1</w:t>
            </w:r>
          </w:p>
        </w:tc>
        <w:tc>
          <w:tcPr>
            <w:tcW w:w="411" w:type="pct"/>
          </w:tcPr>
          <w:p w14:paraId="33A3369C" w14:textId="77777777" w:rsidR="00B15E72" w:rsidRPr="006F6CD4" w:rsidRDefault="00B15E72" w:rsidP="006F6CD4">
            <w:pPr>
              <w:pBdr>
                <w:top w:val="nil"/>
                <w:left w:val="nil"/>
                <w:bottom w:val="nil"/>
                <w:right w:val="nil"/>
                <w:between w:val="nil"/>
              </w:pBdr>
              <w:spacing w:before="53" w:line="480" w:lineRule="auto"/>
              <w:ind w:left="88"/>
              <w:rPr>
                <w:rFonts w:ascii="Arial" w:eastAsia="Times New Roman" w:hAnsi="Arial" w:cs="Arial"/>
                <w:b/>
                <w:color w:val="000000"/>
                <w:sz w:val="22"/>
              </w:rPr>
            </w:pPr>
            <w:r w:rsidRPr="006F6CD4">
              <w:rPr>
                <w:rFonts w:ascii="Arial" w:eastAsia="Times New Roman" w:hAnsi="Arial" w:cs="Arial"/>
                <w:b/>
                <w:sz w:val="22"/>
              </w:rPr>
              <w:t>9</w:t>
            </w:r>
          </w:p>
        </w:tc>
      </w:tr>
    </w:tbl>
    <w:p w14:paraId="33A3369F" w14:textId="77777777" w:rsidR="001C5052" w:rsidRPr="006F6CD4" w:rsidRDefault="001C5052" w:rsidP="006F6CD4">
      <w:pPr>
        <w:spacing w:after="0" w:line="480" w:lineRule="auto"/>
        <w:rPr>
          <w:rFonts w:cs="Times New Roman"/>
          <w:b/>
          <w:sz w:val="22"/>
        </w:rPr>
      </w:pPr>
    </w:p>
    <w:p w14:paraId="588EC43A" w14:textId="77777777" w:rsidR="000C59C8" w:rsidRDefault="000C59C8" w:rsidP="006F6CD4">
      <w:pPr>
        <w:spacing w:after="0" w:line="480" w:lineRule="auto"/>
        <w:rPr>
          <w:rFonts w:ascii="Arial" w:hAnsi="Arial" w:cs="Arial"/>
          <w:b/>
          <w:sz w:val="22"/>
        </w:rPr>
        <w:sectPr w:rsidR="000C59C8" w:rsidSect="000C59C8">
          <w:pgSz w:w="15840" w:h="12240" w:orient="landscape"/>
          <w:pgMar w:top="720" w:right="835" w:bottom="720" w:left="720" w:header="720" w:footer="720" w:gutter="0"/>
          <w:cols w:space="720"/>
          <w:docGrid w:linePitch="360"/>
        </w:sectPr>
      </w:pPr>
    </w:p>
    <w:p w14:paraId="33A336A0" w14:textId="677397AD" w:rsidR="00ED3681" w:rsidRPr="006F6CD4" w:rsidRDefault="00ED3681" w:rsidP="006F6CD4">
      <w:pPr>
        <w:spacing w:after="0" w:line="480" w:lineRule="auto"/>
        <w:rPr>
          <w:rFonts w:ascii="Arial" w:hAnsi="Arial" w:cs="Arial"/>
          <w:b/>
          <w:sz w:val="22"/>
        </w:rPr>
      </w:pPr>
      <w:r w:rsidRPr="006F6CD4">
        <w:rPr>
          <w:rFonts w:ascii="Arial" w:hAnsi="Arial" w:cs="Arial"/>
          <w:b/>
          <w:sz w:val="22"/>
        </w:rPr>
        <w:lastRenderedPageBreak/>
        <w:t xml:space="preserve">Figure </w:t>
      </w:r>
      <w:r w:rsidR="006F6CD4">
        <w:rPr>
          <w:rFonts w:ascii="Arial" w:hAnsi="Arial" w:cs="Arial"/>
          <w:b/>
          <w:sz w:val="22"/>
        </w:rPr>
        <w:t>S</w:t>
      </w:r>
      <w:r w:rsidRPr="006F6CD4">
        <w:rPr>
          <w:rFonts w:ascii="Arial" w:hAnsi="Arial" w:cs="Arial"/>
          <w:b/>
          <w:sz w:val="22"/>
        </w:rPr>
        <w:t>1: PRISMA flowchart depicting study selection process</w:t>
      </w:r>
    </w:p>
    <w:p w14:paraId="33A336A1" w14:textId="77777777" w:rsidR="00C32D9C" w:rsidRPr="006F6CD4" w:rsidRDefault="009A078C" w:rsidP="006F6CD4">
      <w:pPr>
        <w:spacing w:line="480" w:lineRule="auto"/>
        <w:rPr>
          <w:rFonts w:cs="Times New Roman"/>
          <w:sz w:val="22"/>
        </w:rPr>
      </w:pPr>
      <w:r w:rsidRPr="006F6CD4">
        <w:rPr>
          <w:rFonts w:cs="Times New Roman"/>
          <w:noProof/>
          <w:sz w:val="22"/>
        </w:rPr>
        <w:drawing>
          <wp:inline distT="0" distB="0" distL="0" distR="0" wp14:anchorId="33A336CB" wp14:editId="33A336CC">
            <wp:extent cx="7053477" cy="41243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nnotation 2021-12-12 173156.png"/>
                    <pic:cNvPicPr/>
                  </pic:nvPicPr>
                  <pic:blipFill>
                    <a:blip r:embed="rId9">
                      <a:extLst>
                        <a:ext uri="{28A0092B-C50C-407E-A947-70E740481C1C}">
                          <a14:useLocalDpi xmlns:a14="http://schemas.microsoft.com/office/drawing/2010/main" val="0"/>
                        </a:ext>
                      </a:extLst>
                    </a:blip>
                    <a:stretch>
                      <a:fillRect/>
                    </a:stretch>
                  </pic:blipFill>
                  <pic:spPr>
                    <a:xfrm>
                      <a:off x="0" y="0"/>
                      <a:ext cx="7058259" cy="4127121"/>
                    </a:xfrm>
                    <a:prstGeom prst="rect">
                      <a:avLst/>
                    </a:prstGeom>
                  </pic:spPr>
                </pic:pic>
              </a:graphicData>
            </a:graphic>
          </wp:inline>
        </w:drawing>
      </w:r>
    </w:p>
    <w:p w14:paraId="33A336A2" w14:textId="77777777" w:rsidR="00E000CE" w:rsidRPr="006F6CD4" w:rsidRDefault="00E000CE" w:rsidP="006F6CD4">
      <w:pPr>
        <w:spacing w:line="480" w:lineRule="auto"/>
        <w:rPr>
          <w:rFonts w:cs="Times New Roman"/>
          <w:sz w:val="22"/>
        </w:rPr>
      </w:pPr>
    </w:p>
    <w:p w14:paraId="33A336A3" w14:textId="77777777" w:rsidR="00E000CE" w:rsidRPr="006F6CD4" w:rsidRDefault="00E000CE" w:rsidP="006F6CD4">
      <w:pPr>
        <w:spacing w:line="480" w:lineRule="auto"/>
        <w:rPr>
          <w:rFonts w:cs="Times New Roman"/>
          <w:sz w:val="22"/>
        </w:rPr>
      </w:pPr>
      <w:r w:rsidRPr="006F6CD4">
        <w:rPr>
          <w:rFonts w:cs="Times New Roman"/>
          <w:sz w:val="22"/>
        </w:rPr>
        <w:br w:type="page"/>
      </w:r>
    </w:p>
    <w:p w14:paraId="33A336A4" w14:textId="77777777" w:rsidR="00E000CE" w:rsidRPr="006F6CD4" w:rsidRDefault="00E000CE" w:rsidP="006F6CD4">
      <w:pPr>
        <w:spacing w:after="0" w:line="480" w:lineRule="auto"/>
        <w:rPr>
          <w:rFonts w:ascii="Arial" w:hAnsi="Arial" w:cs="Arial"/>
          <w:b/>
          <w:sz w:val="22"/>
        </w:rPr>
      </w:pPr>
      <w:r w:rsidRPr="006F6CD4">
        <w:rPr>
          <w:rFonts w:ascii="Arial" w:hAnsi="Arial" w:cs="Arial"/>
          <w:b/>
          <w:sz w:val="22"/>
        </w:rPr>
        <w:lastRenderedPageBreak/>
        <w:t xml:space="preserve">Figure </w:t>
      </w:r>
      <w:r w:rsidR="006F6CD4">
        <w:rPr>
          <w:rFonts w:ascii="Arial" w:hAnsi="Arial" w:cs="Arial"/>
          <w:b/>
          <w:sz w:val="22"/>
        </w:rPr>
        <w:t>S</w:t>
      </w:r>
      <w:r w:rsidR="001C5052" w:rsidRPr="006F6CD4">
        <w:rPr>
          <w:rFonts w:ascii="Arial" w:hAnsi="Arial" w:cs="Arial"/>
          <w:b/>
          <w:sz w:val="22"/>
        </w:rPr>
        <w:t>2</w:t>
      </w:r>
      <w:r w:rsidRPr="006F6CD4">
        <w:rPr>
          <w:rFonts w:ascii="Arial" w:hAnsi="Arial" w:cs="Arial"/>
          <w:b/>
          <w:sz w:val="22"/>
        </w:rPr>
        <w:t>: Subgroup analysis for in-hospital mortality on the basis of use of unadjusted vs adjusted ORs</w:t>
      </w:r>
    </w:p>
    <w:p w14:paraId="33A336A5" w14:textId="77777777" w:rsidR="00E000CE" w:rsidRPr="006F6CD4" w:rsidRDefault="00E000CE" w:rsidP="006F6CD4">
      <w:pPr>
        <w:spacing w:line="480" w:lineRule="auto"/>
        <w:rPr>
          <w:rFonts w:cs="Times New Roman"/>
          <w:sz w:val="22"/>
        </w:rPr>
      </w:pPr>
      <w:r w:rsidRPr="006F6CD4">
        <w:rPr>
          <w:rFonts w:cs="Times New Roman"/>
          <w:noProof/>
          <w:sz w:val="22"/>
        </w:rPr>
        <w:drawing>
          <wp:inline distT="0" distB="0" distL="0" distR="0" wp14:anchorId="33A336CD" wp14:editId="33A336CE">
            <wp:extent cx="6477000" cy="3791444"/>
            <wp:effectExtent l="0" t="0" r="0" b="0"/>
            <wp:docPr id="4" name="Graphic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orest plot4.svg"/>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6498394" cy="3803968"/>
                    </a:xfrm>
                    <a:prstGeom prst="rect">
                      <a:avLst/>
                    </a:prstGeom>
                  </pic:spPr>
                </pic:pic>
              </a:graphicData>
            </a:graphic>
          </wp:inline>
        </w:drawing>
      </w:r>
    </w:p>
    <w:p w14:paraId="33A336A6" w14:textId="77777777" w:rsidR="004C063A" w:rsidRPr="006F6CD4" w:rsidRDefault="004C063A" w:rsidP="006F6CD4">
      <w:pPr>
        <w:spacing w:line="480" w:lineRule="auto"/>
        <w:rPr>
          <w:rFonts w:cs="Times New Roman"/>
          <w:b/>
          <w:sz w:val="22"/>
        </w:rPr>
      </w:pPr>
      <w:r w:rsidRPr="006F6CD4">
        <w:rPr>
          <w:rFonts w:cs="Times New Roman"/>
          <w:b/>
          <w:sz w:val="22"/>
        </w:rPr>
        <w:br w:type="page"/>
      </w:r>
    </w:p>
    <w:p w14:paraId="33A336A7" w14:textId="77777777" w:rsidR="004C063A" w:rsidRPr="006F6CD4" w:rsidRDefault="001C5052" w:rsidP="006F6CD4">
      <w:pPr>
        <w:spacing w:after="0" w:line="480" w:lineRule="auto"/>
        <w:rPr>
          <w:rFonts w:ascii="Arial" w:hAnsi="Arial" w:cs="Arial"/>
          <w:b/>
          <w:sz w:val="22"/>
        </w:rPr>
      </w:pPr>
      <w:r w:rsidRPr="006F6CD4">
        <w:rPr>
          <w:rFonts w:ascii="Arial" w:hAnsi="Arial" w:cs="Arial"/>
          <w:b/>
          <w:sz w:val="22"/>
        </w:rPr>
        <w:lastRenderedPageBreak/>
        <w:t xml:space="preserve">Figure </w:t>
      </w:r>
      <w:r w:rsidR="006F6CD4">
        <w:rPr>
          <w:rFonts w:ascii="Arial" w:hAnsi="Arial" w:cs="Arial"/>
          <w:b/>
          <w:sz w:val="22"/>
        </w:rPr>
        <w:t>S</w:t>
      </w:r>
      <w:r w:rsidRPr="006F6CD4">
        <w:rPr>
          <w:rFonts w:ascii="Arial" w:hAnsi="Arial" w:cs="Arial"/>
          <w:b/>
          <w:sz w:val="22"/>
        </w:rPr>
        <w:t xml:space="preserve">3: </w:t>
      </w:r>
      <w:bookmarkStart w:id="3" w:name="_Hlk91544612"/>
      <w:r w:rsidRPr="006F6CD4">
        <w:rPr>
          <w:rFonts w:ascii="Arial" w:hAnsi="Arial" w:cs="Arial"/>
          <w:b/>
          <w:sz w:val="22"/>
        </w:rPr>
        <w:t>Subgroup analysis for in-hospital mortality on the basis of use of historical vs concurrent cohorts</w:t>
      </w:r>
      <w:bookmarkEnd w:id="3"/>
    </w:p>
    <w:p w14:paraId="33A336A8" w14:textId="77777777" w:rsidR="001C5052" w:rsidRPr="006F6CD4" w:rsidRDefault="001C5052" w:rsidP="006F6CD4">
      <w:pPr>
        <w:spacing w:after="0" w:line="480" w:lineRule="auto"/>
        <w:rPr>
          <w:rFonts w:cs="Times New Roman"/>
          <w:b/>
          <w:sz w:val="22"/>
        </w:rPr>
      </w:pPr>
      <w:r w:rsidRPr="006F6CD4">
        <w:rPr>
          <w:rFonts w:cs="Times New Roman"/>
          <w:b/>
          <w:noProof/>
          <w:sz w:val="22"/>
        </w:rPr>
        <w:drawing>
          <wp:inline distT="0" distB="0" distL="0" distR="0" wp14:anchorId="33A336CF" wp14:editId="33A336D0">
            <wp:extent cx="6762750" cy="3958713"/>
            <wp:effectExtent l="0" t="0" r="0" b="3810"/>
            <wp:docPr id="5"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rest plot5.svg"/>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6767270" cy="3961359"/>
                    </a:xfrm>
                    <a:prstGeom prst="rect">
                      <a:avLst/>
                    </a:prstGeom>
                  </pic:spPr>
                </pic:pic>
              </a:graphicData>
            </a:graphic>
          </wp:inline>
        </w:drawing>
      </w:r>
    </w:p>
    <w:p w14:paraId="33A336A9" w14:textId="77777777" w:rsidR="001C5052" w:rsidRPr="006F6CD4" w:rsidRDefault="001C5052" w:rsidP="006F6CD4">
      <w:pPr>
        <w:spacing w:line="480" w:lineRule="auto"/>
        <w:rPr>
          <w:rFonts w:eastAsia="Calibri" w:cs="Times New Roman"/>
          <w:b/>
          <w:sz w:val="22"/>
        </w:rPr>
      </w:pPr>
      <w:r w:rsidRPr="006F6CD4">
        <w:rPr>
          <w:rFonts w:eastAsia="Calibri" w:cs="Times New Roman"/>
          <w:b/>
          <w:sz w:val="22"/>
        </w:rPr>
        <w:br w:type="page"/>
      </w:r>
    </w:p>
    <w:p w14:paraId="33A336AA" w14:textId="77777777" w:rsidR="001C5052" w:rsidRPr="006F6CD4" w:rsidRDefault="001C5052" w:rsidP="006F6CD4">
      <w:pPr>
        <w:spacing w:line="480" w:lineRule="auto"/>
        <w:rPr>
          <w:rFonts w:ascii="Arial" w:eastAsia="Calibri" w:hAnsi="Arial" w:cs="Arial"/>
          <w:b/>
          <w:sz w:val="22"/>
        </w:rPr>
      </w:pPr>
      <w:r w:rsidRPr="006F6CD4">
        <w:rPr>
          <w:rFonts w:ascii="Arial" w:eastAsia="Calibri" w:hAnsi="Arial" w:cs="Arial"/>
          <w:b/>
          <w:sz w:val="22"/>
        </w:rPr>
        <w:lastRenderedPageBreak/>
        <w:t xml:space="preserve">Figure </w:t>
      </w:r>
      <w:r w:rsidR="006F6CD4">
        <w:rPr>
          <w:rFonts w:ascii="Arial" w:eastAsia="Calibri" w:hAnsi="Arial" w:cs="Arial"/>
          <w:b/>
          <w:sz w:val="22"/>
        </w:rPr>
        <w:t>S</w:t>
      </w:r>
      <w:r w:rsidRPr="006F6CD4">
        <w:rPr>
          <w:rFonts w:ascii="Arial" w:eastAsia="Calibri" w:hAnsi="Arial" w:cs="Arial"/>
          <w:b/>
          <w:sz w:val="22"/>
        </w:rPr>
        <w:t>4. Funnel plot for in-hospital mortality</w:t>
      </w:r>
    </w:p>
    <w:p w14:paraId="33A336AB" w14:textId="77777777" w:rsidR="001C5052" w:rsidRPr="006F6CD4" w:rsidRDefault="001C5052" w:rsidP="006F6CD4">
      <w:pPr>
        <w:spacing w:line="480" w:lineRule="auto"/>
        <w:rPr>
          <w:rFonts w:cs="Times New Roman"/>
          <w:b/>
          <w:sz w:val="22"/>
        </w:rPr>
      </w:pPr>
      <w:r w:rsidRPr="006F6CD4">
        <w:rPr>
          <w:rFonts w:cs="Times New Roman"/>
          <w:b/>
          <w:noProof/>
          <w:sz w:val="22"/>
        </w:rPr>
        <w:drawing>
          <wp:inline distT="0" distB="0" distL="0" distR="0" wp14:anchorId="33A336D1" wp14:editId="33A336D2">
            <wp:extent cx="5715000" cy="3810000"/>
            <wp:effectExtent l="0" t="0" r="0" b="0"/>
            <wp:docPr id="6" name="Graphic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unnel plot.svg"/>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5715000" cy="3810000"/>
                    </a:xfrm>
                    <a:prstGeom prst="rect">
                      <a:avLst/>
                    </a:prstGeom>
                  </pic:spPr>
                </pic:pic>
              </a:graphicData>
            </a:graphic>
          </wp:inline>
        </w:drawing>
      </w:r>
    </w:p>
    <w:p w14:paraId="33A336AC" w14:textId="77777777" w:rsidR="001C5052" w:rsidRPr="006F6CD4" w:rsidRDefault="001C5052" w:rsidP="006F6CD4">
      <w:pPr>
        <w:spacing w:line="480" w:lineRule="auto"/>
        <w:rPr>
          <w:rFonts w:cs="Times New Roman"/>
          <w:b/>
          <w:sz w:val="22"/>
        </w:rPr>
      </w:pPr>
    </w:p>
    <w:p w14:paraId="33A336AD" w14:textId="77777777" w:rsidR="001C5052" w:rsidRPr="006F6CD4" w:rsidRDefault="001C5052" w:rsidP="006F6CD4">
      <w:pPr>
        <w:spacing w:line="480" w:lineRule="auto"/>
        <w:rPr>
          <w:rFonts w:cs="Times New Roman"/>
          <w:b/>
          <w:sz w:val="22"/>
        </w:rPr>
      </w:pPr>
      <w:r w:rsidRPr="006F6CD4">
        <w:rPr>
          <w:rFonts w:cs="Times New Roman"/>
          <w:b/>
          <w:sz w:val="22"/>
        </w:rPr>
        <w:br w:type="page"/>
      </w:r>
    </w:p>
    <w:p w14:paraId="33A336AE" w14:textId="77777777" w:rsidR="001C5052" w:rsidRPr="006F6CD4" w:rsidRDefault="006F6CD4" w:rsidP="006F6CD4">
      <w:pPr>
        <w:spacing w:line="480" w:lineRule="auto"/>
        <w:rPr>
          <w:rFonts w:eastAsia="Times New Roman" w:cs="Times New Roman"/>
          <w:b/>
          <w:sz w:val="22"/>
          <w:lang w:eastAsia="nl-NL"/>
        </w:rPr>
      </w:pPr>
      <w:r>
        <w:rPr>
          <w:rFonts w:eastAsia="Times New Roman" w:cs="Times New Roman"/>
          <w:b/>
          <w:sz w:val="22"/>
          <w:lang w:eastAsia="nl-NL"/>
        </w:rPr>
        <w:lastRenderedPageBreak/>
        <w:t xml:space="preserve">Supplementary </w:t>
      </w:r>
      <w:r w:rsidR="004C063A" w:rsidRPr="006F6CD4">
        <w:rPr>
          <w:rFonts w:eastAsia="Times New Roman" w:cs="Times New Roman"/>
          <w:b/>
          <w:sz w:val="22"/>
          <w:lang w:eastAsia="nl-NL"/>
        </w:rPr>
        <w:t>Methods</w:t>
      </w:r>
    </w:p>
    <w:p w14:paraId="33A336AF" w14:textId="77777777" w:rsidR="008F4D66" w:rsidRPr="006F6CD4" w:rsidRDefault="008F4D66" w:rsidP="006F6CD4">
      <w:pPr>
        <w:pStyle w:val="Heading3"/>
        <w:spacing w:line="480" w:lineRule="auto"/>
        <w:rPr>
          <w:rFonts w:cs="Times New Roman"/>
          <w:sz w:val="22"/>
          <w:szCs w:val="22"/>
        </w:rPr>
      </w:pPr>
      <w:r w:rsidRPr="006F6CD4">
        <w:rPr>
          <w:rFonts w:cs="Times New Roman"/>
          <w:sz w:val="22"/>
          <w:szCs w:val="22"/>
        </w:rPr>
        <w:t>Selection of studies</w:t>
      </w:r>
    </w:p>
    <w:p w14:paraId="33A336B0" w14:textId="77777777" w:rsidR="007254A0" w:rsidRPr="006F6CD4" w:rsidRDefault="008F4D66" w:rsidP="006F6CD4">
      <w:pPr>
        <w:spacing w:line="480" w:lineRule="auto"/>
        <w:rPr>
          <w:rFonts w:eastAsia="Times New Roman" w:cs="Times New Roman"/>
          <w:i/>
          <w:sz w:val="22"/>
          <w:lang w:eastAsia="nl-NL"/>
        </w:rPr>
      </w:pPr>
      <w:bookmarkStart w:id="4" w:name="_Hlk84666815"/>
      <w:r w:rsidRPr="006F6CD4">
        <w:rPr>
          <w:rFonts w:cs="Times New Roman"/>
          <w:sz w:val="22"/>
        </w:rPr>
        <w:t>Mendeley Desktop 1.19.8 (</w:t>
      </w:r>
      <w:r w:rsidRPr="006F6CD4">
        <w:rPr>
          <w:rStyle w:val="Emphasis"/>
          <w:rFonts w:cs="Times New Roman"/>
          <w:bCs/>
          <w:sz w:val="22"/>
          <w:shd w:val="clear" w:color="auto" w:fill="FFFFFF"/>
        </w:rPr>
        <w:t>Mendeley Ltd</w:t>
      </w:r>
      <w:r w:rsidRPr="006F6CD4">
        <w:rPr>
          <w:rStyle w:val="Emphasis"/>
          <w:rFonts w:cs="Times New Roman"/>
          <w:b/>
          <w:bCs/>
          <w:sz w:val="22"/>
          <w:shd w:val="clear" w:color="auto" w:fill="FFFFFF"/>
        </w:rPr>
        <w:t>)</w:t>
      </w:r>
      <w:bookmarkEnd w:id="4"/>
      <w:r w:rsidRPr="006F6CD4">
        <w:rPr>
          <w:rFonts w:cs="Times New Roman"/>
          <w:sz w:val="22"/>
        </w:rPr>
        <w:t xml:space="preserve"> was used to remove duplicates from all the obtained literature. After de-duplication, two reviewers independently screened the titles and abstracts of the studies, and then full texts of the potentially relevant articles to retrieve the studies fitting our eligibility criteria. Any discrepancies between the reviewers were resolved through discussion with a third reviewer.</w:t>
      </w:r>
      <w:r w:rsidR="001C5052" w:rsidRPr="006F6CD4">
        <w:rPr>
          <w:rFonts w:eastAsia="Times New Roman" w:cs="Times New Roman"/>
          <w:i/>
          <w:sz w:val="22"/>
          <w:lang w:eastAsia="nl-NL"/>
        </w:rPr>
        <w:tab/>
      </w:r>
    </w:p>
    <w:p w14:paraId="33A336B1" w14:textId="77777777" w:rsidR="007254A0" w:rsidRPr="006F6CD4" w:rsidRDefault="007254A0" w:rsidP="006F6CD4">
      <w:pPr>
        <w:spacing w:line="480" w:lineRule="auto"/>
        <w:rPr>
          <w:rFonts w:cs="Times New Roman"/>
          <w:b/>
          <w:sz w:val="22"/>
          <w:lang w:val="en-US"/>
        </w:rPr>
      </w:pPr>
      <w:r w:rsidRPr="006F6CD4">
        <w:rPr>
          <w:rFonts w:eastAsia="Times New Roman" w:cs="Times New Roman"/>
          <w:b/>
          <w:sz w:val="22"/>
          <w:lang w:eastAsia="en-GB"/>
        </w:rPr>
        <w:t>Risk of bias in individual studies:</w:t>
      </w:r>
    </w:p>
    <w:p w14:paraId="33A336B2" w14:textId="77777777" w:rsidR="007254A0" w:rsidRPr="006F6CD4" w:rsidRDefault="007254A0" w:rsidP="006F6CD4">
      <w:pPr>
        <w:spacing w:line="480" w:lineRule="auto"/>
        <w:rPr>
          <w:rFonts w:eastAsia="Times New Roman" w:cs="Times New Roman"/>
          <w:sz w:val="22"/>
          <w:lang w:eastAsia="en-GB"/>
        </w:rPr>
      </w:pPr>
      <w:r w:rsidRPr="006F6CD4">
        <w:rPr>
          <w:rFonts w:eastAsia="Times New Roman" w:cs="Times New Roman"/>
          <w:color w:val="000000"/>
          <w:sz w:val="22"/>
          <w:lang w:eastAsia="en-GB"/>
        </w:rPr>
        <w:t xml:space="preserve">For the assessment of the quality of the observational studies, we used the Newcastle-Ottawa Scale (NOS). The studies were judged by point allocation in three domains with a total of 9 points being the highest possible quality: 1) Selection of study groups (0-4 points), 2) Comparability of cohorts (0-2 points), 3) Establishment of </w:t>
      </w:r>
      <w:r w:rsidR="008F4D66" w:rsidRPr="006F6CD4">
        <w:rPr>
          <w:rFonts w:eastAsia="Times New Roman" w:cs="Times New Roman"/>
          <w:color w:val="000000"/>
          <w:sz w:val="22"/>
          <w:lang w:eastAsia="en-GB"/>
        </w:rPr>
        <w:t xml:space="preserve">the </w:t>
      </w:r>
      <w:r w:rsidRPr="006F6CD4">
        <w:rPr>
          <w:rFonts w:eastAsia="Times New Roman" w:cs="Times New Roman"/>
          <w:color w:val="000000"/>
          <w:sz w:val="22"/>
          <w:lang w:eastAsia="en-GB"/>
        </w:rPr>
        <w:t>outcome of interest (0-3 points). Two authors judged the quality of the included studies independently and any disagreement between them w</w:t>
      </w:r>
      <w:r w:rsidR="008F4D66" w:rsidRPr="006F6CD4">
        <w:rPr>
          <w:rFonts w:eastAsia="Times New Roman" w:cs="Times New Roman"/>
          <w:color w:val="000000"/>
          <w:sz w:val="22"/>
          <w:lang w:eastAsia="en-GB"/>
        </w:rPr>
        <w:t>as</w:t>
      </w:r>
      <w:r w:rsidRPr="006F6CD4">
        <w:rPr>
          <w:rFonts w:eastAsia="Times New Roman" w:cs="Times New Roman"/>
          <w:color w:val="000000"/>
          <w:sz w:val="22"/>
          <w:lang w:eastAsia="en-GB"/>
        </w:rPr>
        <w:t xml:space="preserve"> resolved, first by discussion and then by a third author.</w:t>
      </w:r>
    </w:p>
    <w:p w14:paraId="33A336B3" w14:textId="77777777" w:rsidR="007254A0" w:rsidRPr="006F6CD4" w:rsidRDefault="007254A0" w:rsidP="006F6CD4">
      <w:pPr>
        <w:spacing w:line="480" w:lineRule="auto"/>
        <w:rPr>
          <w:rFonts w:cs="Times New Roman"/>
          <w:b/>
          <w:sz w:val="22"/>
        </w:rPr>
      </w:pPr>
      <w:r w:rsidRPr="006F6CD4">
        <w:rPr>
          <w:rFonts w:cs="Times New Roman"/>
          <w:b/>
          <w:sz w:val="22"/>
        </w:rPr>
        <w:t>Data collection</w:t>
      </w:r>
    </w:p>
    <w:p w14:paraId="33A336B4" w14:textId="77777777" w:rsidR="0003159C" w:rsidRPr="006F6CD4" w:rsidRDefault="007254A0" w:rsidP="006F6CD4">
      <w:pPr>
        <w:spacing w:line="480" w:lineRule="auto"/>
        <w:rPr>
          <w:rFonts w:eastAsia="Times New Roman" w:cs="Times New Roman"/>
          <w:color w:val="000000"/>
          <w:sz w:val="22"/>
          <w:lang w:eastAsia="en-GB"/>
        </w:rPr>
      </w:pPr>
      <w:r w:rsidRPr="006F6CD4">
        <w:rPr>
          <w:rFonts w:eastAsia="Times New Roman" w:cs="Times New Roman"/>
          <w:color w:val="000000"/>
          <w:sz w:val="22"/>
          <w:lang w:eastAsia="en-GB"/>
        </w:rPr>
        <w:t xml:space="preserve">Two reviewers independently extracted the data from the included studies into a pre-piloted structured Excel spreadsheet. Any discrepancies between them were checked by a third reviewer. The data was extracted on the PECOS elements which included the population characteristics (e.g., age, comorbidities, history of smoking), exposure details, comparator details, outcome variables (primary outcome: all-cause in-hospital mortality; secondary outcomes: cardiogenic shock on presentation, door-to-balloon time and length of hospital stay) and study characteristics (e.g., first author name, year of publication, sample size, the name of the country of </w:t>
      </w:r>
      <w:r w:rsidR="008F4D66" w:rsidRPr="006F6CD4">
        <w:rPr>
          <w:rFonts w:eastAsia="Times New Roman" w:cs="Times New Roman"/>
          <w:color w:val="000000"/>
          <w:sz w:val="22"/>
          <w:lang w:eastAsia="en-GB"/>
        </w:rPr>
        <w:t xml:space="preserve">the </w:t>
      </w:r>
      <w:r w:rsidRPr="006F6CD4">
        <w:rPr>
          <w:rFonts w:eastAsia="Times New Roman" w:cs="Times New Roman"/>
          <w:color w:val="000000"/>
          <w:sz w:val="22"/>
          <w:lang w:eastAsia="en-GB"/>
        </w:rPr>
        <w:t>recruited patient(s)).</w:t>
      </w:r>
    </w:p>
    <w:p w14:paraId="33A336B5" w14:textId="218410A0" w:rsidR="0003159C" w:rsidRPr="006F6CD4" w:rsidRDefault="0003159C" w:rsidP="006F6CD4">
      <w:pPr>
        <w:spacing w:line="480" w:lineRule="auto"/>
        <w:rPr>
          <w:rFonts w:eastAsia="Times New Roman" w:cs="Times New Roman"/>
          <w:color w:val="000000"/>
          <w:sz w:val="22"/>
          <w:lang w:eastAsia="en-GB"/>
        </w:rPr>
      </w:pPr>
      <w:r w:rsidRPr="006F6CD4">
        <w:rPr>
          <w:rFonts w:eastAsia="Times New Roman" w:cs="Times New Roman"/>
          <w:color w:val="000000"/>
          <w:sz w:val="22"/>
          <w:lang w:eastAsia="en-GB"/>
        </w:rPr>
        <w:t>If not reported, mean and SDs were estimated using the methods described by Wan et al.</w:t>
      </w:r>
      <w:r w:rsidRPr="006F6CD4">
        <w:rPr>
          <w:rFonts w:eastAsia="Times New Roman" w:cs="Times New Roman"/>
          <w:color w:val="000000"/>
          <w:sz w:val="22"/>
          <w:lang w:eastAsia="en-GB"/>
        </w:rPr>
        <w:fldChar w:fldCharType="begin" w:fldLock="1"/>
      </w:r>
      <w:r w:rsidR="008D40E5">
        <w:rPr>
          <w:rFonts w:eastAsia="Times New Roman" w:cs="Times New Roman"/>
          <w:color w:val="000000"/>
          <w:sz w:val="22"/>
          <w:lang w:eastAsia="en-GB"/>
        </w:rPr>
        <w:instrText>ADDIN CSL_CITATION {"citationItems":[{"id":"ITEM-1","itemData":{"DOI":"10.1186/1471-2288-14-135","ISSN":"1471-2288","abstract":"In systematic reviews and meta-analysis, researchers often pool the results of the sample mean and standard deviation from a set of similar clinical trials. A number of the trials, however, reported the study using the median, the minimum and maximum values, and/or the first and third quartiles. Hence, in order to combine results, one may have to estimate the sample mean and standard deviation for such trials.","author":[{"dropping-particle":"","family":"Wan","given":"Xiang","non-dropping-particle":"","parse-names":false,"suffix":""},{"dropping-particle":"","family":"Wang","given":"Wenqian","non-dropping-particle":"","parse-names":false,"suffix":""},{"dropping-particle":"","family":"Liu","given":"Jiming","non-dropping-particle":"","parse-names":false,"suffix":""},{"dropping-particle":"","family":"Tong","given":"Tiejun","non-dropping-particle":"","parse-names":false,"suffix":""}],"container-title":"BMC Medical Research Methodology","id":"ITEM-1","issue":"1","issued":{"date-parts":[["2014","12","19"]]},"page":"135","title":"Estimating the sample mean and standard deviation from the sample size, median, range and/or interquartile range","type":"article-journal","volume":"14"},"uris":["http://www.mendeley.com/documents/?uuid=7ac47c6b-b850-40a0-8dae-58705511dcfa"]}],"mendeley":{"formattedCitation":"[12]","plainTextFormattedCitation":"[12]","previouslyFormattedCitation":"&lt;sup&gt;12&lt;/sup&gt;"},"properties":{"noteIndex":0},"schema":"https://github.com/citation-style-language/schema/raw/master/csl-citation.json"}</w:instrText>
      </w:r>
      <w:r w:rsidRPr="006F6CD4">
        <w:rPr>
          <w:rFonts w:eastAsia="Times New Roman" w:cs="Times New Roman"/>
          <w:color w:val="000000"/>
          <w:sz w:val="22"/>
          <w:lang w:eastAsia="en-GB"/>
        </w:rPr>
        <w:fldChar w:fldCharType="separate"/>
      </w:r>
      <w:r w:rsidR="008D40E5" w:rsidRPr="008D40E5">
        <w:rPr>
          <w:rFonts w:eastAsia="Times New Roman" w:cs="Times New Roman"/>
          <w:noProof/>
          <w:color w:val="000000"/>
          <w:sz w:val="22"/>
          <w:lang w:eastAsia="en-GB"/>
        </w:rPr>
        <w:t>[12]</w:t>
      </w:r>
      <w:r w:rsidRPr="006F6CD4">
        <w:rPr>
          <w:rFonts w:eastAsia="Times New Roman" w:cs="Times New Roman"/>
          <w:color w:val="000000"/>
          <w:sz w:val="22"/>
          <w:lang w:eastAsia="en-GB"/>
        </w:rPr>
        <w:fldChar w:fldCharType="end"/>
      </w:r>
      <w:r w:rsidRPr="006F6CD4">
        <w:rPr>
          <w:rFonts w:eastAsia="Times New Roman" w:cs="Times New Roman"/>
          <w:color w:val="000000"/>
          <w:sz w:val="22"/>
          <w:lang w:eastAsia="en-GB"/>
        </w:rPr>
        <w:t xml:space="preserve"> using the study sample size, median, and interquartile range.</w:t>
      </w:r>
    </w:p>
    <w:p w14:paraId="33A336B6" w14:textId="77777777" w:rsidR="007254A0" w:rsidRPr="006F6CD4" w:rsidRDefault="007254A0" w:rsidP="006F6CD4">
      <w:pPr>
        <w:pStyle w:val="Heading3"/>
        <w:spacing w:line="480" w:lineRule="auto"/>
        <w:rPr>
          <w:rFonts w:cs="Times New Roman"/>
          <w:sz w:val="22"/>
          <w:szCs w:val="22"/>
        </w:rPr>
      </w:pPr>
      <w:r w:rsidRPr="006F6CD4">
        <w:rPr>
          <w:rFonts w:cs="Times New Roman"/>
          <w:sz w:val="22"/>
          <w:szCs w:val="22"/>
        </w:rPr>
        <w:t>Assessment of heterogeneity</w:t>
      </w:r>
    </w:p>
    <w:p w14:paraId="33A336B9" w14:textId="43F8288B" w:rsidR="007254A0" w:rsidRPr="008D40E5" w:rsidRDefault="007254A0" w:rsidP="006F6CD4">
      <w:pPr>
        <w:spacing w:line="480" w:lineRule="auto"/>
        <w:rPr>
          <w:rFonts w:cs="Times New Roman"/>
          <w:sz w:val="22"/>
        </w:rPr>
      </w:pPr>
      <w:r w:rsidRPr="006F6CD4">
        <w:rPr>
          <w:rFonts w:cs="Times New Roman"/>
          <w:sz w:val="22"/>
        </w:rPr>
        <w:t xml:space="preserve">For each synthesis, we calculated </w:t>
      </w:r>
      <w:bookmarkStart w:id="5" w:name="_Hlk84668447"/>
      <w:r w:rsidRPr="006F6CD4">
        <w:rPr>
          <w:rFonts w:cs="Times New Roman"/>
          <w:sz w:val="22"/>
        </w:rPr>
        <w:t>the Chi</w:t>
      </w:r>
      <w:r w:rsidRPr="006F6CD4">
        <w:rPr>
          <w:rFonts w:cs="Times New Roman"/>
          <w:sz w:val="22"/>
          <w:vertAlign w:val="superscript"/>
        </w:rPr>
        <w:t>2</w:t>
      </w:r>
      <w:r w:rsidRPr="006F6CD4">
        <w:rPr>
          <w:rFonts w:cs="Times New Roman"/>
          <w:sz w:val="22"/>
        </w:rPr>
        <w:t> test and I</w:t>
      </w:r>
      <w:r w:rsidRPr="006F6CD4">
        <w:rPr>
          <w:rFonts w:cs="Times New Roman"/>
          <w:sz w:val="22"/>
          <w:vertAlign w:val="superscript"/>
        </w:rPr>
        <w:t>2</w:t>
      </w:r>
      <w:r w:rsidRPr="006F6CD4">
        <w:rPr>
          <w:rFonts w:cs="Times New Roman"/>
          <w:sz w:val="22"/>
        </w:rPr>
        <w:t xml:space="preserve"> statistic </w:t>
      </w:r>
      <w:bookmarkEnd w:id="5"/>
      <w:r w:rsidRPr="006F6CD4">
        <w:rPr>
          <w:rFonts w:cs="Times New Roman"/>
          <w:sz w:val="22"/>
        </w:rPr>
        <w:t xml:space="preserve">to detect the presence of heterogeneity and quantify it, respectively. We interpreted </w:t>
      </w:r>
      <w:bookmarkStart w:id="6" w:name="_Hlk84668562"/>
      <w:r w:rsidRPr="006F6CD4">
        <w:rPr>
          <w:rFonts w:cs="Times New Roman"/>
          <w:sz w:val="22"/>
        </w:rPr>
        <w:t>I</w:t>
      </w:r>
      <w:r w:rsidRPr="006F6CD4">
        <w:rPr>
          <w:rFonts w:cs="Times New Roman"/>
          <w:sz w:val="22"/>
          <w:vertAlign w:val="superscript"/>
        </w:rPr>
        <w:t>2</w:t>
      </w:r>
      <w:r w:rsidRPr="006F6CD4">
        <w:rPr>
          <w:rFonts w:cs="Times New Roman"/>
          <w:sz w:val="22"/>
        </w:rPr>
        <w:t> values according to the </w:t>
      </w:r>
      <w:r w:rsidRPr="006F6CD4">
        <w:rPr>
          <w:rFonts w:cs="Times New Roman"/>
          <w:i/>
          <w:iCs/>
          <w:sz w:val="22"/>
        </w:rPr>
        <w:t>Cochrane Handbook for Systematic Reviews of Interventions</w:t>
      </w:r>
      <w:r w:rsidRPr="006F6CD4">
        <w:rPr>
          <w:rFonts w:cs="Times New Roman"/>
          <w:iCs/>
          <w:sz w:val="22"/>
        </w:rPr>
        <w:t>,</w:t>
      </w:r>
      <w:r w:rsidRPr="006F6CD4">
        <w:rPr>
          <w:rFonts w:cs="Times New Roman"/>
          <w:sz w:val="22"/>
        </w:rPr>
        <w:fldChar w:fldCharType="begin" w:fldLock="1"/>
      </w:r>
      <w:r w:rsidR="008D40E5">
        <w:rPr>
          <w:rFonts w:cs="Times New Roman"/>
          <w:sz w:val="22"/>
        </w:rPr>
        <w:instrText>ADDIN CSL_CITATION {"citationItems":[{"id":"ITEM-1","itemData":{"DOI":"10.1002/9781119536604","ISBN":"9781119536628","edition":"2","editor":[{"dropping-particle":"","family":"Higgins","given":"Julian P.T.","non-dropping-particle":"","parse-names":false,"suffix":""},{"dropping-particle":"","family":"Thomas","given":"James","non-dropping-particle":"","parse-names":false,"suffix":""},{"dropping-particle":"","family":"Chandler","given":"Jacqueline","non-dropping-particle":"","parse-names":false,"suffix":""},{"dropping-particle":"","family":"Cumpston","given":"Miranda","non-dropping-particle":"","parse-names":false,"suffix":""},{"dropping-particle":"","family":"Li","given":"Tianjing","non-dropping-particle":"","parse-names":false,"suffix":""},{"dropping-particle":"","family":"Page","given":"Matthew J.","non-dropping-particle":"","parse-names":false,"suffix":""},{"dropping-particle":"","family":"Welch","given":"Vivian A.","non-dropping-particle":"","parse-names":false,"suffix":""}],"id":"ITEM-1","issued":{"date-parts":[["2019","9","23"]]},"publisher":"Wiley Blackwell","publisher-place":"Hoboken, New Jersey","title":"Cochrane Handbook for Systematic Reviews of Interventions","type":"book"},"uris":["http://www.mendeley.com/documents/?uuid=6391d344-7593-4768-ae2a-f40c56316d08"]}],"mendeley":{"formattedCitation":"[13]","plainTextFormattedCitation":"[13]","previouslyFormattedCitation":"&lt;sup&gt;13&lt;/sup&gt;"},"properties":{"noteIndex":0},"schema":"https://github.com/citation-style-language/schema/raw/master/csl-citation.json"}</w:instrText>
      </w:r>
      <w:r w:rsidRPr="006F6CD4">
        <w:rPr>
          <w:rFonts w:cs="Times New Roman"/>
          <w:sz w:val="22"/>
        </w:rPr>
        <w:fldChar w:fldCharType="separate"/>
      </w:r>
      <w:r w:rsidR="008D40E5" w:rsidRPr="008D40E5">
        <w:rPr>
          <w:rFonts w:cs="Times New Roman"/>
          <w:noProof/>
          <w:sz w:val="22"/>
        </w:rPr>
        <w:t>[13]</w:t>
      </w:r>
      <w:r w:rsidRPr="006F6CD4">
        <w:rPr>
          <w:rFonts w:cs="Times New Roman"/>
          <w:sz w:val="22"/>
        </w:rPr>
        <w:fldChar w:fldCharType="end"/>
      </w:r>
      <w:r w:rsidRPr="006F6CD4">
        <w:rPr>
          <w:rFonts w:cs="Times New Roman"/>
          <w:sz w:val="22"/>
        </w:rPr>
        <w:t xml:space="preserve"> section 10.10.</w:t>
      </w:r>
      <w:bookmarkEnd w:id="6"/>
      <w:r w:rsidRPr="006F6CD4">
        <w:rPr>
          <w:rFonts w:cs="Times New Roman"/>
          <w:sz w:val="22"/>
        </w:rPr>
        <w:t xml:space="preserve"> </w:t>
      </w:r>
      <w:r w:rsidRPr="006F6CD4">
        <w:rPr>
          <w:rFonts w:cs="Times New Roman"/>
          <w:i/>
          <w:sz w:val="22"/>
        </w:rPr>
        <w:t>P</w:t>
      </w:r>
      <w:r w:rsidRPr="006F6CD4">
        <w:rPr>
          <w:rFonts w:cs="Times New Roman"/>
          <w:sz w:val="22"/>
        </w:rPr>
        <w:t xml:space="preserve"> &lt; 0.10 was considered statistically significant for the Chi</w:t>
      </w:r>
      <w:r w:rsidRPr="006F6CD4">
        <w:rPr>
          <w:rFonts w:cs="Times New Roman"/>
          <w:sz w:val="22"/>
          <w:vertAlign w:val="superscript"/>
        </w:rPr>
        <w:t>2</w:t>
      </w:r>
      <w:r w:rsidRPr="006F6CD4">
        <w:rPr>
          <w:rFonts w:cs="Times New Roman"/>
          <w:sz w:val="22"/>
        </w:rPr>
        <w:t> test.</w:t>
      </w:r>
      <w:bookmarkStart w:id="7" w:name="_GoBack"/>
      <w:bookmarkEnd w:id="7"/>
      <w:r w:rsidRPr="006F6CD4">
        <w:rPr>
          <w:rFonts w:cs="Times New Roman"/>
          <w:b/>
          <w:sz w:val="22"/>
        </w:rPr>
        <w:br w:type="page"/>
      </w:r>
    </w:p>
    <w:p w14:paraId="33A336BA" w14:textId="77777777" w:rsidR="007254A0" w:rsidRPr="006F6CD4" w:rsidRDefault="006F6CD4" w:rsidP="006F6CD4">
      <w:pPr>
        <w:spacing w:line="480" w:lineRule="auto"/>
        <w:rPr>
          <w:rFonts w:cs="Times New Roman"/>
          <w:b/>
          <w:sz w:val="22"/>
        </w:rPr>
      </w:pPr>
      <w:r>
        <w:rPr>
          <w:rFonts w:cs="Times New Roman"/>
          <w:b/>
          <w:sz w:val="22"/>
        </w:rPr>
        <w:lastRenderedPageBreak/>
        <w:t xml:space="preserve">Supplementary </w:t>
      </w:r>
      <w:r w:rsidR="004C063A" w:rsidRPr="006F6CD4">
        <w:rPr>
          <w:rFonts w:cs="Times New Roman"/>
          <w:b/>
          <w:sz w:val="22"/>
        </w:rPr>
        <w:t>References</w:t>
      </w:r>
    </w:p>
    <w:p w14:paraId="33A336BB" w14:textId="77777777" w:rsidR="007254A0" w:rsidRPr="006F6CD4" w:rsidRDefault="007254A0" w:rsidP="006F6CD4">
      <w:pPr>
        <w:spacing w:line="480" w:lineRule="auto"/>
        <w:rPr>
          <w:rFonts w:cs="Times New Roman"/>
          <w:b/>
          <w:sz w:val="22"/>
        </w:rPr>
      </w:pPr>
      <w:r w:rsidRPr="006F6CD4">
        <w:rPr>
          <w:rFonts w:cs="Times New Roman"/>
          <w:b/>
          <w:sz w:val="22"/>
        </w:rPr>
        <w:t>References to included studies</w:t>
      </w:r>
    </w:p>
    <w:p w14:paraId="40BC8E23" w14:textId="35544DB1" w:rsidR="008D40E5" w:rsidRPr="008D40E5" w:rsidRDefault="007254A0" w:rsidP="008D40E5">
      <w:pPr>
        <w:widowControl w:val="0"/>
        <w:autoSpaceDE w:val="0"/>
        <w:autoSpaceDN w:val="0"/>
        <w:adjustRightInd w:val="0"/>
        <w:spacing w:line="480" w:lineRule="auto"/>
        <w:ind w:left="640" w:hanging="640"/>
        <w:rPr>
          <w:rFonts w:cs="Times New Roman"/>
          <w:noProof/>
          <w:sz w:val="22"/>
          <w:szCs w:val="24"/>
        </w:rPr>
      </w:pPr>
      <w:r w:rsidRPr="006F6CD4">
        <w:rPr>
          <w:rFonts w:cs="Times New Roman"/>
          <w:sz w:val="22"/>
        </w:rPr>
        <w:fldChar w:fldCharType="begin" w:fldLock="1"/>
      </w:r>
      <w:r w:rsidRPr="006F6CD4">
        <w:rPr>
          <w:rFonts w:cs="Times New Roman"/>
          <w:sz w:val="22"/>
        </w:rPr>
        <w:instrText xml:space="preserve">ADDIN Mendeley Bibliography CSL_BIBLIOGRAPHY </w:instrText>
      </w:r>
      <w:r w:rsidRPr="006F6CD4">
        <w:rPr>
          <w:rFonts w:cs="Times New Roman"/>
          <w:sz w:val="22"/>
        </w:rPr>
        <w:fldChar w:fldCharType="separate"/>
      </w:r>
      <w:r w:rsidR="008D40E5" w:rsidRPr="008D40E5">
        <w:rPr>
          <w:rFonts w:cs="Times New Roman"/>
          <w:noProof/>
          <w:sz w:val="22"/>
          <w:szCs w:val="24"/>
        </w:rPr>
        <w:t xml:space="preserve">1. </w:t>
      </w:r>
      <w:r w:rsidR="008D40E5" w:rsidRPr="008D40E5">
        <w:rPr>
          <w:rFonts w:cs="Times New Roman"/>
          <w:noProof/>
          <w:sz w:val="22"/>
          <w:szCs w:val="24"/>
        </w:rPr>
        <w:tab/>
        <w:t>Choudry FA, Hamshere SM, Rathod KS, et al (2020) High Thrombus Burden in Patients With COVID-19 Presenting With ST-Segment Elevation Myocardial Infarction. J Am Coll Cardiol 76:1168–1176. https://doi.org/10.1016/j.jacc.2020.07.022</w:t>
      </w:r>
    </w:p>
    <w:p w14:paraId="1CA5B380" w14:textId="77777777" w:rsidR="008D40E5" w:rsidRPr="008D40E5" w:rsidRDefault="008D40E5" w:rsidP="008D40E5">
      <w:pPr>
        <w:widowControl w:val="0"/>
        <w:autoSpaceDE w:val="0"/>
        <w:autoSpaceDN w:val="0"/>
        <w:adjustRightInd w:val="0"/>
        <w:spacing w:line="480" w:lineRule="auto"/>
        <w:ind w:left="640" w:hanging="640"/>
        <w:rPr>
          <w:rFonts w:cs="Times New Roman"/>
          <w:noProof/>
          <w:sz w:val="22"/>
          <w:szCs w:val="24"/>
        </w:rPr>
      </w:pPr>
      <w:r w:rsidRPr="008D40E5">
        <w:rPr>
          <w:rFonts w:cs="Times New Roman"/>
          <w:noProof/>
          <w:sz w:val="22"/>
          <w:szCs w:val="24"/>
        </w:rPr>
        <w:t xml:space="preserve">2. </w:t>
      </w:r>
      <w:r w:rsidRPr="008D40E5">
        <w:rPr>
          <w:rFonts w:cs="Times New Roman"/>
          <w:noProof/>
          <w:sz w:val="22"/>
          <w:szCs w:val="24"/>
        </w:rPr>
        <w:tab/>
        <w:t>Little CD, Kotecha T, Candilio L, et al (2020) COVID-19 pandemic and STEMI: pathway activation and outcomes from the pan-London heart attack group. Open Hear 7:e001432. https://doi.org/10.1136/openhrt-2020-001432</w:t>
      </w:r>
    </w:p>
    <w:p w14:paraId="1BE406BA" w14:textId="77777777" w:rsidR="008D40E5" w:rsidRPr="008D40E5" w:rsidRDefault="008D40E5" w:rsidP="008D40E5">
      <w:pPr>
        <w:widowControl w:val="0"/>
        <w:autoSpaceDE w:val="0"/>
        <w:autoSpaceDN w:val="0"/>
        <w:adjustRightInd w:val="0"/>
        <w:spacing w:line="480" w:lineRule="auto"/>
        <w:ind w:left="640" w:hanging="640"/>
        <w:rPr>
          <w:rFonts w:cs="Times New Roman"/>
          <w:noProof/>
          <w:sz w:val="22"/>
          <w:szCs w:val="24"/>
        </w:rPr>
      </w:pPr>
      <w:r w:rsidRPr="008D40E5">
        <w:rPr>
          <w:rFonts w:cs="Times New Roman"/>
          <w:noProof/>
          <w:sz w:val="22"/>
          <w:szCs w:val="24"/>
        </w:rPr>
        <w:t xml:space="preserve">3. </w:t>
      </w:r>
      <w:r w:rsidRPr="008D40E5">
        <w:rPr>
          <w:rFonts w:cs="Times New Roman"/>
          <w:noProof/>
          <w:sz w:val="22"/>
          <w:szCs w:val="24"/>
        </w:rPr>
        <w:tab/>
        <w:t>De Luca G, Debel N, Cercek M, et al (2021) Impact of SARS-CoV-2 positivity on clinical outcome among STEMI patients undergoing mechanical reperfusion: Insights from the ISACS STEMI COVID 19 registry. Atherosclerosis 332:48–54. https://doi.org/10.1016/j.atherosclerosis.2021.06.926</w:t>
      </w:r>
    </w:p>
    <w:p w14:paraId="15E2BD27" w14:textId="77777777" w:rsidR="008D40E5" w:rsidRPr="008D40E5" w:rsidRDefault="008D40E5" w:rsidP="008D40E5">
      <w:pPr>
        <w:widowControl w:val="0"/>
        <w:autoSpaceDE w:val="0"/>
        <w:autoSpaceDN w:val="0"/>
        <w:adjustRightInd w:val="0"/>
        <w:spacing w:line="480" w:lineRule="auto"/>
        <w:ind w:left="640" w:hanging="640"/>
        <w:rPr>
          <w:rFonts w:cs="Times New Roman"/>
          <w:noProof/>
          <w:sz w:val="22"/>
          <w:szCs w:val="24"/>
        </w:rPr>
      </w:pPr>
      <w:r w:rsidRPr="008D40E5">
        <w:rPr>
          <w:rFonts w:cs="Times New Roman"/>
          <w:noProof/>
          <w:sz w:val="22"/>
          <w:szCs w:val="24"/>
        </w:rPr>
        <w:t xml:space="preserve">4. </w:t>
      </w:r>
      <w:r w:rsidRPr="008D40E5">
        <w:rPr>
          <w:rFonts w:cs="Times New Roman"/>
          <w:noProof/>
          <w:sz w:val="22"/>
          <w:szCs w:val="24"/>
        </w:rPr>
        <w:tab/>
        <w:t>Emren Z, Gediz R, Levent F, et al (2021) Comparison of clinical and angiographic results in COVID-19–positive and –negative patients undergoing primary coronary intervention due to ST-elevation myocardial infarction. Int J Cardiovasc Acad 7:78. https://doi.org/10.4103/ijca.ijca_18_21</w:t>
      </w:r>
    </w:p>
    <w:p w14:paraId="367F41C2" w14:textId="77777777" w:rsidR="008D40E5" w:rsidRPr="008D40E5" w:rsidRDefault="008D40E5" w:rsidP="008D40E5">
      <w:pPr>
        <w:widowControl w:val="0"/>
        <w:autoSpaceDE w:val="0"/>
        <w:autoSpaceDN w:val="0"/>
        <w:adjustRightInd w:val="0"/>
        <w:spacing w:line="480" w:lineRule="auto"/>
        <w:ind w:left="640" w:hanging="640"/>
        <w:rPr>
          <w:rFonts w:cs="Times New Roman"/>
          <w:noProof/>
          <w:sz w:val="22"/>
          <w:szCs w:val="24"/>
        </w:rPr>
      </w:pPr>
      <w:r w:rsidRPr="008D40E5">
        <w:rPr>
          <w:rFonts w:cs="Times New Roman"/>
          <w:noProof/>
          <w:sz w:val="22"/>
          <w:szCs w:val="24"/>
        </w:rPr>
        <w:t xml:space="preserve">5. </w:t>
      </w:r>
      <w:r w:rsidRPr="008D40E5">
        <w:rPr>
          <w:rFonts w:cs="Times New Roman"/>
          <w:noProof/>
          <w:sz w:val="22"/>
          <w:szCs w:val="24"/>
        </w:rPr>
        <w:tab/>
        <w:t>Garcia S, Dehghani P, Grines C, et al (2021) Initial Findings From the North American COVID-19 Myocardial Infarction Registry. J Am Coll Cardiol 77:1994–2003. https://doi.org/10.1016/j.jacc.2021.02.055</w:t>
      </w:r>
    </w:p>
    <w:p w14:paraId="4B0A78FB" w14:textId="77777777" w:rsidR="008D40E5" w:rsidRPr="008D40E5" w:rsidRDefault="008D40E5" w:rsidP="008D40E5">
      <w:pPr>
        <w:widowControl w:val="0"/>
        <w:autoSpaceDE w:val="0"/>
        <w:autoSpaceDN w:val="0"/>
        <w:adjustRightInd w:val="0"/>
        <w:spacing w:line="480" w:lineRule="auto"/>
        <w:ind w:left="640" w:hanging="640"/>
        <w:rPr>
          <w:rFonts w:cs="Times New Roman"/>
          <w:noProof/>
          <w:sz w:val="22"/>
          <w:szCs w:val="24"/>
        </w:rPr>
      </w:pPr>
      <w:r w:rsidRPr="008D40E5">
        <w:rPr>
          <w:rFonts w:cs="Times New Roman"/>
          <w:noProof/>
          <w:sz w:val="22"/>
          <w:szCs w:val="24"/>
        </w:rPr>
        <w:t xml:space="preserve">6. </w:t>
      </w:r>
      <w:r w:rsidRPr="008D40E5">
        <w:rPr>
          <w:rFonts w:cs="Times New Roman"/>
          <w:noProof/>
          <w:sz w:val="22"/>
          <w:szCs w:val="24"/>
        </w:rPr>
        <w:tab/>
        <w:t>Kiris T, Avci E, Ekin T, et al (2021) Impact of COVID-19 outbreak on patients with ST-segment elevation myocardial ınfarction (STEMI) in Turkey: results from TURSER study (TURKISH St-segment elevation myocardial ınfarction registry). J Thromb Thrombolysis 1–14. https://doi.org/10.1007/s11239-021-02487-3</w:t>
      </w:r>
    </w:p>
    <w:p w14:paraId="6BD0164A" w14:textId="77777777" w:rsidR="008D40E5" w:rsidRPr="008D40E5" w:rsidRDefault="008D40E5" w:rsidP="008D40E5">
      <w:pPr>
        <w:widowControl w:val="0"/>
        <w:autoSpaceDE w:val="0"/>
        <w:autoSpaceDN w:val="0"/>
        <w:adjustRightInd w:val="0"/>
        <w:spacing w:line="480" w:lineRule="auto"/>
        <w:ind w:left="640" w:hanging="640"/>
        <w:rPr>
          <w:rFonts w:cs="Times New Roman"/>
          <w:noProof/>
          <w:sz w:val="22"/>
          <w:szCs w:val="24"/>
        </w:rPr>
      </w:pPr>
      <w:r w:rsidRPr="008D40E5">
        <w:rPr>
          <w:rFonts w:cs="Times New Roman"/>
          <w:noProof/>
          <w:sz w:val="22"/>
          <w:szCs w:val="24"/>
        </w:rPr>
        <w:t xml:space="preserve">7. </w:t>
      </w:r>
      <w:r w:rsidRPr="008D40E5">
        <w:rPr>
          <w:rFonts w:cs="Times New Roman"/>
          <w:noProof/>
          <w:sz w:val="22"/>
          <w:szCs w:val="24"/>
        </w:rPr>
        <w:tab/>
        <w:t>Kite TA, Ludman PF, Gale CP, et al (2021) International Prospective Registry of Acute Coronary Syndromes in Patients With COVID-19. J Am Coll Cardiol 77:2466–2476. https://doi.org/10.1016/j.jacc.2021.03.309</w:t>
      </w:r>
    </w:p>
    <w:p w14:paraId="28F3FE4F" w14:textId="77777777" w:rsidR="008D40E5" w:rsidRPr="008D40E5" w:rsidRDefault="008D40E5" w:rsidP="008D40E5">
      <w:pPr>
        <w:widowControl w:val="0"/>
        <w:autoSpaceDE w:val="0"/>
        <w:autoSpaceDN w:val="0"/>
        <w:adjustRightInd w:val="0"/>
        <w:spacing w:line="480" w:lineRule="auto"/>
        <w:ind w:left="640" w:hanging="640"/>
        <w:rPr>
          <w:rFonts w:cs="Times New Roman"/>
          <w:noProof/>
          <w:sz w:val="22"/>
          <w:szCs w:val="24"/>
        </w:rPr>
      </w:pPr>
      <w:r w:rsidRPr="008D40E5">
        <w:rPr>
          <w:rFonts w:cs="Times New Roman"/>
          <w:noProof/>
          <w:sz w:val="22"/>
          <w:szCs w:val="24"/>
        </w:rPr>
        <w:t xml:space="preserve">8. </w:t>
      </w:r>
      <w:r w:rsidRPr="008D40E5">
        <w:rPr>
          <w:rFonts w:cs="Times New Roman"/>
          <w:noProof/>
          <w:sz w:val="22"/>
          <w:szCs w:val="24"/>
        </w:rPr>
        <w:tab/>
        <w:t>Koutsoukis A, Delmas C, Roubille F, et al (2021) Acute Coronary Syndrome in the Era of SARS-CoV-2 Infection: A Registry of the French Group of Acute Cardiac Care. CJC Open 3:311–317. https://doi.org/10.1016/j.cjco.2020.11.003</w:t>
      </w:r>
    </w:p>
    <w:p w14:paraId="336FE60E" w14:textId="77777777" w:rsidR="008D40E5" w:rsidRPr="008D40E5" w:rsidRDefault="008D40E5" w:rsidP="008D40E5">
      <w:pPr>
        <w:widowControl w:val="0"/>
        <w:autoSpaceDE w:val="0"/>
        <w:autoSpaceDN w:val="0"/>
        <w:adjustRightInd w:val="0"/>
        <w:spacing w:line="480" w:lineRule="auto"/>
        <w:ind w:left="640" w:hanging="640"/>
        <w:rPr>
          <w:rFonts w:cs="Times New Roman"/>
          <w:noProof/>
          <w:sz w:val="22"/>
          <w:szCs w:val="24"/>
        </w:rPr>
      </w:pPr>
      <w:r w:rsidRPr="008D40E5">
        <w:rPr>
          <w:rFonts w:cs="Times New Roman"/>
          <w:noProof/>
          <w:sz w:val="22"/>
          <w:szCs w:val="24"/>
        </w:rPr>
        <w:t xml:space="preserve">9. </w:t>
      </w:r>
      <w:r w:rsidRPr="008D40E5">
        <w:rPr>
          <w:rFonts w:cs="Times New Roman"/>
          <w:noProof/>
          <w:sz w:val="22"/>
          <w:szCs w:val="24"/>
        </w:rPr>
        <w:tab/>
        <w:t xml:space="preserve">Marfella R, Paolisso P, Sardu C, et al (2021) SARS-COV-2 colonizes coronary thrombus and impairs heart </w:t>
      </w:r>
      <w:r w:rsidRPr="008D40E5">
        <w:rPr>
          <w:rFonts w:cs="Times New Roman"/>
          <w:noProof/>
          <w:sz w:val="22"/>
          <w:szCs w:val="24"/>
        </w:rPr>
        <w:lastRenderedPageBreak/>
        <w:t>microcirculation bed in asymptomatic SARS-CoV-2 positive subjects with acute myocardial infarction. Crit Care 25:217. https://doi.org/10.1186/s13054-021-03643-0</w:t>
      </w:r>
    </w:p>
    <w:p w14:paraId="66D97A41" w14:textId="77777777" w:rsidR="008D40E5" w:rsidRPr="008D40E5" w:rsidRDefault="008D40E5" w:rsidP="008D40E5">
      <w:pPr>
        <w:widowControl w:val="0"/>
        <w:autoSpaceDE w:val="0"/>
        <w:autoSpaceDN w:val="0"/>
        <w:adjustRightInd w:val="0"/>
        <w:spacing w:line="480" w:lineRule="auto"/>
        <w:ind w:left="640" w:hanging="640"/>
        <w:rPr>
          <w:rFonts w:cs="Times New Roman"/>
          <w:noProof/>
          <w:sz w:val="22"/>
          <w:szCs w:val="24"/>
        </w:rPr>
      </w:pPr>
      <w:r w:rsidRPr="008D40E5">
        <w:rPr>
          <w:rFonts w:cs="Times New Roman"/>
          <w:noProof/>
          <w:sz w:val="22"/>
          <w:szCs w:val="24"/>
        </w:rPr>
        <w:t xml:space="preserve">10. </w:t>
      </w:r>
      <w:r w:rsidRPr="008D40E5">
        <w:rPr>
          <w:rFonts w:cs="Times New Roman"/>
          <w:noProof/>
          <w:sz w:val="22"/>
          <w:szCs w:val="24"/>
        </w:rPr>
        <w:tab/>
        <w:t>Rodriguez-Leor O, Cid Alvarez AB, Pérez de Prado A, et al (2021) In-hospital outcomes of COVID-19 ST-elevation myocardial infarction patients. EuroIntervention 16:1426–1433. https://doi.org/10.4244/EIJ-D-20-00935</w:t>
      </w:r>
    </w:p>
    <w:p w14:paraId="40340148" w14:textId="77777777" w:rsidR="008D40E5" w:rsidRPr="008D40E5" w:rsidRDefault="008D40E5" w:rsidP="008D40E5">
      <w:pPr>
        <w:widowControl w:val="0"/>
        <w:autoSpaceDE w:val="0"/>
        <w:autoSpaceDN w:val="0"/>
        <w:adjustRightInd w:val="0"/>
        <w:spacing w:line="480" w:lineRule="auto"/>
        <w:ind w:left="640" w:hanging="640"/>
        <w:rPr>
          <w:rFonts w:cs="Times New Roman"/>
          <w:noProof/>
          <w:sz w:val="22"/>
          <w:szCs w:val="24"/>
        </w:rPr>
      </w:pPr>
      <w:r w:rsidRPr="008D40E5">
        <w:rPr>
          <w:rFonts w:cs="Times New Roman"/>
          <w:noProof/>
          <w:sz w:val="22"/>
          <w:szCs w:val="24"/>
        </w:rPr>
        <w:t xml:space="preserve">11. </w:t>
      </w:r>
      <w:r w:rsidRPr="008D40E5">
        <w:rPr>
          <w:rFonts w:cs="Times New Roman"/>
          <w:noProof/>
          <w:sz w:val="22"/>
          <w:szCs w:val="24"/>
        </w:rPr>
        <w:tab/>
        <w:t>Saad M, Kennedy KF, Imran H, et al (2021) Association Between COVID-19 Diagnosis and In-Hospital Mortality in Patients Hospitalized With ST-Segment Elevation Myocardial Infarction. JAMA 326:1940. https://doi.org/10.1001/jama.2021.18890</w:t>
      </w:r>
    </w:p>
    <w:p w14:paraId="5DC3C19B" w14:textId="5DCF5D88" w:rsidR="008D40E5" w:rsidRPr="008D40E5" w:rsidRDefault="008D40E5" w:rsidP="008D40E5">
      <w:pPr>
        <w:widowControl w:val="0"/>
        <w:autoSpaceDE w:val="0"/>
        <w:autoSpaceDN w:val="0"/>
        <w:adjustRightInd w:val="0"/>
        <w:spacing w:line="480" w:lineRule="auto"/>
        <w:ind w:left="640" w:hanging="640"/>
        <w:rPr>
          <w:rFonts w:cs="Times New Roman"/>
          <w:b/>
          <w:noProof/>
          <w:sz w:val="22"/>
          <w:szCs w:val="24"/>
        </w:rPr>
      </w:pPr>
      <w:r w:rsidRPr="008D40E5">
        <w:rPr>
          <w:rFonts w:cs="Times New Roman"/>
          <w:b/>
          <w:noProof/>
          <w:sz w:val="22"/>
          <w:szCs w:val="24"/>
        </w:rPr>
        <w:t>Additional references</w:t>
      </w:r>
    </w:p>
    <w:p w14:paraId="2621EFB0" w14:textId="7E354C79" w:rsidR="008D40E5" w:rsidRPr="008D40E5" w:rsidRDefault="008D40E5" w:rsidP="008D40E5">
      <w:pPr>
        <w:widowControl w:val="0"/>
        <w:autoSpaceDE w:val="0"/>
        <w:autoSpaceDN w:val="0"/>
        <w:adjustRightInd w:val="0"/>
        <w:spacing w:line="480" w:lineRule="auto"/>
        <w:ind w:left="640" w:hanging="640"/>
        <w:rPr>
          <w:rFonts w:cs="Times New Roman"/>
          <w:noProof/>
          <w:sz w:val="22"/>
          <w:szCs w:val="24"/>
        </w:rPr>
      </w:pPr>
      <w:r w:rsidRPr="008D40E5">
        <w:rPr>
          <w:rFonts w:cs="Times New Roman"/>
          <w:noProof/>
          <w:sz w:val="22"/>
          <w:szCs w:val="24"/>
        </w:rPr>
        <w:t xml:space="preserve">12. </w:t>
      </w:r>
      <w:r w:rsidRPr="008D40E5">
        <w:rPr>
          <w:rFonts w:cs="Times New Roman"/>
          <w:noProof/>
          <w:sz w:val="22"/>
          <w:szCs w:val="24"/>
        </w:rPr>
        <w:tab/>
        <w:t>Wan X, Wang W, Liu J, Tong T (2014) Estimating the sample mean and standard deviation from the sample size, median, range and/or interquartile range. BMC Med Res Methodol 14:135. https://doi.org/10.1186/1471-2288-14-135</w:t>
      </w:r>
    </w:p>
    <w:p w14:paraId="7EF5062E" w14:textId="77777777" w:rsidR="008D40E5" w:rsidRPr="008D40E5" w:rsidRDefault="008D40E5" w:rsidP="008D40E5">
      <w:pPr>
        <w:widowControl w:val="0"/>
        <w:autoSpaceDE w:val="0"/>
        <w:autoSpaceDN w:val="0"/>
        <w:adjustRightInd w:val="0"/>
        <w:spacing w:line="480" w:lineRule="auto"/>
        <w:ind w:left="640" w:hanging="640"/>
        <w:rPr>
          <w:rFonts w:cs="Times New Roman"/>
          <w:noProof/>
          <w:sz w:val="22"/>
        </w:rPr>
      </w:pPr>
      <w:r w:rsidRPr="008D40E5">
        <w:rPr>
          <w:rFonts w:cs="Times New Roman"/>
          <w:noProof/>
          <w:sz w:val="22"/>
          <w:szCs w:val="24"/>
        </w:rPr>
        <w:t xml:space="preserve">13. </w:t>
      </w:r>
      <w:r w:rsidRPr="008D40E5">
        <w:rPr>
          <w:rFonts w:cs="Times New Roman"/>
          <w:noProof/>
          <w:sz w:val="22"/>
          <w:szCs w:val="24"/>
        </w:rPr>
        <w:tab/>
        <w:t>Higgins JPT, Thomas J, Chandler J, et al (2019) Cochrane Handbook for Systematic Reviews of Interventions, 2nd ed. Wiley Blackwell, Hoboken, New Jersey</w:t>
      </w:r>
    </w:p>
    <w:p w14:paraId="33A336CA" w14:textId="77777777" w:rsidR="007254A0" w:rsidRPr="006F6CD4" w:rsidRDefault="007254A0" w:rsidP="006F6CD4">
      <w:pPr>
        <w:spacing w:line="480" w:lineRule="auto"/>
        <w:rPr>
          <w:rFonts w:cs="Times New Roman"/>
          <w:sz w:val="22"/>
        </w:rPr>
      </w:pPr>
      <w:r w:rsidRPr="006F6CD4">
        <w:rPr>
          <w:rFonts w:cs="Times New Roman"/>
          <w:sz w:val="22"/>
        </w:rPr>
        <w:fldChar w:fldCharType="end"/>
      </w:r>
    </w:p>
    <w:sectPr w:rsidR="007254A0" w:rsidRPr="006F6CD4" w:rsidSect="000C59C8">
      <w:pgSz w:w="12240" w:h="15840"/>
      <w:pgMar w:top="720" w:right="720" w:bottom="835"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A336D5" w14:textId="77777777" w:rsidR="005C2433" w:rsidRDefault="005C2433" w:rsidP="00E000CE">
      <w:pPr>
        <w:spacing w:after="0" w:line="240" w:lineRule="auto"/>
      </w:pPr>
      <w:r>
        <w:separator/>
      </w:r>
    </w:p>
  </w:endnote>
  <w:endnote w:type="continuationSeparator" w:id="0">
    <w:p w14:paraId="33A336D6" w14:textId="77777777" w:rsidR="005C2433" w:rsidRDefault="005C2433" w:rsidP="00E000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A336D3" w14:textId="77777777" w:rsidR="005C2433" w:rsidRDefault="005C2433" w:rsidP="00E000CE">
      <w:pPr>
        <w:spacing w:after="0" w:line="240" w:lineRule="auto"/>
      </w:pPr>
      <w:r>
        <w:separator/>
      </w:r>
    </w:p>
  </w:footnote>
  <w:footnote w:type="continuationSeparator" w:id="0">
    <w:p w14:paraId="33A336D4" w14:textId="77777777" w:rsidR="005C2433" w:rsidRDefault="005C2433" w:rsidP="00E000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26102527"/>
      <w:docPartObj>
        <w:docPartGallery w:val="Page Numbers (Top of Page)"/>
        <w:docPartUnique/>
      </w:docPartObj>
    </w:sdtPr>
    <w:sdtEndPr>
      <w:rPr>
        <w:noProof/>
      </w:rPr>
    </w:sdtEndPr>
    <w:sdtContent>
      <w:p w14:paraId="33A336D7" w14:textId="77777777" w:rsidR="00E000CE" w:rsidRDefault="00E000C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3A336D8" w14:textId="77777777" w:rsidR="00E000CE" w:rsidRDefault="00E000C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a3MDQyMTUwMDIyMjNT0lEKTi0uzszPAykwrgUAGUKMriwAAAA="/>
  </w:docVars>
  <w:rsids>
    <w:rsidRoot w:val="00C32D9C"/>
    <w:rsid w:val="00023A1F"/>
    <w:rsid w:val="0003159C"/>
    <w:rsid w:val="000C57C5"/>
    <w:rsid w:val="000C59C8"/>
    <w:rsid w:val="00112992"/>
    <w:rsid w:val="001514CF"/>
    <w:rsid w:val="00156EDD"/>
    <w:rsid w:val="001C5052"/>
    <w:rsid w:val="001C5160"/>
    <w:rsid w:val="00240D09"/>
    <w:rsid w:val="002577BD"/>
    <w:rsid w:val="0037597F"/>
    <w:rsid w:val="004C063A"/>
    <w:rsid w:val="004F0053"/>
    <w:rsid w:val="005B7BAD"/>
    <w:rsid w:val="005C2433"/>
    <w:rsid w:val="006A3E1C"/>
    <w:rsid w:val="006F6CD4"/>
    <w:rsid w:val="007254A0"/>
    <w:rsid w:val="007703DE"/>
    <w:rsid w:val="008306DB"/>
    <w:rsid w:val="00834946"/>
    <w:rsid w:val="008D40E5"/>
    <w:rsid w:val="008F4D66"/>
    <w:rsid w:val="00942E17"/>
    <w:rsid w:val="009A078C"/>
    <w:rsid w:val="00A54963"/>
    <w:rsid w:val="00AA3A94"/>
    <w:rsid w:val="00B15E72"/>
    <w:rsid w:val="00C32D9C"/>
    <w:rsid w:val="00CA4B89"/>
    <w:rsid w:val="00CD270D"/>
    <w:rsid w:val="00CD69FC"/>
    <w:rsid w:val="00D869FF"/>
    <w:rsid w:val="00E000CE"/>
    <w:rsid w:val="00ED3681"/>
    <w:rsid w:val="00EE7751"/>
    <w:rsid w:val="00F42E52"/>
    <w:rsid w:val="00F619F5"/>
    <w:rsid w:val="00FA2A5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3A335C6"/>
  <w15:chartTrackingRefBased/>
  <w15:docId w15:val="{BD7C63B6-A325-40D5-8354-27FA8DF3F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03DE"/>
    <w:rPr>
      <w:rFonts w:ascii="Times New Roman" w:hAnsi="Times New Roman"/>
      <w:sz w:val="24"/>
    </w:rPr>
  </w:style>
  <w:style w:type="paragraph" w:styleId="Heading1">
    <w:name w:val="heading 1"/>
    <w:basedOn w:val="Normal"/>
    <w:next w:val="Normal"/>
    <w:link w:val="Heading1Char"/>
    <w:uiPriority w:val="9"/>
    <w:qFormat/>
    <w:rsid w:val="007703DE"/>
    <w:pPr>
      <w:keepNext/>
      <w:keepLines/>
      <w:spacing w:before="240" w:after="0"/>
      <w:outlineLvl w:val="0"/>
    </w:pPr>
    <w:rPr>
      <w:rFonts w:eastAsiaTheme="majorEastAsia" w:cstheme="majorBidi"/>
      <w:b/>
      <w:sz w:val="32"/>
      <w:szCs w:val="32"/>
    </w:rPr>
  </w:style>
  <w:style w:type="paragraph" w:styleId="Heading2">
    <w:name w:val="heading 2"/>
    <w:basedOn w:val="Normal"/>
    <w:next w:val="Normal"/>
    <w:link w:val="Heading2Char"/>
    <w:autoRedefine/>
    <w:uiPriority w:val="99"/>
    <w:qFormat/>
    <w:rsid w:val="007703DE"/>
    <w:pPr>
      <w:autoSpaceDE w:val="0"/>
      <w:autoSpaceDN w:val="0"/>
      <w:adjustRightInd w:val="0"/>
      <w:spacing w:after="0" w:line="240" w:lineRule="auto"/>
      <w:outlineLvl w:val="1"/>
    </w:pPr>
    <w:rPr>
      <w:rFonts w:cs="Courier New"/>
      <w:b/>
      <w:bCs/>
      <w:iCs/>
      <w:color w:val="000000"/>
      <w:sz w:val="28"/>
      <w:szCs w:val="28"/>
    </w:rPr>
  </w:style>
  <w:style w:type="paragraph" w:styleId="Heading3">
    <w:name w:val="heading 3"/>
    <w:basedOn w:val="Normal"/>
    <w:next w:val="Normal"/>
    <w:link w:val="Heading3Char"/>
    <w:autoRedefine/>
    <w:uiPriority w:val="9"/>
    <w:unhideWhenUsed/>
    <w:qFormat/>
    <w:rsid w:val="00EE7751"/>
    <w:pPr>
      <w:keepNext/>
      <w:keepLines/>
      <w:spacing w:before="40" w:after="0"/>
      <w:outlineLvl w:val="2"/>
    </w:pPr>
    <w:rPr>
      <w:rFonts w:eastAsiaTheme="majorEastAsia" w:cstheme="majorBidi"/>
      <w:b/>
      <w:sz w:val="26"/>
      <w:szCs w:val="24"/>
    </w:rPr>
  </w:style>
  <w:style w:type="paragraph" w:styleId="Heading4">
    <w:name w:val="heading 4"/>
    <w:basedOn w:val="Normal"/>
    <w:next w:val="Normal"/>
    <w:link w:val="Heading4Char"/>
    <w:autoRedefine/>
    <w:uiPriority w:val="9"/>
    <w:unhideWhenUsed/>
    <w:qFormat/>
    <w:rsid w:val="00EE7751"/>
    <w:pPr>
      <w:keepNext/>
      <w:keepLines/>
      <w:spacing w:before="40" w:after="0"/>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rsid w:val="007703DE"/>
    <w:rPr>
      <w:rFonts w:ascii="Times New Roman" w:hAnsi="Times New Roman" w:cs="Courier New"/>
      <w:b/>
      <w:bCs/>
      <w:iCs/>
      <w:color w:val="000000"/>
      <w:sz w:val="28"/>
      <w:szCs w:val="28"/>
    </w:rPr>
  </w:style>
  <w:style w:type="character" w:customStyle="1" w:styleId="Heading3Char">
    <w:name w:val="Heading 3 Char"/>
    <w:basedOn w:val="DefaultParagraphFont"/>
    <w:link w:val="Heading3"/>
    <w:uiPriority w:val="9"/>
    <w:rsid w:val="00EE7751"/>
    <w:rPr>
      <w:rFonts w:ascii="Times New Roman" w:eastAsiaTheme="majorEastAsia" w:hAnsi="Times New Roman" w:cstheme="majorBidi"/>
      <w:b/>
      <w:sz w:val="26"/>
      <w:szCs w:val="24"/>
    </w:rPr>
  </w:style>
  <w:style w:type="character" w:customStyle="1" w:styleId="Heading1Char">
    <w:name w:val="Heading 1 Char"/>
    <w:basedOn w:val="DefaultParagraphFont"/>
    <w:link w:val="Heading1"/>
    <w:uiPriority w:val="9"/>
    <w:rsid w:val="007703DE"/>
    <w:rPr>
      <w:rFonts w:ascii="Times New Roman" w:eastAsiaTheme="majorEastAsia" w:hAnsi="Times New Roman" w:cstheme="majorBidi"/>
      <w:b/>
      <w:sz w:val="32"/>
      <w:szCs w:val="32"/>
    </w:rPr>
  </w:style>
  <w:style w:type="character" w:customStyle="1" w:styleId="Heading4Char">
    <w:name w:val="Heading 4 Char"/>
    <w:basedOn w:val="DefaultParagraphFont"/>
    <w:link w:val="Heading4"/>
    <w:uiPriority w:val="9"/>
    <w:rsid w:val="00EE7751"/>
    <w:rPr>
      <w:rFonts w:ascii="Times New Roman" w:eastAsiaTheme="majorEastAsia" w:hAnsi="Times New Roman" w:cstheme="majorBidi"/>
      <w:i/>
      <w:iCs/>
      <w:sz w:val="24"/>
    </w:rPr>
  </w:style>
  <w:style w:type="character" w:styleId="Strong">
    <w:name w:val="Strong"/>
    <w:basedOn w:val="DefaultParagraphFont"/>
    <w:uiPriority w:val="22"/>
    <w:qFormat/>
    <w:rsid w:val="00C32D9C"/>
    <w:rPr>
      <w:b/>
      <w:bCs/>
    </w:rPr>
  </w:style>
  <w:style w:type="character" w:customStyle="1" w:styleId="highlighter--deleted">
    <w:name w:val="highlighter--deleted"/>
    <w:basedOn w:val="DefaultParagraphFont"/>
    <w:rsid w:val="00C32D9C"/>
  </w:style>
  <w:style w:type="table" w:styleId="PlainTable2">
    <w:name w:val="Plain Table 2"/>
    <w:basedOn w:val="TableNormal"/>
    <w:uiPriority w:val="42"/>
    <w:rsid w:val="00C32D9C"/>
    <w:pPr>
      <w:spacing w:after="0" w:line="240" w:lineRule="auto"/>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39"/>
    <w:rsid w:val="00B15E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000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00CE"/>
    <w:rPr>
      <w:rFonts w:ascii="Times New Roman" w:hAnsi="Times New Roman"/>
      <w:sz w:val="24"/>
    </w:rPr>
  </w:style>
  <w:style w:type="paragraph" w:styleId="Footer">
    <w:name w:val="footer"/>
    <w:basedOn w:val="Normal"/>
    <w:link w:val="FooterChar"/>
    <w:uiPriority w:val="99"/>
    <w:unhideWhenUsed/>
    <w:rsid w:val="00E000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00CE"/>
    <w:rPr>
      <w:rFonts w:ascii="Times New Roman" w:hAnsi="Times New Roman"/>
      <w:sz w:val="24"/>
    </w:rPr>
  </w:style>
  <w:style w:type="character" w:styleId="Emphasis">
    <w:name w:val="Emphasis"/>
    <w:basedOn w:val="DefaultParagraphFont"/>
    <w:uiPriority w:val="20"/>
    <w:qFormat/>
    <w:rsid w:val="008F4D66"/>
    <w:rPr>
      <w:i/>
      <w:iCs/>
    </w:rPr>
  </w:style>
  <w:style w:type="character" w:styleId="Hyperlink">
    <w:name w:val="Hyperlink"/>
    <w:basedOn w:val="DefaultParagraphFont"/>
    <w:uiPriority w:val="99"/>
    <w:unhideWhenUsed/>
    <w:rsid w:val="008D40E5"/>
    <w:rPr>
      <w:color w:val="0000FF"/>
      <w:u w:val="single"/>
    </w:rPr>
  </w:style>
  <w:style w:type="paragraph" w:styleId="NormalWeb">
    <w:name w:val="Normal (Web)"/>
    <w:basedOn w:val="Normal"/>
    <w:uiPriority w:val="99"/>
    <w:unhideWhenUsed/>
    <w:rsid w:val="008D40E5"/>
    <w:rPr>
      <w:rFonts w:cs="Times New Roman"/>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8826379">
      <w:bodyDiv w:val="1"/>
      <w:marLeft w:val="0"/>
      <w:marRight w:val="0"/>
      <w:marTop w:val="0"/>
      <w:marBottom w:val="0"/>
      <w:divBdr>
        <w:top w:val="none" w:sz="0" w:space="0" w:color="auto"/>
        <w:left w:val="none" w:sz="0" w:space="0" w:color="auto"/>
        <w:bottom w:val="none" w:sz="0" w:space="0" w:color="auto"/>
        <w:right w:val="none" w:sz="0" w:space="0" w:color="auto"/>
      </w:divBdr>
      <w:divsChild>
        <w:div w:id="550382005">
          <w:marLeft w:val="0"/>
          <w:marRight w:val="0"/>
          <w:marTop w:val="240"/>
          <w:marBottom w:val="240"/>
          <w:divBdr>
            <w:top w:val="none" w:sz="0" w:space="0" w:color="auto"/>
            <w:left w:val="none" w:sz="0" w:space="0" w:color="auto"/>
            <w:bottom w:val="none" w:sz="0" w:space="0" w:color="auto"/>
            <w:right w:val="none" w:sz="0" w:space="0" w:color="auto"/>
          </w:divBdr>
        </w:div>
      </w:divsChild>
    </w:div>
    <w:div w:id="480076001">
      <w:bodyDiv w:val="1"/>
      <w:marLeft w:val="0"/>
      <w:marRight w:val="0"/>
      <w:marTop w:val="0"/>
      <w:marBottom w:val="0"/>
      <w:divBdr>
        <w:top w:val="none" w:sz="0" w:space="0" w:color="auto"/>
        <w:left w:val="none" w:sz="0" w:space="0" w:color="auto"/>
        <w:bottom w:val="none" w:sz="0" w:space="0" w:color="auto"/>
        <w:right w:val="none" w:sz="0" w:space="0" w:color="auto"/>
      </w:divBdr>
    </w:div>
    <w:div w:id="579602184">
      <w:bodyDiv w:val="1"/>
      <w:marLeft w:val="0"/>
      <w:marRight w:val="0"/>
      <w:marTop w:val="0"/>
      <w:marBottom w:val="0"/>
      <w:divBdr>
        <w:top w:val="none" w:sz="0" w:space="0" w:color="auto"/>
        <w:left w:val="none" w:sz="0" w:space="0" w:color="auto"/>
        <w:bottom w:val="none" w:sz="0" w:space="0" w:color="auto"/>
        <w:right w:val="none" w:sz="0" w:space="0" w:color="auto"/>
      </w:divBdr>
      <w:divsChild>
        <w:div w:id="146945752">
          <w:marLeft w:val="0"/>
          <w:marRight w:val="0"/>
          <w:marTop w:val="240"/>
          <w:marBottom w:val="240"/>
          <w:divBdr>
            <w:top w:val="none" w:sz="0" w:space="0" w:color="auto"/>
            <w:left w:val="none" w:sz="0" w:space="0" w:color="auto"/>
            <w:bottom w:val="none" w:sz="0" w:space="0" w:color="auto"/>
            <w:right w:val="none" w:sz="0" w:space="0" w:color="auto"/>
          </w:divBdr>
        </w:div>
      </w:divsChild>
    </w:div>
    <w:div w:id="592477324">
      <w:bodyDiv w:val="1"/>
      <w:marLeft w:val="0"/>
      <w:marRight w:val="0"/>
      <w:marTop w:val="0"/>
      <w:marBottom w:val="0"/>
      <w:divBdr>
        <w:top w:val="none" w:sz="0" w:space="0" w:color="auto"/>
        <w:left w:val="none" w:sz="0" w:space="0" w:color="auto"/>
        <w:bottom w:val="none" w:sz="0" w:space="0" w:color="auto"/>
        <w:right w:val="none" w:sz="0" w:space="0" w:color="auto"/>
      </w:divBdr>
      <w:divsChild>
        <w:div w:id="1469592814">
          <w:marLeft w:val="0"/>
          <w:marRight w:val="0"/>
          <w:marTop w:val="240"/>
          <w:marBottom w:val="240"/>
          <w:divBdr>
            <w:top w:val="none" w:sz="0" w:space="0" w:color="auto"/>
            <w:left w:val="none" w:sz="0" w:space="0" w:color="auto"/>
            <w:bottom w:val="none" w:sz="0" w:space="0" w:color="auto"/>
            <w:right w:val="none" w:sz="0" w:space="0" w:color="auto"/>
          </w:divBdr>
        </w:div>
      </w:divsChild>
    </w:div>
    <w:div w:id="717436533">
      <w:bodyDiv w:val="1"/>
      <w:marLeft w:val="0"/>
      <w:marRight w:val="0"/>
      <w:marTop w:val="0"/>
      <w:marBottom w:val="0"/>
      <w:divBdr>
        <w:top w:val="none" w:sz="0" w:space="0" w:color="auto"/>
        <w:left w:val="none" w:sz="0" w:space="0" w:color="auto"/>
        <w:bottom w:val="none" w:sz="0" w:space="0" w:color="auto"/>
        <w:right w:val="none" w:sz="0" w:space="0" w:color="auto"/>
      </w:divBdr>
      <w:divsChild>
        <w:div w:id="2000885072">
          <w:marLeft w:val="0"/>
          <w:marRight w:val="0"/>
          <w:marTop w:val="240"/>
          <w:marBottom w:val="240"/>
          <w:divBdr>
            <w:top w:val="none" w:sz="0" w:space="0" w:color="auto"/>
            <w:left w:val="none" w:sz="0" w:space="0" w:color="auto"/>
            <w:bottom w:val="none" w:sz="0" w:space="0" w:color="auto"/>
            <w:right w:val="none" w:sz="0" w:space="0" w:color="auto"/>
          </w:divBdr>
        </w:div>
      </w:divsChild>
    </w:div>
    <w:div w:id="879366324">
      <w:bodyDiv w:val="1"/>
      <w:marLeft w:val="0"/>
      <w:marRight w:val="0"/>
      <w:marTop w:val="0"/>
      <w:marBottom w:val="0"/>
      <w:divBdr>
        <w:top w:val="none" w:sz="0" w:space="0" w:color="auto"/>
        <w:left w:val="none" w:sz="0" w:space="0" w:color="auto"/>
        <w:bottom w:val="none" w:sz="0" w:space="0" w:color="auto"/>
        <w:right w:val="none" w:sz="0" w:space="0" w:color="auto"/>
      </w:divBdr>
    </w:div>
    <w:div w:id="1102452702">
      <w:bodyDiv w:val="1"/>
      <w:marLeft w:val="0"/>
      <w:marRight w:val="0"/>
      <w:marTop w:val="0"/>
      <w:marBottom w:val="0"/>
      <w:divBdr>
        <w:top w:val="none" w:sz="0" w:space="0" w:color="auto"/>
        <w:left w:val="none" w:sz="0" w:space="0" w:color="auto"/>
        <w:bottom w:val="none" w:sz="0" w:space="0" w:color="auto"/>
        <w:right w:val="none" w:sz="0" w:space="0" w:color="auto"/>
      </w:divBdr>
      <w:divsChild>
        <w:div w:id="576480905">
          <w:marLeft w:val="0"/>
          <w:marRight w:val="0"/>
          <w:marTop w:val="240"/>
          <w:marBottom w:val="240"/>
          <w:divBdr>
            <w:top w:val="none" w:sz="0" w:space="0" w:color="auto"/>
            <w:left w:val="none" w:sz="0" w:space="0" w:color="auto"/>
            <w:bottom w:val="none" w:sz="0" w:space="0" w:color="auto"/>
            <w:right w:val="none" w:sz="0" w:space="0" w:color="auto"/>
          </w:divBdr>
        </w:div>
      </w:divsChild>
    </w:div>
    <w:div w:id="1655916391">
      <w:bodyDiv w:val="1"/>
      <w:marLeft w:val="0"/>
      <w:marRight w:val="0"/>
      <w:marTop w:val="0"/>
      <w:marBottom w:val="0"/>
      <w:divBdr>
        <w:top w:val="none" w:sz="0" w:space="0" w:color="auto"/>
        <w:left w:val="none" w:sz="0" w:space="0" w:color="auto"/>
        <w:bottom w:val="none" w:sz="0" w:space="0" w:color="auto"/>
        <w:right w:val="none" w:sz="0" w:space="0" w:color="auto"/>
      </w:divBdr>
      <w:divsChild>
        <w:div w:id="488404619">
          <w:marLeft w:val="0"/>
          <w:marRight w:val="0"/>
          <w:marTop w:val="240"/>
          <w:marBottom w:val="240"/>
          <w:divBdr>
            <w:top w:val="none" w:sz="0" w:space="0" w:color="auto"/>
            <w:left w:val="none" w:sz="0" w:space="0" w:color="auto"/>
            <w:bottom w:val="none" w:sz="0" w:space="0" w:color="auto"/>
            <w:right w:val="none" w:sz="0" w:space="0" w:color="auto"/>
          </w:divBdr>
        </w:div>
      </w:divsChild>
    </w:div>
    <w:div w:id="2015449360">
      <w:bodyDiv w:val="1"/>
      <w:marLeft w:val="0"/>
      <w:marRight w:val="0"/>
      <w:marTop w:val="0"/>
      <w:marBottom w:val="0"/>
      <w:divBdr>
        <w:top w:val="none" w:sz="0" w:space="0" w:color="auto"/>
        <w:left w:val="none" w:sz="0" w:space="0" w:color="auto"/>
        <w:bottom w:val="none" w:sz="0" w:space="0" w:color="auto"/>
        <w:right w:val="none" w:sz="0" w:space="0" w:color="auto"/>
      </w:divBdr>
      <w:divsChild>
        <w:div w:id="655106420">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svg"/><Relationship Id="rId3" Type="http://schemas.openxmlformats.org/officeDocument/2006/relationships/settings" Target="settings.xml"/><Relationship Id="rId7" Type="http://schemas.openxmlformats.org/officeDocument/2006/relationships/hyperlink" Target="mailto:huzaifaahmadcheema@gmail.com" TargetMode="Externa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svg"/><Relationship Id="rId5" Type="http://schemas.openxmlformats.org/officeDocument/2006/relationships/footnotes" Target="footnotes.xml"/><Relationship Id="rId15" Type="http://schemas.openxmlformats.org/officeDocument/2006/relationships/image" Target="media/image7.svg"/><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F92B12-1D31-4574-BEA2-7FC99F7027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19</Pages>
  <Words>12671</Words>
  <Characters>72230</Characters>
  <Application>Microsoft Office Word</Application>
  <DocSecurity>0</DocSecurity>
  <Lines>601</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Huzaifa Ahmad Cheema</dc:creator>
  <cp:keywords/>
  <dc:description/>
  <cp:lastModifiedBy>Huzaifa Ahmad Cheema</cp:lastModifiedBy>
  <cp:revision>18</cp:revision>
  <dcterms:created xsi:type="dcterms:W3CDTF">2021-12-12T11:14:00Z</dcterms:created>
  <dcterms:modified xsi:type="dcterms:W3CDTF">2022-04-07T18:51:00Z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895be5bd-c460-3863-a5fc-4863b59aface</vt:lpwstr>
  </property>
  <property fmtid="{D5CDD505-2E9C-101B-9397-08002B2CF9AE}" pid="4" name="Mendeley Citation Style_1">
    <vt:lpwstr>http://www.zotero.org/styles/springer-basic-brackets</vt:lpwstr>
  </property>
  <property fmtid="{D5CDD505-2E9C-101B-9397-08002B2CF9AE}" pid="5" name="Mendeley Recent Style Id 0_1">
    <vt:lpwstr>http://csl.mendeley.com/styles/645075161/british-journal-of-anaesthesia</vt:lpwstr>
  </property>
  <property fmtid="{D5CDD505-2E9C-101B-9397-08002B2CF9AE}" pid="6" name="Mendeley Recent Style Name 0_1">
    <vt:lpwstr>British Journal of Anaesthesia - Mohammad Ashraf</vt:lpwstr>
  </property>
  <property fmtid="{D5CDD505-2E9C-101B-9397-08002B2CF9AE}" pid="7" name="Mendeley Recent Style Id 1_1">
    <vt:lpwstr>http://www.zotero.org/styles/chicago-author-date</vt:lpwstr>
  </property>
  <property fmtid="{D5CDD505-2E9C-101B-9397-08002B2CF9AE}" pid="8" name="Mendeley Recent Style Name 1_1">
    <vt:lpwstr>Chicago Manual of Style 17th edition (author-date)</vt:lpwstr>
  </property>
  <property fmtid="{D5CDD505-2E9C-101B-9397-08002B2CF9AE}" pid="9" name="Mendeley Recent Style Id 2_1">
    <vt:lpwstr>http://www.zotero.org/styles/clinical-nutrition</vt:lpwstr>
  </property>
  <property fmtid="{D5CDD505-2E9C-101B-9397-08002B2CF9AE}" pid="10" name="Mendeley Recent Style Name 2_1">
    <vt:lpwstr>Clinical Nutrition</vt:lpwstr>
  </property>
  <property fmtid="{D5CDD505-2E9C-101B-9397-08002B2CF9AE}" pid="11" name="Mendeley Recent Style Id 3_1">
    <vt:lpwstr>http://www.zotero.org/styles/international-journal-of-cardiology</vt:lpwstr>
  </property>
  <property fmtid="{D5CDD505-2E9C-101B-9397-08002B2CF9AE}" pid="12" name="Mendeley Recent Style Name 3_1">
    <vt:lpwstr>International Journal of Cardiology</vt:lpwstr>
  </property>
  <property fmtid="{D5CDD505-2E9C-101B-9397-08002B2CF9AE}" pid="13" name="Mendeley Recent Style Id 4_1">
    <vt:lpwstr>http://www.zotero.org/styles/journal-of-human-hypertension</vt:lpwstr>
  </property>
  <property fmtid="{D5CDD505-2E9C-101B-9397-08002B2CF9AE}" pid="14" name="Mendeley Recent Style Name 4_1">
    <vt:lpwstr>Journal of Human Hypertension</vt:lpwstr>
  </property>
  <property fmtid="{D5CDD505-2E9C-101B-9397-08002B2CF9AE}" pid="15" name="Mendeley Recent Style Id 5_1">
    <vt:lpwstr>http://www.zotero.org/styles/multidisciplinary-digital-publishing-institute</vt:lpwstr>
  </property>
  <property fmtid="{D5CDD505-2E9C-101B-9397-08002B2CF9AE}" pid="16" name="Mendeley Recent Style Name 5_1">
    <vt:lpwstr>Multidisciplinary Digital Publishing Institute</vt:lpwstr>
  </property>
  <property fmtid="{D5CDD505-2E9C-101B-9397-08002B2CF9AE}" pid="17" name="Mendeley Recent Style Id 6_1">
    <vt:lpwstr>http://www.zotero.org/styles/nutrients</vt:lpwstr>
  </property>
  <property fmtid="{D5CDD505-2E9C-101B-9397-08002B2CF9AE}" pid="18" name="Mendeley Recent Style Name 6_1">
    <vt:lpwstr>Nutrients</vt:lpwstr>
  </property>
  <property fmtid="{D5CDD505-2E9C-101B-9397-08002B2CF9AE}" pid="19" name="Mendeley Recent Style Id 7_1">
    <vt:lpwstr>http://www.zotero.org/styles/oxford-university-press-scimed-numeric</vt:lpwstr>
  </property>
  <property fmtid="{D5CDD505-2E9C-101B-9397-08002B2CF9AE}" pid="20" name="Mendeley Recent Style Name 7_1">
    <vt:lpwstr>Oxford University Press SciMed (numeric)</vt:lpwstr>
  </property>
  <property fmtid="{D5CDD505-2E9C-101B-9397-08002B2CF9AE}" pid="21" name="Mendeley Recent Style Id 8_1">
    <vt:lpwstr>http://www.zotero.org/styles/springer-basic-brackets</vt:lpwstr>
  </property>
  <property fmtid="{D5CDD505-2E9C-101B-9397-08002B2CF9AE}" pid="22" name="Mendeley Recent Style Name 8_1">
    <vt:lpwstr>Springer - Basic (numeric, brackets)</vt:lpwstr>
  </property>
  <property fmtid="{D5CDD505-2E9C-101B-9397-08002B2CF9AE}" pid="23" name="Mendeley Recent Style Id 9_1">
    <vt:lpwstr>http://www.zotero.org/styles/vancouver-superscript</vt:lpwstr>
  </property>
  <property fmtid="{D5CDD505-2E9C-101B-9397-08002B2CF9AE}" pid="24" name="Mendeley Recent Style Name 9_1">
    <vt:lpwstr>Vancouver (superscript)</vt:lpwstr>
  </property>
</Properties>
</file>