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EF044" w14:textId="1B862DED" w:rsidR="0084037D" w:rsidRPr="0084037D" w:rsidRDefault="0084037D" w:rsidP="0084037D">
      <w:pPr>
        <w:spacing w:line="36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Hlk99973634"/>
      <w:r w:rsidRPr="0084037D">
        <w:rPr>
          <w:rFonts w:ascii="Times New Roman" w:hAnsi="Times New Roman" w:cs="Times New Roman"/>
          <w:b/>
          <w:bCs/>
          <w:sz w:val="30"/>
          <w:szCs w:val="30"/>
        </w:rPr>
        <w:t>Supplementary Figures and Tables</w:t>
      </w:r>
    </w:p>
    <w:p w14:paraId="528C6BAE" w14:textId="77777777" w:rsidR="0084037D" w:rsidRDefault="0084037D" w:rsidP="0084037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6B268B" w14:textId="1F2466E7" w:rsidR="0084037D" w:rsidRPr="00D832B5" w:rsidRDefault="0084037D" w:rsidP="0084037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2B5">
        <w:rPr>
          <w:rFonts w:ascii="Times New Roman" w:hAnsi="Times New Roman" w:cs="Times New Roman"/>
          <w:b/>
          <w:bCs/>
          <w:sz w:val="24"/>
          <w:szCs w:val="24"/>
        </w:rPr>
        <w:t>Identification and preclinical development of kinetin as a safe error-prone SARS-CoV-2 antiviral and anti-inflammatory therapy</w:t>
      </w:r>
    </w:p>
    <w:p w14:paraId="6AB262A2" w14:textId="77777777" w:rsidR="0084037D" w:rsidRPr="00C7271C" w:rsidRDefault="0084037D" w:rsidP="0084037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ECD46" w14:textId="77777777" w:rsidR="0084037D" w:rsidRPr="0084037D" w:rsidRDefault="0084037D" w:rsidP="0084037D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</w:pPr>
      <w:bookmarkStart w:id="1" w:name="_Hlk89095814"/>
      <w:bookmarkEnd w:id="0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Thiago Moreno L. Souza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1,2,*#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 Vagner D. Pinho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3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Cristina F. Setin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Carolina Q. Sacramento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1,2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Rodrigo Marcon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Natalia Fintelman-Rodrigues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1,2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Melina Heller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Jairo R. Temerozo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1,5,6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 André C. Ferreira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1,2,7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84037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Mayara Mattos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1,2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84037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bookmarkStart w:id="2" w:name="_Hlk69914636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Patrícia B. Momo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3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Suelen S. G. Dias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 w:rsidRPr="0084037D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João Gesto</w:t>
      </w:r>
      <w:r w:rsidRPr="0084037D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pt-BR"/>
        </w:rPr>
        <w:t>1,2</w:t>
      </w:r>
      <w:r w:rsidRPr="0084037D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,</w:t>
      </w:r>
      <w:r w:rsidRPr="0084037D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Filipe Pereira-Dutra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bookmarkEnd w:id="2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 João Viola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8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Dumith</w:t>
      </w:r>
      <w:proofErr w:type="spell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C. Bou-Habib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5,6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 Patrícia T. Bozza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 Anderson R. Aguillón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3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84037D" w:rsidDel="00B55ACF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Jarbas Siqueira-Junior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, Sergio Macedo-Junior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, Edineia L. Andrade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,; Guilherme P. Fadanni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; Sara E. Tolouei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; Francine B. Potrich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 xml:space="preserve">;  </w:t>
      </w:r>
      <w:proofErr w:type="spellStart"/>
      <w:r w:rsidRPr="0084037D">
        <w:rPr>
          <w:rFonts w:ascii="Times New Roman" w:hAnsi="Times New Roman" w:cs="Times New Roman"/>
          <w:sz w:val="24"/>
          <w:szCs w:val="24"/>
          <w:lang w:val="pt-BR"/>
        </w:rPr>
        <w:t>Adara</w:t>
      </w:r>
      <w:proofErr w:type="spellEnd"/>
      <w:r w:rsidRPr="0084037D">
        <w:rPr>
          <w:rFonts w:ascii="Times New Roman" w:hAnsi="Times New Roman" w:cs="Times New Roman"/>
          <w:sz w:val="24"/>
          <w:szCs w:val="24"/>
          <w:lang w:val="pt-BR"/>
        </w:rPr>
        <w:t xml:space="preserve"> A.  Santos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84037D">
        <w:rPr>
          <w:rFonts w:ascii="Times New Roman" w:hAnsi="Times New Roman" w:cs="Times New Roman"/>
          <w:sz w:val="24"/>
          <w:szCs w:val="24"/>
          <w:lang w:val="pt-BR"/>
        </w:rPr>
        <w:t>Naiani</w:t>
      </w:r>
      <w:proofErr w:type="spellEnd"/>
      <w:r w:rsidRPr="0084037D">
        <w:rPr>
          <w:rFonts w:ascii="Times New Roman" w:hAnsi="Times New Roman" w:cs="Times New Roman"/>
          <w:sz w:val="24"/>
          <w:szCs w:val="24"/>
          <w:lang w:val="pt-BR"/>
        </w:rPr>
        <w:t xml:space="preserve"> F. Marques</w:t>
      </w:r>
      <w:r w:rsidRPr="0084037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4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João B. Calixto</w:t>
      </w:r>
      <w:proofErr w:type="gramStart"/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4,*</w:t>
      </w:r>
      <w:proofErr w:type="gramEnd"/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,#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 Jaime A. Rabi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3,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*,</w:t>
      </w:r>
      <w:r w:rsidRPr="0084037D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#</w:t>
      </w:r>
    </w:p>
    <w:p w14:paraId="1395C9E7" w14:textId="77777777" w:rsidR="0084037D" w:rsidRPr="00C7271C" w:rsidRDefault="0084037D" w:rsidP="0084037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71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#</w:t>
      </w:r>
      <w:r w:rsidRPr="00C7271C">
        <w:rPr>
          <w:rFonts w:ascii="Times New Roman" w:hAnsi="Times New Roman" w:cs="Times New Roman"/>
          <w:sz w:val="24"/>
          <w:szCs w:val="24"/>
        </w:rPr>
        <w:t>These authors contributed equally to this work</w:t>
      </w:r>
    </w:p>
    <w:p w14:paraId="746F63BA" w14:textId="77777777" w:rsidR="0084037D" w:rsidRPr="00C7271C" w:rsidRDefault="0084037D" w:rsidP="0084037D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14:paraId="7051DB57" w14:textId="77777777" w:rsidR="0084037D" w:rsidRPr="0084037D" w:rsidRDefault="0084037D" w:rsidP="0084037D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1 – Laboratório de </w:t>
      </w:r>
      <w:proofErr w:type="spell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Imunofarmacologia</w:t>
      </w:r>
      <w:proofErr w:type="spell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Oswaldo Cruz </w:t>
      </w:r>
      <w:proofErr w:type="spell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Institute</w:t>
      </w:r>
      <w:proofErr w:type="spell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 Fundação Oswaldo Cruz (Fiocruz), Rio de Janeiro, RJ, Brazil.</w:t>
      </w:r>
    </w:p>
    <w:p w14:paraId="0F5893B7" w14:textId="77777777" w:rsidR="0084037D" w:rsidRPr="00C7271C" w:rsidRDefault="0084037D" w:rsidP="0084037D">
      <w:pPr>
        <w:rPr>
          <w:rFonts w:ascii="Times New Roman" w:eastAsia="Times New Roman" w:hAnsi="Times New Roman" w:cs="Times New Roman"/>
          <w:sz w:val="24"/>
          <w:szCs w:val="24"/>
        </w:rPr>
      </w:pP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2 - National Institute for Science and Technology on Innovation in Diseases of Neglected Populations (INCT/IDPN), Center for Technological Development in Health (CDTS),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Fiocruz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>, Rio de Janeiro, RJ, Brazil.</w:t>
      </w:r>
    </w:p>
    <w:p w14:paraId="542797BD" w14:textId="77777777" w:rsidR="0084037D" w:rsidRPr="0084037D" w:rsidRDefault="0084037D" w:rsidP="0084037D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3 </w:t>
      </w:r>
      <w:proofErr w:type="gram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-  Microbiológica</w:t>
      </w:r>
      <w:proofErr w:type="gram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Química e </w:t>
      </w:r>
      <w:proofErr w:type="spell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Farmacêutuca</w:t>
      </w:r>
      <w:proofErr w:type="spell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 Doutor Nicanor, 238 Inhaúma, Rio de Janeiro, RJ, Brazil.</w:t>
      </w:r>
    </w:p>
    <w:p w14:paraId="0DF519B6" w14:textId="77777777" w:rsidR="0084037D" w:rsidRPr="0084037D" w:rsidRDefault="0084037D" w:rsidP="0084037D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4- Centro de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Inovação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Ensaios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Pre-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clinicos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and National Institute for Science and Technology on Innovation </w:t>
      </w:r>
      <w:proofErr w:type="gramStart"/>
      <w:r w:rsidRPr="00C7271C">
        <w:rPr>
          <w:rFonts w:ascii="Times New Roman" w:eastAsia="Times New Roman" w:hAnsi="Times New Roman" w:cs="Times New Roman"/>
          <w:sz w:val="24"/>
          <w:szCs w:val="24"/>
        </w:rPr>
        <w:t>in  Medicines</w:t>
      </w:r>
      <w:proofErr w:type="gram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 and Identification of New Therapeutics Targets (INCT-INOVAMED). </w:t>
      </w: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Avenida Luiz </w:t>
      </w:r>
      <w:proofErr w:type="spell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Boiteux</w:t>
      </w:r>
      <w:proofErr w:type="spell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Piazza, 1302 Cachoeira do Bom Jesus, 88056-000 Florianópolis, SC Brazil.</w:t>
      </w:r>
    </w:p>
    <w:p w14:paraId="0EE80BC0" w14:textId="77777777" w:rsidR="0084037D" w:rsidRPr="00C7271C" w:rsidRDefault="0084037D" w:rsidP="0084037D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5 – National Institute for Science and Technology on Neuroimmunomodulation (INCT/NIM), Oswaldo Cruz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Institut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7271C">
        <w:rPr>
          <w:rFonts w:ascii="Times New Roman" w:eastAsia="Times New Roman" w:hAnsi="Times New Roman" w:cs="Times New Roman"/>
          <w:sz w:val="24"/>
          <w:szCs w:val="24"/>
        </w:rPr>
        <w:t>Fiocruz</w:t>
      </w:r>
      <w:proofErr w:type="spellEnd"/>
      <w:r w:rsidRPr="00C7271C">
        <w:rPr>
          <w:rFonts w:ascii="Times New Roman" w:eastAsia="Times New Roman" w:hAnsi="Times New Roman" w:cs="Times New Roman"/>
          <w:sz w:val="24"/>
          <w:szCs w:val="24"/>
        </w:rPr>
        <w:t>, Rio de Janeiro, RJ, Brazil.</w:t>
      </w:r>
    </w:p>
    <w:p w14:paraId="771773CD" w14:textId="77777777" w:rsidR="0084037D" w:rsidRPr="0084037D" w:rsidRDefault="0084037D" w:rsidP="0084037D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6 – </w:t>
      </w:r>
      <w:proofErr w:type="spell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Laboratory</w:t>
      </w:r>
      <w:proofErr w:type="spell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on</w:t>
      </w:r>
      <w:proofErr w:type="spell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Thymus</w:t>
      </w:r>
      <w:proofErr w:type="spell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Research, Oswaldo Cruz </w:t>
      </w:r>
      <w:proofErr w:type="spellStart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Institute</w:t>
      </w:r>
      <w:proofErr w:type="spellEnd"/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, Fiocruz, Rio de Janeiro, RJ, Brazil.</w:t>
      </w:r>
    </w:p>
    <w:p w14:paraId="59C2825F" w14:textId="77777777" w:rsidR="0084037D" w:rsidRPr="0084037D" w:rsidRDefault="0084037D" w:rsidP="0084037D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84037D">
        <w:rPr>
          <w:rFonts w:ascii="Times New Roman" w:eastAsia="Times New Roman" w:hAnsi="Times New Roman" w:cs="Times New Roman"/>
          <w:sz w:val="24"/>
          <w:szCs w:val="24"/>
          <w:lang w:val="pt-BR"/>
        </w:rPr>
        <w:t>7 - Universidade Iguaçu, Nova Iguaçu, RJ, Brazil.</w:t>
      </w:r>
    </w:p>
    <w:p w14:paraId="16105CF1" w14:textId="77777777" w:rsidR="0084037D" w:rsidRPr="00C7271C" w:rsidRDefault="0084037D" w:rsidP="0084037D">
      <w:pPr>
        <w:pStyle w:val="MDPI16affiliation"/>
        <w:ind w:left="0" w:firstLine="0"/>
        <w:rPr>
          <w:rFonts w:ascii="Times New Roman" w:hAnsi="Times New Roman"/>
          <w:color w:val="auto"/>
          <w:sz w:val="24"/>
          <w:szCs w:val="24"/>
          <w:lang w:val="pt-BR"/>
        </w:rPr>
      </w:pPr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8 </w:t>
      </w:r>
      <w:proofErr w:type="gram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- 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Program</w:t>
      </w:r>
      <w:proofErr w:type="spellEnd"/>
      <w:proofErr w:type="gram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of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Immunology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and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Tumor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Biology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Brazilian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National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Cancer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Institute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(INCA), Rua André Cavalcanti 37, 5</w:t>
      </w:r>
      <w:r w:rsidRPr="00C7271C">
        <w:rPr>
          <w:rFonts w:ascii="Times New Roman" w:hAnsi="Times New Roman"/>
          <w:color w:val="auto"/>
          <w:sz w:val="24"/>
          <w:szCs w:val="24"/>
          <w:vertAlign w:val="superscript"/>
          <w:lang w:val="pt-BR"/>
        </w:rPr>
        <w:t>th</w:t>
      </w:r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floor</w:t>
      </w:r>
      <w:proofErr w:type="spellEnd"/>
      <w:r w:rsidRPr="00C7271C">
        <w:rPr>
          <w:rFonts w:ascii="Times New Roman" w:hAnsi="Times New Roman"/>
          <w:color w:val="auto"/>
          <w:sz w:val="24"/>
          <w:szCs w:val="24"/>
          <w:lang w:val="pt-BR"/>
        </w:rPr>
        <w:t>, Centro, Rio de Janeiro, Brazil;</w:t>
      </w:r>
    </w:p>
    <w:p w14:paraId="0CCA48A5" w14:textId="77777777" w:rsidR="0084037D" w:rsidRPr="0084037D" w:rsidRDefault="0084037D" w:rsidP="0084037D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751932B" w14:textId="77777777" w:rsidR="0084037D" w:rsidRPr="0084037D" w:rsidRDefault="0084037D" w:rsidP="0084037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84037D">
        <w:rPr>
          <w:rFonts w:ascii="Times New Roman" w:hAnsi="Times New Roman" w:cs="Times New Roman"/>
          <w:b/>
          <w:bCs/>
          <w:sz w:val="24"/>
          <w:szCs w:val="24"/>
          <w:lang w:val="pt-BR"/>
        </w:rPr>
        <w:t>*</w:t>
      </w:r>
      <w:proofErr w:type="spellStart"/>
      <w:r w:rsidRPr="0084037D">
        <w:rPr>
          <w:rFonts w:ascii="Times New Roman" w:hAnsi="Times New Roman" w:cs="Times New Roman"/>
          <w:b/>
          <w:bCs/>
          <w:sz w:val="24"/>
          <w:szCs w:val="24"/>
          <w:lang w:val="pt-BR"/>
        </w:rPr>
        <w:t>Correspondent</w:t>
      </w:r>
      <w:proofErr w:type="spellEnd"/>
      <w:r w:rsidRPr="0084037D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proofErr w:type="spellStart"/>
      <w:r w:rsidRPr="0084037D">
        <w:rPr>
          <w:rFonts w:ascii="Times New Roman" w:hAnsi="Times New Roman" w:cs="Times New Roman"/>
          <w:b/>
          <w:bCs/>
          <w:sz w:val="24"/>
          <w:szCs w:val="24"/>
          <w:lang w:val="pt-BR"/>
        </w:rPr>
        <w:t>authors</w:t>
      </w:r>
      <w:proofErr w:type="spellEnd"/>
      <w:r w:rsidRPr="0084037D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: </w:t>
      </w:r>
      <w:r w:rsidRPr="0084037D">
        <w:rPr>
          <w:rFonts w:ascii="Times New Roman" w:hAnsi="Times New Roman" w:cs="Times New Roman"/>
          <w:sz w:val="24"/>
          <w:szCs w:val="24"/>
          <w:lang w:val="pt-BR"/>
        </w:rPr>
        <w:t>Thiago Moreno L. Souza (</w:t>
      </w:r>
      <w:hyperlink r:id="rId8" w:history="1">
        <w:r w:rsidRPr="0084037D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thiago.moreno@fiocruz.br</w:t>
        </w:r>
      </w:hyperlink>
      <w:r w:rsidRPr="0084037D">
        <w:rPr>
          <w:rFonts w:ascii="Times New Roman" w:hAnsi="Times New Roman" w:cs="Times New Roman"/>
          <w:sz w:val="24"/>
          <w:szCs w:val="24"/>
          <w:lang w:val="pt-BR"/>
        </w:rPr>
        <w:t xml:space="preserve">), </w:t>
      </w:r>
      <w:bookmarkStart w:id="3" w:name="_Hlk99975446"/>
      <w:r w:rsidRPr="0084037D">
        <w:rPr>
          <w:rFonts w:ascii="Times New Roman" w:hAnsi="Times New Roman" w:cs="Times New Roman"/>
          <w:sz w:val="24"/>
          <w:szCs w:val="24"/>
          <w:lang w:val="pt-BR"/>
        </w:rPr>
        <w:t>João B. Calixto (</w:t>
      </w:r>
      <w:hyperlink r:id="rId9" w:history="1">
        <w:r w:rsidRPr="0084037D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joao.calixto@cienp.org.br</w:t>
        </w:r>
      </w:hyperlink>
      <w:r w:rsidRPr="0084037D">
        <w:rPr>
          <w:rFonts w:ascii="Times New Roman" w:hAnsi="Times New Roman" w:cs="Times New Roman"/>
          <w:sz w:val="24"/>
          <w:szCs w:val="24"/>
          <w:lang w:val="pt-BR"/>
        </w:rPr>
        <w:t xml:space="preserve"> ), Jaime A. Rabi (</w:t>
      </w:r>
      <w:hyperlink r:id="rId10" w:history="1">
        <w:r w:rsidRPr="0084037D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jrabi@microbiologica.ind.br</w:t>
        </w:r>
      </w:hyperlink>
      <w:r w:rsidRPr="0084037D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4037D">
        <w:rPr>
          <w:rFonts w:ascii="Times New Roman" w:hAnsi="Times New Roman" w:cs="Times New Roman"/>
          <w:b/>
          <w:bCs/>
          <w:sz w:val="24"/>
          <w:szCs w:val="24"/>
          <w:lang w:val="pt-BR"/>
        </w:rPr>
        <w:t>.</w:t>
      </w:r>
    </w:p>
    <w:bookmarkEnd w:id="3"/>
    <w:p w14:paraId="300E4186" w14:textId="2DF48168" w:rsidR="0084037D" w:rsidRPr="0084037D" w:rsidRDefault="0084037D">
      <w:pPr>
        <w:ind w:left="-540" w:right="-586"/>
        <w:jc w:val="center"/>
        <w:rPr>
          <w:rFonts w:ascii="Times New Roman" w:eastAsia="Times New Roman" w:hAnsi="Times New Roman" w:cs="Times New Roman"/>
          <w:b/>
          <w:lang w:val="pt-BR"/>
        </w:rPr>
      </w:pPr>
    </w:p>
    <w:p w14:paraId="18153073" w14:textId="7FF0720E" w:rsidR="0084037D" w:rsidRPr="0084037D" w:rsidRDefault="0084037D">
      <w:pPr>
        <w:ind w:left="-540" w:right="-586"/>
        <w:jc w:val="center"/>
        <w:rPr>
          <w:rFonts w:ascii="Times New Roman" w:eastAsia="Times New Roman" w:hAnsi="Times New Roman" w:cs="Times New Roman"/>
          <w:b/>
          <w:lang w:val="pt-BR"/>
        </w:rPr>
      </w:pPr>
    </w:p>
    <w:p w14:paraId="465491D3" w14:textId="77777777" w:rsidR="0084037D" w:rsidRPr="0084037D" w:rsidRDefault="0084037D">
      <w:pPr>
        <w:ind w:left="-540" w:right="-586"/>
        <w:jc w:val="center"/>
        <w:rPr>
          <w:rFonts w:ascii="Times New Roman" w:eastAsia="Times New Roman" w:hAnsi="Times New Roman" w:cs="Times New Roman"/>
          <w:b/>
          <w:lang w:val="pt-BR"/>
        </w:rPr>
      </w:pPr>
    </w:p>
    <w:p w14:paraId="5C0835BF" w14:textId="1C66D536" w:rsidR="00546275" w:rsidRDefault="00AB08C8">
      <w:pPr>
        <w:ind w:left="-540" w:right="-58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pt-BR"/>
        </w:rPr>
        <w:drawing>
          <wp:inline distT="0" distB="0" distL="0" distR="0" wp14:anchorId="3F7FB8DA" wp14:editId="5D164F4D">
            <wp:extent cx="5922047" cy="6021604"/>
            <wp:effectExtent l="0" t="0" r="2540" b="0"/>
            <wp:docPr id="2" name="Imagem 2" descr="C:\Users\rch\Desktop\Painel 1 - PK e metabol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h\Desktop\Painel 1 - PK e metabolism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" r="2657" b="1677"/>
                    <a:stretch/>
                  </pic:blipFill>
                  <pic:spPr bwMode="auto">
                    <a:xfrm>
                      <a:off x="0" y="0"/>
                      <a:ext cx="5928671" cy="60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2DABF" w14:textId="5F3D2D6D" w:rsidR="00546275" w:rsidRDefault="00BB1DF1">
      <w:pPr>
        <w:ind w:left="-540" w:right="-586"/>
        <w:jc w:val="both"/>
        <w:rPr>
          <w:rFonts w:ascii="Times New Roman" w:eastAsia="Times New Roman" w:hAnsi="Times New Roman" w:cs="Times New Roman"/>
          <w:shd w:val="clear" w:color="auto" w:fill="FFFCF0"/>
        </w:rPr>
      </w:pPr>
      <w:r>
        <w:rPr>
          <w:rFonts w:ascii="Times New Roman" w:eastAsia="Times New Roman" w:hAnsi="Times New Roman" w:cs="Times New Roman"/>
          <w:b/>
        </w:rPr>
        <w:t xml:space="preserve">Supplementary Figure </w:t>
      </w:r>
      <w:r w:rsidR="007046D8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  <w:b/>
        </w:rPr>
        <w:t>: Pharmacokinetics in mice, protein binding, CYP inhibition and metabolites. a</w:t>
      </w:r>
      <w:r>
        <w:rPr>
          <w:rFonts w:ascii="Times New Roman" w:eastAsia="Times New Roman" w:hAnsi="Times New Roman" w:cs="Times New Roman"/>
        </w:rPr>
        <w:t xml:space="preserve">, Single intravenous dose (3 mg/kg bodyweight) pharmacokinetics properties of MB-905 in mouse plasma (n = 6); </w:t>
      </w:r>
      <w:r>
        <w:rPr>
          <w:rFonts w:ascii="Times New Roman" w:eastAsia="Times New Roman" w:hAnsi="Times New Roman" w:cs="Times New Roman"/>
          <w:b/>
        </w:rPr>
        <w:t>b</w:t>
      </w:r>
      <w:r>
        <w:rPr>
          <w:rFonts w:ascii="Times New Roman" w:eastAsia="Times New Roman" w:hAnsi="Times New Roman" w:cs="Times New Roman"/>
        </w:rPr>
        <w:t xml:space="preserve">, Single oral doses (3, 30 and 550 mg/kg bodyweight) pharmacokinetics properties of MB-905 in mouse plasma (n = 2-6); </w:t>
      </w:r>
      <w:r>
        <w:rPr>
          <w:rFonts w:ascii="Times New Roman" w:eastAsia="Times New Roman" w:hAnsi="Times New Roman" w:cs="Times New Roman"/>
          <w:b/>
        </w:rPr>
        <w:t>c,</w:t>
      </w:r>
      <w:r>
        <w:rPr>
          <w:rFonts w:ascii="Times New Roman" w:eastAsia="Times New Roman" w:hAnsi="Times New Roman" w:cs="Times New Roman"/>
        </w:rPr>
        <w:t xml:space="preserve"> Plasma putative metabolites after treatment with MB-905 (550 mg/kg, p.o.) (n=3); </w:t>
      </w:r>
      <w:r>
        <w:rPr>
          <w:rFonts w:ascii="Times New Roman" w:eastAsia="Times New Roman" w:hAnsi="Times New Roman" w:cs="Times New Roman"/>
          <w:b/>
        </w:rPr>
        <w:t>d,</w:t>
      </w:r>
      <w:r>
        <w:rPr>
          <w:rFonts w:ascii="Times New Roman" w:eastAsia="Times New Roman" w:hAnsi="Times New Roman" w:cs="Times New Roman"/>
        </w:rPr>
        <w:t xml:space="preserve"> Evaluation of </w:t>
      </w:r>
      <w:r>
        <w:rPr>
          <w:rFonts w:ascii="Times New Roman" w:eastAsia="Times New Roman" w:hAnsi="Times New Roman" w:cs="Times New Roman"/>
          <w:i/>
        </w:rPr>
        <w:t>in vitro</w:t>
      </w:r>
      <w:r>
        <w:rPr>
          <w:rFonts w:ascii="Times New Roman" w:eastAsia="Times New Roman" w:hAnsi="Times New Roman" w:cs="Times New Roman"/>
        </w:rPr>
        <w:t xml:space="preserve"> protein binding percentage of MB-905 (0.26 – 26 µM) in mouse plasma (n = 3); </w:t>
      </w:r>
      <w:r>
        <w:rPr>
          <w:rFonts w:ascii="Times New Roman" w:eastAsia="Times New Roman" w:hAnsi="Times New Roman" w:cs="Times New Roman"/>
          <w:b/>
        </w:rPr>
        <w:t>e,</w:t>
      </w:r>
      <w:r>
        <w:rPr>
          <w:rFonts w:ascii="Times New Roman" w:eastAsia="Times New Roman" w:hAnsi="Times New Roman" w:cs="Times New Roman"/>
        </w:rPr>
        <w:t xml:space="preserve"> MB-905 (100 µM) or ketoconazole (0.5 µM- an inhibitor of CYP3A4) were incubated with recombinant human CYP3A4 and midazolam and evaluated the production of 1-hydroxy-midazolam (n = 3); </w:t>
      </w:r>
      <w:r>
        <w:rPr>
          <w:rFonts w:ascii="Times New Roman" w:eastAsia="Times New Roman" w:hAnsi="Times New Roman" w:cs="Times New Roman"/>
          <w:b/>
        </w:rPr>
        <w:t>f,</w:t>
      </w:r>
      <w:r>
        <w:rPr>
          <w:rFonts w:ascii="Times New Roman" w:eastAsia="Times New Roman" w:hAnsi="Times New Roman" w:cs="Times New Roman"/>
        </w:rPr>
        <w:t xml:space="preserve"> MB-905 or quinidine (0.2 µM- an inhibitor of CYP2D6) were incubated with recombinant human CYP2D6 and dextromethorphan and evaluated the production of O-</w:t>
      </w:r>
      <w:proofErr w:type="spellStart"/>
      <w:r>
        <w:rPr>
          <w:rFonts w:ascii="Times New Roman" w:eastAsia="Times New Roman" w:hAnsi="Times New Roman" w:cs="Times New Roman"/>
        </w:rPr>
        <w:t>demethyl</w:t>
      </w:r>
      <w:proofErr w:type="spellEnd"/>
      <w:r>
        <w:rPr>
          <w:rFonts w:ascii="Times New Roman" w:eastAsia="Times New Roman" w:hAnsi="Times New Roman" w:cs="Times New Roman"/>
        </w:rPr>
        <w:t xml:space="preserve">-dextromethorphan (n = 3); </w:t>
      </w:r>
      <w:r>
        <w:rPr>
          <w:rFonts w:ascii="Times New Roman" w:eastAsia="Times New Roman" w:hAnsi="Times New Roman" w:cs="Times New Roman"/>
          <w:b/>
        </w:rPr>
        <w:t>g,</w:t>
      </w:r>
      <w:r>
        <w:rPr>
          <w:rFonts w:ascii="Times New Roman" w:eastAsia="Times New Roman" w:hAnsi="Times New Roman" w:cs="Times New Roman"/>
        </w:rPr>
        <w:t xml:space="preserve"> MB-905 (0.1, 1 and 10 µM) was incubated with human liver </w:t>
      </w:r>
      <w:proofErr w:type="spellStart"/>
      <w:r>
        <w:rPr>
          <w:rFonts w:ascii="Times New Roman" w:eastAsia="Times New Roman" w:hAnsi="Times New Roman" w:cs="Times New Roman"/>
        </w:rPr>
        <w:t>microssome</w:t>
      </w:r>
      <w:proofErr w:type="spellEnd"/>
      <w:r>
        <w:rPr>
          <w:rFonts w:ascii="Times New Roman" w:eastAsia="Times New Roman" w:hAnsi="Times New Roman" w:cs="Times New Roman"/>
        </w:rPr>
        <w:t xml:space="preserve"> (HLM) in the presence and in the absence of NADPH following analysis of MB-905 concentrations at 0, 5, 15, 30 and 60 minutes after NADPH (n = 2-3). Data were expressed as mean ± SEM (Standard Error of the Mean). (</w:t>
      </w:r>
      <w:r>
        <w:rPr>
          <w:rFonts w:ascii="Times New Roman" w:eastAsia="Times New Roman" w:hAnsi="Times New Roman" w:cs="Times New Roman"/>
          <w:b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b/>
        </w:rPr>
        <w:t xml:space="preserve"> f</w:t>
      </w:r>
      <w:r>
        <w:rPr>
          <w:rFonts w:ascii="Times New Roman" w:eastAsia="Times New Roman" w:hAnsi="Times New Roman" w:cs="Times New Roman"/>
        </w:rPr>
        <w:t xml:space="preserve">) #p&lt;0.05 </w:t>
      </w:r>
      <w:r>
        <w:rPr>
          <w:rFonts w:ascii="Times New Roman" w:eastAsia="Times New Roman" w:hAnsi="Times New Roman" w:cs="Times New Roman"/>
          <w:shd w:val="clear" w:color="auto" w:fill="FFFCF0"/>
        </w:rPr>
        <w:t xml:space="preserve">significantly different from the negative </w:t>
      </w:r>
      <w:r>
        <w:rPr>
          <w:rFonts w:ascii="Times New Roman" w:eastAsia="Times New Roman" w:hAnsi="Times New Roman" w:cs="Times New Roman"/>
          <w:shd w:val="clear" w:color="auto" w:fill="FFFCF0"/>
        </w:rPr>
        <w:lastRenderedPageBreak/>
        <w:t>control (blank);</w:t>
      </w:r>
      <w:r>
        <w:rPr>
          <w:rFonts w:ascii="Times New Roman" w:eastAsia="Times New Roman" w:hAnsi="Times New Roman" w:cs="Times New Roman"/>
        </w:rPr>
        <w:t xml:space="preserve"> *p&lt;0.05 </w:t>
      </w:r>
      <w:r>
        <w:rPr>
          <w:rFonts w:ascii="Times New Roman" w:eastAsia="Times New Roman" w:hAnsi="Times New Roman" w:cs="Times New Roman"/>
          <w:shd w:val="clear" w:color="auto" w:fill="FFFCF0"/>
        </w:rPr>
        <w:t xml:space="preserve">significantly different from the vehicle. One-way ANOVA followed by the Tukey Test were performed. Noncompartmental data analysis was performed using Phoenix </w:t>
      </w:r>
      <w:proofErr w:type="spellStart"/>
      <w:r>
        <w:rPr>
          <w:rFonts w:ascii="Times New Roman" w:eastAsia="Times New Roman" w:hAnsi="Times New Roman" w:cs="Times New Roman"/>
          <w:shd w:val="clear" w:color="auto" w:fill="FFFCF0"/>
        </w:rPr>
        <w:t>WinNonlin</w:t>
      </w:r>
      <w:proofErr w:type="spellEnd"/>
      <w:r>
        <w:rPr>
          <w:rFonts w:ascii="Times New Roman" w:eastAsia="Times New Roman" w:hAnsi="Times New Roman" w:cs="Times New Roman"/>
          <w:shd w:val="clear" w:color="auto" w:fill="FFFCF0"/>
        </w:rPr>
        <w:t>®.</w:t>
      </w:r>
    </w:p>
    <w:p w14:paraId="028E9C9E" w14:textId="77777777" w:rsidR="00546275" w:rsidRDefault="00546275">
      <w:pPr>
        <w:ind w:left="-540" w:right="-586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08E0DA65" w14:textId="0C8F81B3" w:rsidR="00546275" w:rsidRDefault="00BB1DF1">
      <w:pPr>
        <w:ind w:left="-540" w:right="-58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Table </w:t>
      </w:r>
      <w:r w:rsidR="007046D8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Pharmacokinetic parameters for MB-905 in mice.</w:t>
      </w:r>
    </w:p>
    <w:tbl>
      <w:tblPr>
        <w:tblStyle w:val="a0"/>
        <w:tblW w:w="9608" w:type="dxa"/>
        <w:tblInd w:w="-540" w:type="dxa"/>
        <w:tblBorders>
          <w:top w:val="single" w:sz="4" w:space="0" w:color="666666"/>
          <w:left w:val="single" w:sz="4" w:space="0" w:color="999999"/>
          <w:bottom w:val="single" w:sz="4" w:space="0" w:color="666666"/>
          <w:right w:val="single" w:sz="4" w:space="0" w:color="999999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2324"/>
        <w:gridCol w:w="2286"/>
        <w:gridCol w:w="2276"/>
      </w:tblGrid>
      <w:tr w:rsidR="00546275" w14:paraId="436CAD71" w14:textId="77777777" w:rsidTr="00546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E2EFD9"/>
          </w:tcPr>
          <w:p w14:paraId="35271761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Compound</w:t>
            </w:r>
          </w:p>
        </w:tc>
        <w:tc>
          <w:tcPr>
            <w:tcW w:w="6886" w:type="dxa"/>
            <w:gridSpan w:val="3"/>
            <w:shd w:val="clear" w:color="auto" w:fill="E2EFD9"/>
          </w:tcPr>
          <w:p w14:paraId="37B8B10A" w14:textId="77777777" w:rsidR="00546275" w:rsidRDefault="00BB1D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MB-905</w:t>
            </w:r>
          </w:p>
        </w:tc>
      </w:tr>
      <w:tr w:rsidR="00546275" w14:paraId="3F973D53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3B46959A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Dose and Route</w:t>
            </w:r>
          </w:p>
        </w:tc>
        <w:tc>
          <w:tcPr>
            <w:tcW w:w="2324" w:type="dxa"/>
            <w:shd w:val="clear" w:color="auto" w:fill="auto"/>
          </w:tcPr>
          <w:p w14:paraId="1DE60EB6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mg/kg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i.v.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6" w:type="dxa"/>
            <w:shd w:val="clear" w:color="auto" w:fill="auto"/>
          </w:tcPr>
          <w:p w14:paraId="1DCF26D3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mg/kg (p.o.)</w:t>
            </w:r>
          </w:p>
        </w:tc>
        <w:tc>
          <w:tcPr>
            <w:tcW w:w="2276" w:type="dxa"/>
            <w:shd w:val="clear" w:color="auto" w:fill="auto"/>
          </w:tcPr>
          <w:p w14:paraId="2F1123CD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 mg/kg (p.o.)</w:t>
            </w:r>
          </w:p>
        </w:tc>
      </w:tr>
      <w:tr w:rsidR="00546275" w14:paraId="3AB7C30A" w14:textId="77777777" w:rsidTr="00546275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2818686E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(ng/mL)</w:t>
            </w:r>
          </w:p>
        </w:tc>
        <w:tc>
          <w:tcPr>
            <w:tcW w:w="2324" w:type="dxa"/>
            <w:shd w:val="clear" w:color="auto" w:fill="auto"/>
          </w:tcPr>
          <w:p w14:paraId="4B6AFE2E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155.16</w:t>
            </w:r>
          </w:p>
        </w:tc>
        <w:tc>
          <w:tcPr>
            <w:tcW w:w="2286" w:type="dxa"/>
            <w:shd w:val="clear" w:color="auto" w:fill="auto"/>
          </w:tcPr>
          <w:p w14:paraId="62A609B8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569.97</w:t>
            </w:r>
          </w:p>
        </w:tc>
        <w:tc>
          <w:tcPr>
            <w:tcW w:w="2276" w:type="dxa"/>
            <w:shd w:val="clear" w:color="auto" w:fill="auto"/>
          </w:tcPr>
          <w:p w14:paraId="16CFBDF9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1053.37</w:t>
            </w:r>
          </w:p>
        </w:tc>
      </w:tr>
      <w:tr w:rsidR="00546275" w14:paraId="43AFABAB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36C21859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(h)</w:t>
            </w:r>
          </w:p>
        </w:tc>
        <w:tc>
          <w:tcPr>
            <w:tcW w:w="2324" w:type="dxa"/>
            <w:shd w:val="clear" w:color="auto" w:fill="auto"/>
          </w:tcPr>
          <w:p w14:paraId="4F2CCD45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0.083</w:t>
            </w:r>
          </w:p>
        </w:tc>
        <w:tc>
          <w:tcPr>
            <w:tcW w:w="2286" w:type="dxa"/>
            <w:shd w:val="clear" w:color="auto" w:fill="auto"/>
          </w:tcPr>
          <w:p w14:paraId="04CBC017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0.083</w:t>
            </w:r>
          </w:p>
        </w:tc>
        <w:tc>
          <w:tcPr>
            <w:tcW w:w="2276" w:type="dxa"/>
            <w:shd w:val="clear" w:color="auto" w:fill="auto"/>
          </w:tcPr>
          <w:p w14:paraId="1794D4AD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546275" w14:paraId="7E33A6BF" w14:textId="77777777" w:rsidTr="00546275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45598926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1/2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(h)</w:t>
            </w:r>
          </w:p>
        </w:tc>
        <w:tc>
          <w:tcPr>
            <w:tcW w:w="2324" w:type="dxa"/>
            <w:shd w:val="clear" w:color="auto" w:fill="auto"/>
          </w:tcPr>
          <w:p w14:paraId="16EF6254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2286" w:type="dxa"/>
            <w:shd w:val="clear" w:color="auto" w:fill="auto"/>
          </w:tcPr>
          <w:p w14:paraId="789BFD17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276" w:type="dxa"/>
            <w:shd w:val="clear" w:color="auto" w:fill="auto"/>
          </w:tcPr>
          <w:p w14:paraId="13494DA0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2.72</w:t>
            </w:r>
          </w:p>
        </w:tc>
      </w:tr>
      <w:tr w:rsidR="00546275" w14:paraId="08FECF64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1E90F35C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 (mL/min/kg)</w:t>
            </w:r>
          </w:p>
        </w:tc>
        <w:tc>
          <w:tcPr>
            <w:tcW w:w="2324" w:type="dxa"/>
            <w:shd w:val="clear" w:color="auto" w:fill="auto"/>
          </w:tcPr>
          <w:p w14:paraId="39D4E192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918.38</w:t>
            </w:r>
          </w:p>
        </w:tc>
        <w:tc>
          <w:tcPr>
            <w:tcW w:w="2286" w:type="dxa"/>
            <w:shd w:val="clear" w:color="auto" w:fill="auto"/>
          </w:tcPr>
          <w:p w14:paraId="36DE6D04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1060.15</w:t>
            </w:r>
          </w:p>
        </w:tc>
        <w:tc>
          <w:tcPr>
            <w:tcW w:w="2276" w:type="dxa"/>
            <w:shd w:val="clear" w:color="auto" w:fill="auto"/>
          </w:tcPr>
          <w:p w14:paraId="0E08F72A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1843.18</w:t>
            </w:r>
          </w:p>
        </w:tc>
      </w:tr>
      <w:tr w:rsidR="00546275" w14:paraId="76CD8003" w14:textId="77777777" w:rsidTr="00546275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3266ED98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(L/kg)</w:t>
            </w:r>
          </w:p>
        </w:tc>
        <w:tc>
          <w:tcPr>
            <w:tcW w:w="2324" w:type="dxa"/>
            <w:shd w:val="clear" w:color="auto" w:fill="auto"/>
          </w:tcPr>
          <w:p w14:paraId="31B5B7E3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286" w:type="dxa"/>
            <w:shd w:val="clear" w:color="auto" w:fill="auto"/>
          </w:tcPr>
          <w:p w14:paraId="235C46E0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102.21</w:t>
            </w:r>
          </w:p>
        </w:tc>
        <w:tc>
          <w:tcPr>
            <w:tcW w:w="2276" w:type="dxa"/>
            <w:shd w:val="clear" w:color="auto" w:fill="auto"/>
          </w:tcPr>
          <w:p w14:paraId="2617B6D3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434.2</w:t>
            </w:r>
          </w:p>
        </w:tc>
      </w:tr>
      <w:tr w:rsidR="00546275" w14:paraId="4A9B0820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44B4D83E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last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(h*ng/mL)</w:t>
            </w:r>
          </w:p>
        </w:tc>
        <w:tc>
          <w:tcPr>
            <w:tcW w:w="2324" w:type="dxa"/>
            <w:shd w:val="clear" w:color="auto" w:fill="auto"/>
          </w:tcPr>
          <w:p w14:paraId="68D8A4C1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55.48</w:t>
            </w:r>
          </w:p>
        </w:tc>
        <w:tc>
          <w:tcPr>
            <w:tcW w:w="2286" w:type="dxa"/>
            <w:shd w:val="clear" w:color="auto" w:fill="auto"/>
          </w:tcPr>
          <w:p w14:paraId="5A355EF9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355.63</w:t>
            </w:r>
          </w:p>
        </w:tc>
        <w:tc>
          <w:tcPr>
            <w:tcW w:w="2276" w:type="dxa"/>
            <w:shd w:val="clear" w:color="auto" w:fill="auto"/>
          </w:tcPr>
          <w:p w14:paraId="4C894EA6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4392.27</w:t>
            </w:r>
          </w:p>
        </w:tc>
      </w:tr>
      <w:tr w:rsidR="00546275" w14:paraId="6A2D1C44" w14:textId="77777777" w:rsidTr="00546275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38939AF4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(h*ng/mL)</w:t>
            </w:r>
          </w:p>
        </w:tc>
        <w:tc>
          <w:tcPr>
            <w:tcW w:w="2324" w:type="dxa"/>
            <w:shd w:val="clear" w:color="auto" w:fill="auto"/>
          </w:tcPr>
          <w:p w14:paraId="11AC48A0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66.41</w:t>
            </w:r>
          </w:p>
        </w:tc>
        <w:tc>
          <w:tcPr>
            <w:tcW w:w="2286" w:type="dxa"/>
            <w:shd w:val="clear" w:color="auto" w:fill="auto"/>
          </w:tcPr>
          <w:p w14:paraId="196AEEA1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355.63</w:t>
            </w:r>
          </w:p>
        </w:tc>
        <w:tc>
          <w:tcPr>
            <w:tcW w:w="2276" w:type="dxa"/>
            <w:shd w:val="clear" w:color="auto" w:fill="auto"/>
          </w:tcPr>
          <w:p w14:paraId="36515B6C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4392.27</w:t>
            </w:r>
          </w:p>
        </w:tc>
      </w:tr>
      <w:tr w:rsidR="00546275" w14:paraId="4D11D55B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5FA25B55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(1/h)</w:t>
            </w:r>
          </w:p>
        </w:tc>
        <w:tc>
          <w:tcPr>
            <w:tcW w:w="2324" w:type="dxa"/>
            <w:shd w:val="clear" w:color="auto" w:fill="auto"/>
          </w:tcPr>
          <w:p w14:paraId="7296A4AB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2286" w:type="dxa"/>
            <w:shd w:val="clear" w:color="auto" w:fill="auto"/>
          </w:tcPr>
          <w:p w14:paraId="18381754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2276" w:type="dxa"/>
            <w:shd w:val="clear" w:color="auto" w:fill="auto"/>
          </w:tcPr>
          <w:p w14:paraId="3AE3B7E0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</w:tr>
      <w:tr w:rsidR="00546275" w14:paraId="2A828BD9" w14:textId="77777777" w:rsidTr="00546275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auto"/>
          </w:tcPr>
          <w:p w14:paraId="4032DAC0" w14:textId="77777777" w:rsidR="00546275" w:rsidRDefault="00BB1D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324" w:type="dxa"/>
            <w:shd w:val="clear" w:color="auto" w:fill="auto"/>
          </w:tcPr>
          <w:p w14:paraId="79FED7A8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86" w:type="dxa"/>
            <w:shd w:val="clear" w:color="auto" w:fill="auto"/>
          </w:tcPr>
          <w:p w14:paraId="40A4350D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53.50%</w:t>
            </w:r>
          </w:p>
        </w:tc>
        <w:tc>
          <w:tcPr>
            <w:tcW w:w="2276" w:type="dxa"/>
            <w:shd w:val="clear" w:color="auto" w:fill="auto"/>
          </w:tcPr>
          <w:p w14:paraId="769418A6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36.10%</w:t>
            </w:r>
          </w:p>
        </w:tc>
      </w:tr>
    </w:tbl>
    <w:p w14:paraId="6D3BBAE7" w14:textId="77777777" w:rsidR="00546275" w:rsidRDefault="00BB1DF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450" w:right="-586" w:hanging="360"/>
        <w:jc w:val="both"/>
        <w:rPr>
          <w:rFonts w:ascii="Times New Roman" w:eastAsia="Times New Roman" w:hAnsi="Times New Roman" w:cs="Times New Roman"/>
          <w:color w:val="FF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max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Peak concentration;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max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Time to reach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max</w:t>
      </w:r>
      <w:proofErr w:type="spellEnd"/>
      <w:r>
        <w:rPr>
          <w:rFonts w:ascii="Times New Roman" w:eastAsia="Times New Roman" w:hAnsi="Times New Roman" w:cs="Times New Roman"/>
          <w:color w:val="000000"/>
        </w:rPr>
        <w:t>; 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1/2</w:t>
      </w:r>
      <w:r>
        <w:rPr>
          <w:rFonts w:ascii="Times New Roman" w:eastAsia="Times New Roman" w:hAnsi="Times New Roman" w:cs="Times New Roman"/>
          <w:color w:val="000000"/>
        </w:rPr>
        <w:t xml:space="preserve">: Half-life; CL: Clearance;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Volume of distribution;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AUC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last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Area under de curve (last);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AUC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area under de curve (all);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elimination rate constant; F: bioavailability. </w:t>
      </w:r>
      <w:r>
        <w:rPr>
          <w:rFonts w:ascii="Times New Roman" w:eastAsia="Times New Roman" w:hAnsi="Times New Roman" w:cs="Times New Roman"/>
          <w:color w:val="000000"/>
          <w:shd w:val="clear" w:color="auto" w:fill="FFFCF0"/>
        </w:rPr>
        <w:t xml:space="preserve">Noncompartmental data analysis was performed using Phoenix </w:t>
      </w:r>
      <w:proofErr w:type="spellStart"/>
      <w:r>
        <w:rPr>
          <w:rFonts w:ascii="Times New Roman" w:eastAsia="Times New Roman" w:hAnsi="Times New Roman" w:cs="Times New Roman"/>
          <w:color w:val="000000"/>
          <w:shd w:val="clear" w:color="auto" w:fill="FFFCF0"/>
        </w:rPr>
        <w:t>WinNonlin</w:t>
      </w:r>
      <w:proofErr w:type="spellEnd"/>
      <w:r>
        <w:rPr>
          <w:rFonts w:ascii="Times New Roman" w:eastAsia="Times New Roman" w:hAnsi="Times New Roman" w:cs="Times New Roman"/>
          <w:color w:val="000000"/>
          <w:shd w:val="clear" w:color="auto" w:fill="FFFCF0"/>
        </w:rPr>
        <w:t xml:space="preserve">®. Data represents the mean values of 3-6 animals per group. </w:t>
      </w:r>
    </w:p>
    <w:p w14:paraId="277E1D2A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31A7CE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FF519F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EAF4AF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B9D90F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C8D51D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A48A02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F4BB6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6EEB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3F321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316F3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443994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19951" w14:textId="77777777" w:rsidR="00546275" w:rsidRDefault="005462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4374E4" w14:textId="77777777" w:rsidR="00546275" w:rsidRDefault="0054627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E83F13" w14:textId="77777777" w:rsidR="00546275" w:rsidRDefault="005E407A">
      <w:pPr>
        <w:ind w:left="-540" w:right="-58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pt-BR"/>
        </w:rPr>
        <w:lastRenderedPageBreak/>
        <w:drawing>
          <wp:inline distT="0" distB="0" distL="0" distR="0" wp14:anchorId="4043C829" wp14:editId="036297E7">
            <wp:extent cx="5400040" cy="56311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el 3 - PK outro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8A33" w14:textId="66EC9F24" w:rsidR="00546275" w:rsidRDefault="00BB1DF1" w:rsidP="005E407A">
      <w:pPr>
        <w:ind w:left="-540" w:right="-586"/>
        <w:jc w:val="both"/>
        <w:rPr>
          <w:rFonts w:ascii="Times New Roman" w:eastAsia="Times New Roman" w:hAnsi="Times New Roman" w:cs="Times New Roman"/>
          <w:shd w:val="clear" w:color="auto" w:fill="FFFCF0"/>
        </w:rPr>
      </w:pPr>
      <w:r>
        <w:rPr>
          <w:rFonts w:ascii="Times New Roman" w:eastAsia="Times New Roman" w:hAnsi="Times New Roman" w:cs="Times New Roman"/>
          <w:b/>
        </w:rPr>
        <w:t xml:space="preserve">Supplementary Figure </w:t>
      </w:r>
      <w:r w:rsidR="007046D8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>: Pharmacokinetic and putative metabolites of MB-905 in rats. a</w:t>
      </w:r>
      <w:r>
        <w:rPr>
          <w:rFonts w:ascii="Times New Roman" w:eastAsia="Times New Roman" w:hAnsi="Times New Roman" w:cs="Times New Roman"/>
        </w:rPr>
        <w:t xml:space="preserve">, Single intravenous dose (1 mg/kg bodyweight) pharmacokinetics properties of MB-905 in rat plasma (n = 6); </w:t>
      </w:r>
      <w:r>
        <w:rPr>
          <w:rFonts w:ascii="Times New Roman" w:eastAsia="Times New Roman" w:hAnsi="Times New Roman" w:cs="Times New Roman"/>
          <w:b/>
        </w:rPr>
        <w:t>b</w:t>
      </w:r>
      <w:r>
        <w:rPr>
          <w:rFonts w:ascii="Times New Roman" w:eastAsia="Times New Roman" w:hAnsi="Times New Roman" w:cs="Times New Roman"/>
        </w:rPr>
        <w:t xml:space="preserve">, Single oral dose (30 mg/kg bodyweight) pharmacokinetics properties of MB-905 in rat plasma (n = 5); </w:t>
      </w:r>
      <w:r w:rsidR="005E407A">
        <w:rPr>
          <w:rFonts w:ascii="Times New Roman" w:eastAsia="Times New Roman" w:hAnsi="Times New Roman" w:cs="Times New Roman"/>
          <w:b/>
        </w:rPr>
        <w:t>c</w:t>
      </w:r>
      <w:r w:rsidR="005E407A">
        <w:rPr>
          <w:rFonts w:ascii="Times New Roman" w:eastAsia="Times New Roman" w:hAnsi="Times New Roman" w:cs="Times New Roman"/>
        </w:rPr>
        <w:t>, Plasma metabolites (5 metabolites) after treatment wit</w:t>
      </w:r>
      <w:r w:rsidR="00A34CAE">
        <w:rPr>
          <w:rFonts w:ascii="Times New Roman" w:eastAsia="Times New Roman" w:hAnsi="Times New Roman" w:cs="Times New Roman"/>
        </w:rPr>
        <w:t>h MB-905 (30 mg/kg, p.o.) (n = 3</w:t>
      </w:r>
      <w:r w:rsidR="005E407A">
        <w:rPr>
          <w:rFonts w:ascii="Times New Roman" w:eastAsia="Times New Roman" w:hAnsi="Times New Roman" w:cs="Times New Roman"/>
        </w:rPr>
        <w:t xml:space="preserve">); </w:t>
      </w:r>
      <w:r w:rsidR="005E407A" w:rsidRPr="005E407A">
        <w:rPr>
          <w:rFonts w:ascii="Times New Roman" w:eastAsia="Times New Roman" w:hAnsi="Times New Roman" w:cs="Times New Roman"/>
          <w:b/>
        </w:rPr>
        <w:t>d,</w:t>
      </w:r>
      <w:r w:rsidR="005E407A">
        <w:rPr>
          <w:rFonts w:ascii="Times New Roman" w:eastAsia="Times New Roman" w:hAnsi="Times New Roman" w:cs="Times New Roman"/>
        </w:rPr>
        <w:t xml:space="preserve"> Single oral dose (30 mg/kg bodyweight) pharmacokinetics properties</w:t>
      </w:r>
      <w:r w:rsidR="00A34CAE">
        <w:rPr>
          <w:rFonts w:ascii="Times New Roman" w:eastAsia="Times New Roman" w:hAnsi="Times New Roman" w:cs="Times New Roman"/>
        </w:rPr>
        <w:t xml:space="preserve"> of MB-905 in lung plasma (n = 3</w:t>
      </w:r>
      <w:r w:rsidR="005E407A">
        <w:rPr>
          <w:rFonts w:ascii="Times New Roman" w:eastAsia="Times New Roman" w:hAnsi="Times New Roman" w:cs="Times New Roman"/>
        </w:rPr>
        <w:t>);</w:t>
      </w:r>
      <w:r w:rsidR="005E407A" w:rsidRPr="005E407A">
        <w:rPr>
          <w:rFonts w:ascii="Times New Roman" w:eastAsia="Times New Roman" w:hAnsi="Times New Roman" w:cs="Times New Roman"/>
          <w:b/>
        </w:rPr>
        <w:t xml:space="preserve"> </w:t>
      </w:r>
      <w:r w:rsidR="005E407A">
        <w:rPr>
          <w:rFonts w:ascii="Times New Roman" w:eastAsia="Times New Roman" w:hAnsi="Times New Roman" w:cs="Times New Roman"/>
          <w:b/>
        </w:rPr>
        <w:t>e,</w:t>
      </w:r>
      <w:r w:rsidR="005E407A">
        <w:rPr>
          <w:rFonts w:ascii="Times New Roman" w:eastAsia="Times New Roman" w:hAnsi="Times New Roman" w:cs="Times New Roman"/>
        </w:rPr>
        <w:t xml:space="preserve"> Lung metabolites (5 metabolites) after treatment with MB-905 (30 mg/kg, p.o.) (n = 3)</w:t>
      </w:r>
      <w:r w:rsidR="005E407A">
        <w:rPr>
          <w:rFonts w:ascii="Times New Roman" w:eastAsia="Times New Roman" w:hAnsi="Times New Roman" w:cs="Times New Roman"/>
          <w:shd w:val="clear" w:color="auto" w:fill="FFFCF0"/>
        </w:rPr>
        <w:t xml:space="preserve">; </w:t>
      </w:r>
      <w:r w:rsidR="005E407A" w:rsidRPr="005E407A">
        <w:rPr>
          <w:rFonts w:ascii="Times New Roman" w:eastAsia="Times New Roman" w:hAnsi="Times New Roman" w:cs="Times New Roman"/>
          <w:b/>
          <w:shd w:val="clear" w:color="auto" w:fill="FFFCF0"/>
        </w:rPr>
        <w:t>f,</w:t>
      </w:r>
      <w:r w:rsidR="005E407A">
        <w:rPr>
          <w:rFonts w:ascii="Times New Roman" w:eastAsia="Times New Roman" w:hAnsi="Times New Roman" w:cs="Times New Roman"/>
          <w:shd w:val="clear" w:color="auto" w:fill="FFFCF0"/>
        </w:rPr>
        <w:t xml:space="preserve"> </w:t>
      </w:r>
      <w:r w:rsidR="005E407A">
        <w:rPr>
          <w:rFonts w:ascii="Times New Roman" w:eastAsia="Times New Roman" w:hAnsi="Times New Roman" w:cs="Times New Roman"/>
        </w:rPr>
        <w:t xml:space="preserve">Single oral dose (30 mg/kg bodyweight) pharmacokinetics properties of MB-905 in rat urine (n = 3); </w:t>
      </w:r>
      <w:r w:rsidR="005E407A" w:rsidRPr="00A34CAE">
        <w:rPr>
          <w:rFonts w:ascii="Times New Roman" w:eastAsia="Times New Roman" w:hAnsi="Times New Roman" w:cs="Times New Roman"/>
          <w:b/>
        </w:rPr>
        <w:t>g,</w:t>
      </w:r>
      <w:r w:rsidR="005E407A">
        <w:rPr>
          <w:rFonts w:ascii="Times New Roman" w:eastAsia="Times New Roman" w:hAnsi="Times New Roman" w:cs="Times New Roman"/>
        </w:rPr>
        <w:t xml:space="preserve"> Urine metabolites (5 metabolites) after treatment with MB-905 (30 mg/kg, p.o.) (n = 3)</w:t>
      </w:r>
      <w:r w:rsidR="005E407A">
        <w:rPr>
          <w:rFonts w:ascii="Times New Roman" w:eastAsia="Times New Roman" w:hAnsi="Times New Roman" w:cs="Times New Roman"/>
          <w:shd w:val="clear" w:color="auto" w:fill="FFFCF0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Data were expressed as mean ± SEM (Standard Error of the Mean). </w:t>
      </w:r>
      <w:r>
        <w:rPr>
          <w:rFonts w:ascii="Times New Roman" w:eastAsia="Times New Roman" w:hAnsi="Times New Roman" w:cs="Times New Roman"/>
          <w:shd w:val="clear" w:color="auto" w:fill="FFFCF0"/>
        </w:rPr>
        <w:t xml:space="preserve">Noncompartmental data analysis was performed using Phoenix </w:t>
      </w:r>
      <w:proofErr w:type="spellStart"/>
      <w:r>
        <w:rPr>
          <w:rFonts w:ascii="Times New Roman" w:eastAsia="Times New Roman" w:hAnsi="Times New Roman" w:cs="Times New Roman"/>
          <w:shd w:val="clear" w:color="auto" w:fill="FFFCF0"/>
        </w:rPr>
        <w:t>WinNonlin</w:t>
      </w:r>
      <w:proofErr w:type="spellEnd"/>
      <w:r>
        <w:rPr>
          <w:rFonts w:ascii="Times New Roman" w:eastAsia="Times New Roman" w:hAnsi="Times New Roman" w:cs="Times New Roman"/>
          <w:shd w:val="clear" w:color="auto" w:fill="FFFCF0"/>
        </w:rPr>
        <w:t>®.</w:t>
      </w:r>
    </w:p>
    <w:p w14:paraId="1F6ABF9D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45B1E4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C65916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5471FE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A5DE51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4E7004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2C11D6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B5040D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69413C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F884D2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0C4707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0DB01D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29F079" w14:textId="4C7A74A4" w:rsidR="00546275" w:rsidRDefault="00BB1DF1">
      <w:p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Table </w:t>
      </w:r>
      <w:r w:rsidR="007046D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Pharmacokinetic parameters for MB-905 in rats.</w:t>
      </w:r>
    </w:p>
    <w:tbl>
      <w:tblPr>
        <w:tblStyle w:val="a1"/>
        <w:tblW w:w="9096" w:type="dxa"/>
        <w:tblInd w:w="0" w:type="dxa"/>
        <w:tblBorders>
          <w:top w:val="single" w:sz="4" w:space="0" w:color="666666"/>
          <w:left w:val="single" w:sz="4" w:space="0" w:color="999999"/>
          <w:bottom w:val="single" w:sz="4" w:space="0" w:color="666666"/>
          <w:right w:val="single" w:sz="4" w:space="0" w:color="999999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3437"/>
        <w:gridCol w:w="2634"/>
        <w:gridCol w:w="3025"/>
      </w:tblGrid>
      <w:tr w:rsidR="00546275" w14:paraId="0E724070" w14:textId="77777777" w:rsidTr="00546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E2EFD9"/>
          </w:tcPr>
          <w:p w14:paraId="0FFB24AE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Compound</w:t>
            </w:r>
          </w:p>
        </w:tc>
        <w:tc>
          <w:tcPr>
            <w:tcW w:w="5659" w:type="dxa"/>
            <w:gridSpan w:val="2"/>
            <w:shd w:val="clear" w:color="auto" w:fill="E2EFD9"/>
          </w:tcPr>
          <w:p w14:paraId="30BAEF12" w14:textId="77777777" w:rsidR="00546275" w:rsidRDefault="00BB1D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MB-905</w:t>
            </w:r>
          </w:p>
        </w:tc>
      </w:tr>
      <w:tr w:rsidR="00546275" w14:paraId="7338C07E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501EB352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Dose and Route</w:t>
            </w:r>
          </w:p>
        </w:tc>
        <w:tc>
          <w:tcPr>
            <w:tcW w:w="2634" w:type="dxa"/>
            <w:shd w:val="clear" w:color="auto" w:fill="auto"/>
          </w:tcPr>
          <w:p w14:paraId="44D23831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mg/kg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i.v.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25" w:type="dxa"/>
            <w:shd w:val="clear" w:color="auto" w:fill="auto"/>
          </w:tcPr>
          <w:p w14:paraId="4FC27CC0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mg/kg (p.o.)</w:t>
            </w:r>
          </w:p>
        </w:tc>
      </w:tr>
      <w:tr w:rsidR="00546275" w14:paraId="0C9347D2" w14:textId="77777777" w:rsidTr="005462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633D8D72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(ng/mL)</w:t>
            </w:r>
          </w:p>
        </w:tc>
        <w:tc>
          <w:tcPr>
            <w:tcW w:w="2634" w:type="dxa"/>
            <w:shd w:val="clear" w:color="auto" w:fill="auto"/>
          </w:tcPr>
          <w:p w14:paraId="4B682901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123.61</w:t>
            </w:r>
          </w:p>
        </w:tc>
        <w:tc>
          <w:tcPr>
            <w:tcW w:w="3025" w:type="dxa"/>
            <w:shd w:val="clear" w:color="auto" w:fill="auto"/>
          </w:tcPr>
          <w:p w14:paraId="75F9D5FD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370.47</w:t>
            </w:r>
          </w:p>
        </w:tc>
      </w:tr>
      <w:tr w:rsidR="00546275" w14:paraId="31949857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0936EEFA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Tmax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(h)</w:t>
            </w:r>
          </w:p>
        </w:tc>
        <w:tc>
          <w:tcPr>
            <w:tcW w:w="2634" w:type="dxa"/>
            <w:shd w:val="clear" w:color="auto" w:fill="auto"/>
          </w:tcPr>
          <w:p w14:paraId="1B7A9C54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0.083</w:t>
            </w:r>
          </w:p>
        </w:tc>
        <w:tc>
          <w:tcPr>
            <w:tcW w:w="3025" w:type="dxa"/>
            <w:shd w:val="clear" w:color="auto" w:fill="auto"/>
          </w:tcPr>
          <w:p w14:paraId="49CBFC23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546275" w14:paraId="593AA77B" w14:textId="77777777" w:rsidTr="005462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2CA52257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1/2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(h)</w:t>
            </w:r>
          </w:p>
        </w:tc>
        <w:tc>
          <w:tcPr>
            <w:tcW w:w="2634" w:type="dxa"/>
            <w:shd w:val="clear" w:color="auto" w:fill="auto"/>
          </w:tcPr>
          <w:p w14:paraId="56232A30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3025" w:type="dxa"/>
            <w:shd w:val="clear" w:color="auto" w:fill="auto"/>
          </w:tcPr>
          <w:p w14:paraId="1E165153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3.81</w:t>
            </w:r>
          </w:p>
        </w:tc>
      </w:tr>
      <w:tr w:rsidR="00546275" w14:paraId="6B95C0AE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3A37FAB7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 (mL/min/kg)</w:t>
            </w:r>
          </w:p>
        </w:tc>
        <w:tc>
          <w:tcPr>
            <w:tcW w:w="2634" w:type="dxa"/>
            <w:shd w:val="clear" w:color="auto" w:fill="auto"/>
          </w:tcPr>
          <w:p w14:paraId="109A20F1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213.63</w:t>
            </w:r>
          </w:p>
        </w:tc>
        <w:tc>
          <w:tcPr>
            <w:tcW w:w="3025" w:type="dxa"/>
            <w:shd w:val="clear" w:color="auto" w:fill="auto"/>
          </w:tcPr>
          <w:p w14:paraId="03EE6498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330.53</w:t>
            </w:r>
          </w:p>
        </w:tc>
      </w:tr>
      <w:tr w:rsidR="00546275" w14:paraId="31D7A3C7" w14:textId="77777777" w:rsidTr="005462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6B0DCC84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(L/kg)</w:t>
            </w:r>
          </w:p>
        </w:tc>
        <w:tc>
          <w:tcPr>
            <w:tcW w:w="2634" w:type="dxa"/>
            <w:shd w:val="clear" w:color="auto" w:fill="auto"/>
          </w:tcPr>
          <w:p w14:paraId="0B6BE728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3025" w:type="dxa"/>
            <w:shd w:val="clear" w:color="auto" w:fill="auto"/>
          </w:tcPr>
          <w:p w14:paraId="458F9F1B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109.18</w:t>
            </w:r>
          </w:p>
        </w:tc>
      </w:tr>
      <w:tr w:rsidR="00546275" w14:paraId="5F29193C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38B2E262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last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(h*ng/mL)</w:t>
            </w:r>
          </w:p>
        </w:tc>
        <w:tc>
          <w:tcPr>
            <w:tcW w:w="2634" w:type="dxa"/>
            <w:shd w:val="clear" w:color="auto" w:fill="auto"/>
          </w:tcPr>
          <w:p w14:paraId="41A3A251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77.12</w:t>
            </w:r>
          </w:p>
        </w:tc>
        <w:tc>
          <w:tcPr>
            <w:tcW w:w="3025" w:type="dxa"/>
            <w:shd w:val="clear" w:color="auto" w:fill="auto"/>
          </w:tcPr>
          <w:p w14:paraId="3D96D9AA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1498.08</w:t>
            </w:r>
          </w:p>
        </w:tc>
      </w:tr>
      <w:tr w:rsidR="00546275" w14:paraId="49178BF7" w14:textId="77777777" w:rsidTr="005462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46BA01C4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(h*ng/mL)</w:t>
            </w:r>
          </w:p>
        </w:tc>
        <w:tc>
          <w:tcPr>
            <w:tcW w:w="2634" w:type="dxa"/>
            <w:shd w:val="clear" w:color="auto" w:fill="auto"/>
          </w:tcPr>
          <w:p w14:paraId="68E2966A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77.12</w:t>
            </w:r>
          </w:p>
        </w:tc>
        <w:tc>
          <w:tcPr>
            <w:tcW w:w="3025" w:type="dxa"/>
            <w:shd w:val="clear" w:color="auto" w:fill="auto"/>
          </w:tcPr>
          <w:p w14:paraId="57B15505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1498.08</w:t>
            </w:r>
          </w:p>
        </w:tc>
      </w:tr>
      <w:tr w:rsidR="00546275" w14:paraId="22FB6018" w14:textId="77777777" w:rsidTr="00546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276152D5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(1/h)</w:t>
            </w:r>
          </w:p>
        </w:tc>
        <w:tc>
          <w:tcPr>
            <w:tcW w:w="2634" w:type="dxa"/>
            <w:shd w:val="clear" w:color="auto" w:fill="auto"/>
          </w:tcPr>
          <w:p w14:paraId="5BB36F86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  <w:tc>
          <w:tcPr>
            <w:tcW w:w="3025" w:type="dxa"/>
            <w:shd w:val="clear" w:color="auto" w:fill="auto"/>
          </w:tcPr>
          <w:p w14:paraId="0DCA3FB9" w14:textId="77777777" w:rsidR="00546275" w:rsidRDefault="00BB1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</w:tr>
      <w:tr w:rsidR="00546275" w14:paraId="2D880361" w14:textId="77777777" w:rsidTr="005462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7" w:type="dxa"/>
            <w:shd w:val="clear" w:color="auto" w:fill="auto"/>
          </w:tcPr>
          <w:p w14:paraId="20A241ED" w14:textId="77777777" w:rsidR="00546275" w:rsidRDefault="00BB1D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2634" w:type="dxa"/>
            <w:shd w:val="clear" w:color="auto" w:fill="auto"/>
          </w:tcPr>
          <w:p w14:paraId="0BC7E656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3025" w:type="dxa"/>
            <w:shd w:val="clear" w:color="auto" w:fill="auto"/>
          </w:tcPr>
          <w:p w14:paraId="0EDC1E6D" w14:textId="77777777" w:rsidR="00546275" w:rsidRDefault="00BB1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64.70%</w:t>
            </w:r>
          </w:p>
        </w:tc>
      </w:tr>
    </w:tbl>
    <w:p w14:paraId="55F67A87" w14:textId="77777777" w:rsidR="00546275" w:rsidRDefault="00BB1DF1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vertAlign w:val="subscript"/>
        </w:rPr>
        <w:t>max</w:t>
      </w:r>
      <w:proofErr w:type="spellEnd"/>
      <w:r>
        <w:rPr>
          <w:rFonts w:ascii="Times New Roman" w:eastAsia="Times New Roman" w:hAnsi="Times New Roman" w:cs="Times New Roman"/>
        </w:rPr>
        <w:t xml:space="preserve">: Peak concentration;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vertAlign w:val="subscript"/>
        </w:rPr>
        <w:t>max</w:t>
      </w:r>
      <w:r>
        <w:rPr>
          <w:rFonts w:ascii="Times New Roman" w:eastAsia="Times New Roman" w:hAnsi="Times New Roman" w:cs="Times New Roman"/>
        </w:rPr>
        <w:t>:Time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to reach </w:t>
      </w:r>
      <w:proofErr w:type="spellStart"/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vertAlign w:val="subscript"/>
        </w:rPr>
        <w:t>max</w:t>
      </w:r>
      <w:proofErr w:type="spellEnd"/>
      <w:r>
        <w:rPr>
          <w:rFonts w:ascii="Times New Roman" w:eastAsia="Times New Roman" w:hAnsi="Times New Roman" w:cs="Times New Roman"/>
        </w:rPr>
        <w:t>; T</w:t>
      </w:r>
      <w:r>
        <w:rPr>
          <w:rFonts w:ascii="Times New Roman" w:eastAsia="Times New Roman" w:hAnsi="Times New Roman" w:cs="Times New Roman"/>
          <w:vertAlign w:val="subscript"/>
        </w:rPr>
        <w:t>1/2</w:t>
      </w:r>
      <w:r>
        <w:rPr>
          <w:rFonts w:ascii="Times New Roman" w:eastAsia="Times New Roman" w:hAnsi="Times New Roman" w:cs="Times New Roman"/>
        </w:rPr>
        <w:t xml:space="preserve">: Half-life; CL: Clearance; </w:t>
      </w:r>
      <w:proofErr w:type="spellStart"/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vertAlign w:val="subscript"/>
        </w:rPr>
        <w:t>z</w:t>
      </w:r>
      <w:proofErr w:type="spellEnd"/>
      <w:r>
        <w:rPr>
          <w:rFonts w:ascii="Times New Roman" w:eastAsia="Times New Roman" w:hAnsi="Times New Roman" w:cs="Times New Roman"/>
        </w:rPr>
        <w:t xml:space="preserve">: Volume of distribution; </w:t>
      </w:r>
      <w:proofErr w:type="spellStart"/>
      <w:r>
        <w:rPr>
          <w:rFonts w:ascii="Times New Roman" w:eastAsia="Times New Roman" w:hAnsi="Times New Roman" w:cs="Times New Roman"/>
        </w:rPr>
        <w:t>AUC</w:t>
      </w:r>
      <w:r>
        <w:rPr>
          <w:rFonts w:ascii="Times New Roman" w:eastAsia="Times New Roman" w:hAnsi="Times New Roman" w:cs="Times New Roman"/>
          <w:vertAlign w:val="subscript"/>
        </w:rPr>
        <w:t>last</w:t>
      </w:r>
      <w:proofErr w:type="spellEnd"/>
      <w:r>
        <w:rPr>
          <w:rFonts w:ascii="Times New Roman" w:eastAsia="Times New Roman" w:hAnsi="Times New Roman" w:cs="Times New Roman"/>
        </w:rPr>
        <w:t xml:space="preserve">: Area under de curve (last); </w:t>
      </w:r>
      <w:proofErr w:type="spellStart"/>
      <w:r>
        <w:rPr>
          <w:rFonts w:ascii="Times New Roman" w:eastAsia="Times New Roman" w:hAnsi="Times New Roman" w:cs="Times New Roman"/>
        </w:rPr>
        <w:t>AUC</w:t>
      </w:r>
      <w:r>
        <w:rPr>
          <w:rFonts w:ascii="Times New Roman" w:eastAsia="Times New Roman" w:hAnsi="Times New Roman" w:cs="Times New Roman"/>
          <w:vertAlign w:val="subscript"/>
        </w:rPr>
        <w:t>all</w:t>
      </w:r>
      <w:proofErr w:type="spellEnd"/>
      <w:r>
        <w:rPr>
          <w:rFonts w:ascii="Times New Roman" w:eastAsia="Times New Roman" w:hAnsi="Times New Roman" w:cs="Times New Roman"/>
        </w:rPr>
        <w:t xml:space="preserve">: area under de curve (all); </w:t>
      </w:r>
      <w:proofErr w:type="spellStart"/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vertAlign w:val="subscript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: elimination rate constant; F: bioavailability. </w:t>
      </w:r>
      <w:r>
        <w:rPr>
          <w:rFonts w:ascii="Times New Roman" w:eastAsia="Times New Roman" w:hAnsi="Times New Roman" w:cs="Times New Roman"/>
          <w:shd w:val="clear" w:color="auto" w:fill="FFFCF0"/>
        </w:rPr>
        <w:t xml:space="preserve">Noncompartmental data analysis was performed using Phoenix </w:t>
      </w:r>
      <w:proofErr w:type="spellStart"/>
      <w:r>
        <w:rPr>
          <w:rFonts w:ascii="Times New Roman" w:eastAsia="Times New Roman" w:hAnsi="Times New Roman" w:cs="Times New Roman"/>
          <w:shd w:val="clear" w:color="auto" w:fill="FFFCF0"/>
        </w:rPr>
        <w:t>WinNonlin</w:t>
      </w:r>
      <w:proofErr w:type="spellEnd"/>
      <w:r>
        <w:rPr>
          <w:rFonts w:ascii="Times New Roman" w:eastAsia="Times New Roman" w:hAnsi="Times New Roman" w:cs="Times New Roman"/>
          <w:shd w:val="clear" w:color="auto" w:fill="FFFCF0"/>
        </w:rPr>
        <w:t>®. Data represents the mean values of 5-6 animals per group.</w:t>
      </w:r>
    </w:p>
    <w:p w14:paraId="6BC76229" w14:textId="77777777" w:rsidR="00546275" w:rsidRDefault="0054627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360" w:right="-586" w:hanging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5B0DA5EB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A31F49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F3F11C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5A4DA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420555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D341F3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9610B3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0B5B9A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C5DBBE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8BD5B9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9301E8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BF557F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FC380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3BE197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4A1A67" w14:textId="77777777" w:rsidR="00546275" w:rsidRDefault="00546275">
      <w:pPr>
        <w:ind w:left="-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E38BE7" w14:textId="77777777" w:rsidR="00546275" w:rsidRDefault="00BB1DF1">
      <w:pPr>
        <w:ind w:left="-90" w:right="-76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pt-BR"/>
        </w:rPr>
        <w:drawing>
          <wp:inline distT="0" distB="0" distL="0" distR="0" wp14:anchorId="786A2592" wp14:editId="1B305C22">
            <wp:extent cx="5400040" cy="58134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inel 2 - Segurança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F662" w14:textId="05678AA7" w:rsidR="00546275" w:rsidRDefault="00BB1DF1">
      <w:pPr>
        <w:ind w:left="-90" w:right="-7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Supplementary Figure </w:t>
      </w:r>
      <w:r w:rsidR="007046D8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hERG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</w:rPr>
        <w:t>channel  assay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in vitro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cardiovascular safety pharmacology in</w:t>
      </w:r>
      <w:r>
        <w:rPr>
          <w:rFonts w:ascii="Times New Roman" w:eastAsia="Times New Roman" w:hAnsi="Times New Roman" w:cs="Times New Roman"/>
          <w:b/>
          <w:i/>
        </w:rPr>
        <w:t xml:space="preserve"> vivo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a</w:t>
      </w:r>
      <w:r>
        <w:rPr>
          <w:rFonts w:ascii="Times New Roman" w:eastAsia="Times New Roman" w:hAnsi="Times New Roman" w:cs="Times New Roman"/>
        </w:rPr>
        <w:t xml:space="preserve">, Concentration-response curve of MB-905 on the </w:t>
      </w:r>
      <w:proofErr w:type="spellStart"/>
      <w:r>
        <w:rPr>
          <w:rFonts w:ascii="Times New Roman" w:eastAsia="Times New Roman" w:hAnsi="Times New Roman" w:cs="Times New Roman"/>
        </w:rPr>
        <w:t>hERG</w:t>
      </w:r>
      <w:proofErr w:type="spellEnd"/>
      <w:r>
        <w:rPr>
          <w:rFonts w:ascii="Times New Roman" w:eastAsia="Times New Roman" w:hAnsi="Times New Roman" w:cs="Times New Roman"/>
        </w:rPr>
        <w:t xml:space="preserve"> channel inhibition assay (% of </w:t>
      </w:r>
      <w:proofErr w:type="spellStart"/>
      <w:r>
        <w:rPr>
          <w:rFonts w:ascii="Times New Roman" w:eastAsia="Times New Roman" w:hAnsi="Times New Roman" w:cs="Times New Roman"/>
        </w:rPr>
        <w:t>hERG</w:t>
      </w:r>
      <w:proofErr w:type="spellEnd"/>
      <w:r>
        <w:rPr>
          <w:rFonts w:ascii="Times New Roman" w:eastAsia="Times New Roman" w:hAnsi="Times New Roman" w:cs="Times New Roman"/>
        </w:rPr>
        <w:t xml:space="preserve"> relative inhibition). Data are expressed as mean ± SEM (n=3) through non-linear regression; </w:t>
      </w:r>
      <w:r>
        <w:rPr>
          <w:rFonts w:ascii="Times New Roman" w:eastAsia="Times New Roman" w:hAnsi="Times New Roman" w:cs="Times New Roman"/>
          <w:b/>
        </w:rPr>
        <w:t>b</w:t>
      </w:r>
      <w:r>
        <w:rPr>
          <w:rFonts w:ascii="Times New Roman" w:eastAsia="Times New Roman" w:hAnsi="Times New Roman" w:cs="Times New Roman"/>
        </w:rPr>
        <w:t xml:space="preserve">, Systolic Blood Pressure in millimeter of mercury (mmHg); </w:t>
      </w:r>
      <w:r>
        <w:rPr>
          <w:rFonts w:ascii="Times New Roman" w:eastAsia="Times New Roman" w:hAnsi="Times New Roman" w:cs="Times New Roman"/>
          <w:b/>
        </w:rPr>
        <w:t>c</w:t>
      </w:r>
      <w:r>
        <w:rPr>
          <w:rFonts w:ascii="Times New Roman" w:eastAsia="Times New Roman" w:hAnsi="Times New Roman" w:cs="Times New Roman"/>
        </w:rPr>
        <w:t xml:space="preserve">, Diastolic Blood Pressure in mmHg; </w:t>
      </w:r>
      <w:r>
        <w:rPr>
          <w:rFonts w:ascii="Times New Roman" w:eastAsia="Times New Roman" w:hAnsi="Times New Roman" w:cs="Times New Roman"/>
          <w:b/>
        </w:rPr>
        <w:t>d</w:t>
      </w:r>
      <w:r>
        <w:rPr>
          <w:rFonts w:ascii="Times New Roman" w:eastAsia="Times New Roman" w:hAnsi="Times New Roman" w:cs="Times New Roman"/>
        </w:rPr>
        <w:t xml:space="preserve">, Heart Rate expressed as beats per minute (bpm); </w:t>
      </w:r>
      <w:r>
        <w:rPr>
          <w:rFonts w:ascii="Times New Roman" w:eastAsia="Times New Roman" w:hAnsi="Times New Roman" w:cs="Times New Roman"/>
          <w:b/>
        </w:rPr>
        <w:t>e</w:t>
      </w:r>
      <w:r>
        <w:rPr>
          <w:rFonts w:ascii="Times New Roman" w:eastAsia="Times New Roman" w:hAnsi="Times New Roman" w:cs="Times New Roman"/>
        </w:rPr>
        <w:t>, QT-interval in millisecond (</w:t>
      </w:r>
      <w:proofErr w:type="spellStart"/>
      <w:r>
        <w:rPr>
          <w:rFonts w:ascii="Times New Roman" w:eastAsia="Times New Roman" w:hAnsi="Times New Roman" w:cs="Times New Roman"/>
        </w:rPr>
        <w:t>ms</w:t>
      </w:r>
      <w:proofErr w:type="spellEnd"/>
      <w:r>
        <w:rPr>
          <w:rFonts w:ascii="Times New Roman" w:eastAsia="Times New Roman" w:hAnsi="Times New Roman" w:cs="Times New Roman"/>
        </w:rPr>
        <w:t xml:space="preserve">) in rats treated with vehicle (5 ml/Kg, p.o.) or MB-905 (50 or 250 mg/Kg, p.o.) administered orally once a day for 7 consecutive days. </w:t>
      </w:r>
      <w:bookmarkStart w:id="4" w:name="bookmark=id.30j0zll" w:colFirst="0" w:colLast="0"/>
      <w:bookmarkEnd w:id="4"/>
      <w:r>
        <w:rPr>
          <w:rFonts w:ascii="Times New Roman" w:eastAsia="Times New Roman" w:hAnsi="Times New Roman" w:cs="Times New Roman"/>
        </w:rPr>
        <w:t xml:space="preserve">Data were expressed as mean ± SEM (n= 4-6). </w:t>
      </w:r>
      <w:r>
        <w:rPr>
          <w:rFonts w:ascii="Times New Roman" w:eastAsia="Times New Roman" w:hAnsi="Times New Roman" w:cs="Times New Roman"/>
          <w:b/>
        </w:rPr>
        <w:t>c-f</w:t>
      </w:r>
      <w:r>
        <w:rPr>
          <w:rFonts w:ascii="Times New Roman" w:eastAsia="Times New Roman" w:hAnsi="Times New Roman" w:cs="Times New Roman"/>
        </w:rPr>
        <w:t xml:space="preserve">: statistical analyses were performed using mixed effects model followed by the </w:t>
      </w:r>
      <w:proofErr w:type="spellStart"/>
      <w:r>
        <w:rPr>
          <w:rFonts w:ascii="Times New Roman" w:eastAsia="Times New Roman" w:hAnsi="Times New Roman" w:cs="Times New Roman"/>
        </w:rPr>
        <w:t>Dunnet’s</w:t>
      </w:r>
      <w:proofErr w:type="spellEnd"/>
      <w:r>
        <w:rPr>
          <w:rFonts w:ascii="Times New Roman" w:eastAsia="Times New Roman" w:hAnsi="Times New Roman" w:cs="Times New Roman"/>
        </w:rPr>
        <w:t xml:space="preserve"> test.</w:t>
      </w:r>
    </w:p>
    <w:p w14:paraId="5E4AE2CB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21D744" w14:textId="77777777" w:rsidR="009B7B39" w:rsidRDefault="009B7B39" w:rsidP="009B7B39">
      <w:pPr>
        <w:ind w:left="360"/>
        <w:jc w:val="both"/>
        <w:rPr>
          <w:rFonts w:ascii="Times New Roman" w:hAnsi="Times New Roman" w:cs="Times New Roman"/>
        </w:rPr>
      </w:pPr>
    </w:p>
    <w:p w14:paraId="7F4C4682" w14:textId="77777777" w:rsidR="009B7B39" w:rsidRPr="00182224" w:rsidRDefault="009B7B39" w:rsidP="009B7B39">
      <w:pPr>
        <w:jc w:val="both"/>
        <w:rPr>
          <w:rFonts w:ascii="Times New Roman" w:hAnsi="Times New Roman" w:cs="Times New Roman"/>
          <w:sz w:val="24"/>
          <w:szCs w:val="24"/>
        </w:rPr>
      </w:pPr>
      <w:r w:rsidRPr="00182224">
        <w:rPr>
          <w:rFonts w:ascii="Times New Roman" w:hAnsi="Times New Roman" w:cs="Times New Roman"/>
          <w:sz w:val="24"/>
          <w:szCs w:val="24"/>
        </w:rPr>
        <w:object w:dxaOrig="5563" w:dyaOrig="5076" w14:anchorId="1A9C52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75pt;height:252.75pt" o:ole="">
            <v:imagedata r:id="rId14" o:title=""/>
          </v:shape>
          <o:OLEObject Type="Embed" ProgID="Prism9.Document" ShapeID="_x0000_i1025" DrawAspect="Content" ObjectID="_1710830144" r:id="rId15"/>
        </w:object>
      </w:r>
    </w:p>
    <w:p w14:paraId="2C39DE57" w14:textId="77777777" w:rsidR="009B7B39" w:rsidRPr="00182224" w:rsidRDefault="009B7B39" w:rsidP="009B7B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1385D9" w14:textId="73937334" w:rsidR="009B7B39" w:rsidRPr="00BE653E" w:rsidRDefault="009B7B39" w:rsidP="009B7B39">
      <w:pPr>
        <w:jc w:val="both"/>
        <w:rPr>
          <w:rFonts w:ascii="Times New Roman" w:hAnsi="Times New Roman" w:cs="Times New Roman"/>
          <w:sz w:val="24"/>
          <w:szCs w:val="24"/>
        </w:rPr>
      </w:pPr>
      <w:r w:rsidRPr="00BE653E">
        <w:rPr>
          <w:rFonts w:ascii="Times New Roman" w:hAnsi="Times New Roman" w:cs="Times New Roman"/>
          <w:b/>
          <w:bCs/>
          <w:sz w:val="24"/>
          <w:szCs w:val="24"/>
        </w:rPr>
        <w:t>Supplementary Figure 4</w:t>
      </w:r>
      <w:r w:rsidRPr="00BE653E">
        <w:rPr>
          <w:rFonts w:ascii="Times New Roman" w:hAnsi="Times New Roman" w:cs="Times New Roman"/>
          <w:sz w:val="24"/>
          <w:szCs w:val="24"/>
        </w:rPr>
        <w:t xml:space="preserve"> – </w:t>
      </w:r>
      <w:r w:rsidRPr="00BE653E">
        <w:rPr>
          <w:rFonts w:ascii="Times New Roman" w:hAnsi="Times New Roman" w:cs="Times New Roman"/>
          <w:b/>
          <w:bCs/>
          <w:sz w:val="24"/>
          <w:szCs w:val="24"/>
        </w:rPr>
        <w:t>Kinetin-ribose-5’-monophosphate as a substrate for 5’-nucleotidase.</w:t>
      </w:r>
      <w:r w:rsidRPr="00BE653E">
        <w:rPr>
          <w:rFonts w:ascii="Times New Roman" w:hAnsi="Times New Roman" w:cs="Times New Roman"/>
          <w:sz w:val="24"/>
          <w:szCs w:val="24"/>
        </w:rPr>
        <w:t xml:space="preserve"> Liver extracts from untreated Swiss webster mice, </w:t>
      </w:r>
      <w:proofErr w:type="gramStart"/>
      <w:r w:rsidRPr="00BE653E">
        <w:rPr>
          <w:rFonts w:ascii="Times New Roman" w:hAnsi="Times New Roman" w:cs="Times New Roman"/>
          <w:sz w:val="24"/>
          <w:szCs w:val="24"/>
        </w:rPr>
        <w:t>20-week old</w:t>
      </w:r>
      <w:proofErr w:type="gramEnd"/>
      <w:r w:rsidRPr="00BE653E">
        <w:rPr>
          <w:rFonts w:ascii="Times New Roman" w:hAnsi="Times New Roman" w:cs="Times New Roman"/>
          <w:sz w:val="24"/>
          <w:szCs w:val="24"/>
        </w:rPr>
        <w:t xml:space="preserve">, were incubated with MB-711 (Kinetin-ribose-5’-monophosphoramidate) or AMP as a substrate for a commercial reaction to detect 5’-nucletidase activity. Liver extracts enzymes </w:t>
      </w:r>
      <w:r w:rsidRPr="00BE653E">
        <w:rPr>
          <w:rFonts w:ascii="Times New Roman" w:hAnsi="Times New Roman" w:cs="Times New Roman"/>
          <w:sz w:val="24"/>
          <w:szCs w:val="24"/>
          <w:shd w:val="clear" w:color="auto" w:fill="FFFFFF"/>
        </w:rPr>
        <w:t>cathepsin A or carboxylesterase 1 and histidine triad nucleotide-binding protein 1 (HINT1) released nucleotide monophosphate</w:t>
      </w:r>
      <w:r w:rsidRPr="00BE653E">
        <w:rPr>
          <w:rFonts w:ascii="Times New Roman" w:hAnsi="Times New Roman" w:cs="Times New Roman"/>
          <w:sz w:val="24"/>
          <w:szCs w:val="24"/>
        </w:rPr>
        <w:t xml:space="preserve"> from MB-711, to be further used by 5’-nucleotidase (#ab235945 from </w:t>
      </w:r>
      <w:hyperlink r:id="rId16" w:history="1">
        <w:r w:rsidRPr="00BE653E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www.abcam.com</w:t>
        </w:r>
      </w:hyperlink>
      <w:r w:rsidRPr="00BE653E">
        <w:rPr>
          <w:rStyle w:val="Hyperlink"/>
          <w:rFonts w:ascii="Times New Roman" w:hAnsi="Times New Roman" w:cs="Times New Roman"/>
          <w:color w:val="auto"/>
          <w:sz w:val="24"/>
          <w:szCs w:val="24"/>
        </w:rPr>
        <w:t xml:space="preserve">). </w:t>
      </w:r>
      <w:r w:rsidRPr="00BE653E">
        <w:rPr>
          <w:rFonts w:ascii="Times New Roman" w:hAnsi="Times New Roman" w:cs="Times New Roman"/>
          <w:sz w:val="24"/>
          <w:szCs w:val="24"/>
        </w:rPr>
        <w:t xml:space="preserve">Each column represents the means ± SEM of three independent experiments. </w:t>
      </w:r>
    </w:p>
    <w:p w14:paraId="79EB73BD" w14:textId="77777777" w:rsidR="00546275" w:rsidRDefault="005462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C40C60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B9C4F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486FF1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CDAFCF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DE8DD7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44267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4654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2AE759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A0B37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8CF434" w14:textId="77777777" w:rsidR="00546275" w:rsidRDefault="00546275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46275">
      <w:footerReference w:type="defaul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B745C" w14:textId="77777777" w:rsidR="00A76AEF" w:rsidRDefault="00A76AEF">
      <w:pPr>
        <w:spacing w:after="0" w:line="240" w:lineRule="auto"/>
      </w:pPr>
      <w:r>
        <w:separator/>
      </w:r>
    </w:p>
  </w:endnote>
  <w:endnote w:type="continuationSeparator" w:id="0">
    <w:p w14:paraId="0D8C866D" w14:textId="77777777" w:rsidR="00A76AEF" w:rsidRDefault="00A76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A815F" w14:textId="77777777" w:rsidR="005E407A" w:rsidRDefault="005E40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B08C8">
      <w:rPr>
        <w:noProof/>
        <w:color w:val="000000"/>
      </w:rPr>
      <w:t>1</w:t>
    </w:r>
    <w:r>
      <w:rPr>
        <w:color w:val="000000"/>
      </w:rPr>
      <w:fldChar w:fldCharType="end"/>
    </w:r>
  </w:p>
  <w:p w14:paraId="50F1FB71" w14:textId="77777777" w:rsidR="005E407A" w:rsidRDefault="005E40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10326" w14:textId="77777777" w:rsidR="00A76AEF" w:rsidRDefault="00A76AEF">
      <w:pPr>
        <w:spacing w:after="0" w:line="240" w:lineRule="auto"/>
      </w:pPr>
      <w:r>
        <w:separator/>
      </w:r>
    </w:p>
  </w:footnote>
  <w:footnote w:type="continuationSeparator" w:id="0">
    <w:p w14:paraId="2D57A096" w14:textId="77777777" w:rsidR="00A76AEF" w:rsidRDefault="00A76A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D529B5"/>
    <w:multiLevelType w:val="multilevel"/>
    <w:tmpl w:val="9B5A772A"/>
    <w:lvl w:ilvl="0">
      <w:start w:val="1"/>
      <w:numFmt w:val="decimal"/>
      <w:pStyle w:val="AppBody-Descrip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00066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275"/>
    <w:rsid w:val="001B55EF"/>
    <w:rsid w:val="004E71E9"/>
    <w:rsid w:val="00546275"/>
    <w:rsid w:val="005E407A"/>
    <w:rsid w:val="007046D8"/>
    <w:rsid w:val="0084037D"/>
    <w:rsid w:val="00863340"/>
    <w:rsid w:val="008E633B"/>
    <w:rsid w:val="009B7B39"/>
    <w:rsid w:val="00A34CAE"/>
    <w:rsid w:val="00A76AEF"/>
    <w:rsid w:val="00AB08C8"/>
    <w:rsid w:val="00B83B8B"/>
    <w:rsid w:val="00BB1DF1"/>
    <w:rsid w:val="00BE653E"/>
    <w:rsid w:val="00D0397C"/>
    <w:rsid w:val="00ED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2ECE5"/>
  <w15:docId w15:val="{816405EC-B841-4B9F-85F5-CB2ECAA4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531E3B"/>
    <w:pPr>
      <w:ind w:left="720"/>
      <w:contextualSpacing/>
    </w:pPr>
  </w:style>
  <w:style w:type="table" w:styleId="Tabelacomgrade">
    <w:name w:val="Table Grid"/>
    <w:basedOn w:val="Tabelanormal"/>
    <w:uiPriority w:val="39"/>
    <w:rsid w:val="00341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B3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0B3BB1"/>
    <w:rPr>
      <w:i/>
      <w:iCs/>
    </w:rPr>
  </w:style>
  <w:style w:type="paragraph" w:customStyle="1" w:styleId="AppBody-Description">
    <w:name w:val="AppBody-Description"/>
    <w:basedOn w:val="PargrafodaLista"/>
    <w:link w:val="AppBody-DescriptionChar"/>
    <w:qFormat/>
    <w:rsid w:val="00BB1EDB"/>
    <w:pPr>
      <w:numPr>
        <w:numId w:val="1"/>
      </w:numPr>
      <w:spacing w:after="120" w:line="360" w:lineRule="auto"/>
      <w:ind w:left="360"/>
      <w:contextualSpacing w:val="0"/>
    </w:pPr>
    <w:rPr>
      <w:rFonts w:ascii="Arial" w:eastAsiaTheme="minorEastAsia" w:hAnsi="Arial" w:cs="Arial"/>
      <w:sz w:val="24"/>
      <w:szCs w:val="24"/>
      <w:lang w:eastAsia="ja-JP"/>
    </w:rPr>
  </w:style>
  <w:style w:type="character" w:customStyle="1" w:styleId="AppBody-DescriptionChar">
    <w:name w:val="AppBody-Description Char"/>
    <w:basedOn w:val="Fontepargpadro"/>
    <w:link w:val="AppBody-Description"/>
    <w:rsid w:val="00BB1EDB"/>
    <w:rPr>
      <w:rFonts w:ascii="Arial" w:eastAsiaTheme="minorEastAsia" w:hAnsi="Arial" w:cs="Arial"/>
      <w:sz w:val="24"/>
      <w:szCs w:val="24"/>
      <w:lang w:val="en-US" w:eastAsia="ja-JP"/>
    </w:rPr>
  </w:style>
  <w:style w:type="paragraph" w:styleId="Reviso">
    <w:name w:val="Revision"/>
    <w:hidden/>
    <w:uiPriority w:val="99"/>
    <w:semiHidden/>
    <w:rsid w:val="00581496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397B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97B4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97B4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7B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7B4C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F65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593B"/>
  </w:style>
  <w:style w:type="paragraph" w:styleId="Rodap">
    <w:name w:val="footer"/>
    <w:basedOn w:val="Normal"/>
    <w:link w:val="RodapChar"/>
    <w:uiPriority w:val="99"/>
    <w:unhideWhenUsed/>
    <w:rsid w:val="00F65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593B"/>
  </w:style>
  <w:style w:type="character" w:customStyle="1" w:styleId="a">
    <w:name w:val="_"/>
    <w:basedOn w:val="Fontepargpadro"/>
    <w:rsid w:val="00103659"/>
  </w:style>
  <w:style w:type="table" w:styleId="TabeladeGrade1Clara">
    <w:name w:val="Grid Table 1 Light"/>
    <w:basedOn w:val="Tabelanormal"/>
    <w:uiPriority w:val="46"/>
    <w:rsid w:val="004D29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4D29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A55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5B5E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B7B39"/>
    <w:rPr>
      <w:color w:val="0563C1" w:themeColor="hyperlink"/>
      <w:u w:val="single"/>
    </w:rPr>
  </w:style>
  <w:style w:type="paragraph" w:customStyle="1" w:styleId="MDPI16affiliation">
    <w:name w:val="MDPI_1.6_affiliation"/>
    <w:qFormat/>
    <w:rsid w:val="0084037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iago.moreno@fiocruz.br" TargetMode="Externa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abcam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mailto:jrabi@microbiologica.ind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oao.calixto@cienp.org.br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+DerRdpzzOopGI1RgosSOnRRRg==">AMUW2mUCoRbWpKC2GnshfWyuGFwfE3cD55dVcuG3ZABRANmOarywV3XOUJTTZSsbQg7OVxkDRNb6mEqWaz1C1SSoRvzALahiYHoVUsq2DQTp8UI89eaxPVJo7kSreu34PynqFDWKoqDW9GP2R3o0Fdi+gH5KYFaJfQ==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1192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MORENO LOPES E SOUZA</dc:creator>
  <cp:lastModifiedBy>THIAGO MORENO LOPES E SOUZA</cp:lastModifiedBy>
  <cp:revision>8</cp:revision>
  <dcterms:created xsi:type="dcterms:W3CDTF">2021-12-14T18:09:00Z</dcterms:created>
  <dcterms:modified xsi:type="dcterms:W3CDTF">2022-04-07T12:49:00Z</dcterms:modified>
</cp:coreProperties>
</file>