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6D985F" w14:textId="77777777" w:rsidR="00F272EB" w:rsidRDefault="00F272EB" w:rsidP="00F272EB">
      <w:pPr>
        <w:spacing w:after="0" w:line="360" w:lineRule="auto"/>
        <w:jc w:val="both"/>
        <w:rPr>
          <w:rFonts w:ascii="Times New Roman" w:hAnsi="Times New Roman" w:cs="Times New Roman"/>
          <w:sz w:val="24"/>
          <w:szCs w:val="24"/>
        </w:rPr>
      </w:pPr>
      <w:r>
        <w:rPr>
          <w:rFonts w:ascii="Times New Roman" w:hAnsi="Times New Roman" w:cs="Times New Roman"/>
          <w:b/>
          <w:sz w:val="24"/>
          <w:szCs w:val="24"/>
        </w:rPr>
        <w:t xml:space="preserve">Extended Data Figure 1 | Liang </w:t>
      </w:r>
      <w:proofErr w:type="spellStart"/>
      <w:r>
        <w:rPr>
          <w:rFonts w:ascii="Times New Roman" w:hAnsi="Times New Roman" w:cs="Times New Roman"/>
          <w:b/>
          <w:sz w:val="24"/>
          <w:szCs w:val="24"/>
        </w:rPr>
        <w:t>Tebo</w:t>
      </w:r>
      <w:proofErr w:type="spellEnd"/>
      <w:r>
        <w:rPr>
          <w:rFonts w:ascii="Times New Roman" w:hAnsi="Times New Roman" w:cs="Times New Roman"/>
          <w:b/>
          <w:sz w:val="24"/>
          <w:szCs w:val="24"/>
        </w:rPr>
        <w:t xml:space="preserve"> cave topography and site plan. a,</w:t>
      </w:r>
      <w:r>
        <w:rPr>
          <w:rFonts w:ascii="Times New Roman" w:hAnsi="Times New Roman" w:cs="Times New Roman"/>
          <w:sz w:val="24"/>
          <w:szCs w:val="24"/>
        </w:rPr>
        <w:t xml:space="preserve"> Liang </w:t>
      </w:r>
      <w:proofErr w:type="spellStart"/>
      <w:r>
        <w:rPr>
          <w:rFonts w:ascii="Times New Roman" w:hAnsi="Times New Roman" w:cs="Times New Roman"/>
          <w:sz w:val="24"/>
          <w:szCs w:val="24"/>
        </w:rPr>
        <w:t>Tebo</w:t>
      </w:r>
      <w:proofErr w:type="spellEnd"/>
      <w:r>
        <w:rPr>
          <w:rFonts w:ascii="Times New Roman" w:hAnsi="Times New Roman" w:cs="Times New Roman"/>
          <w:sz w:val="24"/>
          <w:szCs w:val="24"/>
        </w:rPr>
        <w:t xml:space="preserve"> is a cathedral-sized (~160 m</w:t>
      </w:r>
      <w:r>
        <w:rPr>
          <w:rFonts w:ascii="Times New Roman" w:hAnsi="Times New Roman" w:cs="Times New Roman"/>
          <w:sz w:val="24"/>
          <w:szCs w:val="24"/>
          <w:vertAlign w:val="superscript"/>
        </w:rPr>
        <w:t>3</w:t>
      </w:r>
      <w:r>
        <w:rPr>
          <w:rFonts w:ascii="Times New Roman" w:hAnsi="Times New Roman" w:cs="Times New Roman"/>
          <w:sz w:val="24"/>
          <w:szCs w:val="24"/>
        </w:rPr>
        <w:t xml:space="preserve">) limestone cave with three large chambers. Following GPR and ERT survey, a 2 x 2 m excavation was positioned over an area of likely deep deposit in the centre of the caves’ lower and largest chamber. This area was excavated to a depth of 1.5 m before the project was forced to cease, following the COVID19 pandemic. The human burial (TB1) was excavated in its entirety before the field season was terminated. </w:t>
      </w:r>
      <w:r>
        <w:rPr>
          <w:rFonts w:ascii="Times New Roman" w:hAnsi="Times New Roman" w:cs="Times New Roman"/>
          <w:b/>
          <w:bCs/>
          <w:sz w:val="24"/>
          <w:szCs w:val="24"/>
        </w:rPr>
        <w:t>b,</w:t>
      </w:r>
      <w:r>
        <w:rPr>
          <w:rFonts w:ascii="Times New Roman" w:hAnsi="Times New Roman" w:cs="Times New Roman"/>
          <w:sz w:val="24"/>
          <w:szCs w:val="24"/>
        </w:rPr>
        <w:t xml:space="preserve"> </w:t>
      </w:r>
      <w:proofErr w:type="gramStart"/>
      <w:r>
        <w:rPr>
          <w:rFonts w:ascii="Times New Roman" w:hAnsi="Times New Roman" w:cs="Times New Roman"/>
          <w:sz w:val="24"/>
          <w:szCs w:val="24"/>
        </w:rPr>
        <w:t>The</w:t>
      </w:r>
      <w:proofErr w:type="gramEnd"/>
      <w:r>
        <w:rPr>
          <w:rFonts w:ascii="Times New Roman" w:hAnsi="Times New Roman" w:cs="Times New Roman"/>
          <w:sz w:val="24"/>
          <w:szCs w:val="24"/>
        </w:rPr>
        <w:t xml:space="preserve"> uppermost chamber of the cave contains pigment rock art, including negative hand stencils. </w:t>
      </w:r>
      <w:r>
        <w:rPr>
          <w:rFonts w:ascii="Times New Roman" w:hAnsi="Times New Roman" w:cs="Times New Roman"/>
          <w:b/>
          <w:bCs/>
          <w:sz w:val="24"/>
          <w:szCs w:val="24"/>
        </w:rPr>
        <w:t>c,</w:t>
      </w:r>
      <w:r>
        <w:rPr>
          <w:rFonts w:ascii="Times New Roman" w:hAnsi="Times New Roman" w:cs="Times New Roman"/>
          <w:sz w:val="24"/>
          <w:szCs w:val="24"/>
        </w:rPr>
        <w:t xml:space="preserve"> View of excavation square in lower chamber looking south towards upper chamber 1. </w:t>
      </w:r>
      <w:r>
        <w:rPr>
          <w:rFonts w:ascii="Times New Roman" w:hAnsi="Times New Roman" w:cs="Times New Roman"/>
          <w:b/>
          <w:bCs/>
          <w:sz w:val="24"/>
          <w:szCs w:val="24"/>
        </w:rPr>
        <w:t>d,</w:t>
      </w:r>
      <w:r>
        <w:rPr>
          <w:rFonts w:ascii="Times New Roman" w:hAnsi="Times New Roman" w:cs="Times New Roman"/>
          <w:sz w:val="24"/>
          <w:szCs w:val="24"/>
        </w:rPr>
        <w:t xml:space="preserve"> View from upper chamber 1 looking northeast into lower chamber. </w:t>
      </w:r>
      <w:r>
        <w:rPr>
          <w:rFonts w:ascii="Times New Roman" w:hAnsi="Times New Roman" w:cs="Times New Roman"/>
          <w:b/>
          <w:bCs/>
          <w:sz w:val="24"/>
          <w:szCs w:val="24"/>
        </w:rPr>
        <w:t>e,</w:t>
      </w:r>
      <w:r>
        <w:rPr>
          <w:rFonts w:ascii="Times New Roman" w:hAnsi="Times New Roman" w:cs="Times New Roman"/>
          <w:sz w:val="24"/>
          <w:szCs w:val="24"/>
        </w:rPr>
        <w:t xml:space="preserve"> Liang </w:t>
      </w:r>
      <w:proofErr w:type="spellStart"/>
      <w:r>
        <w:rPr>
          <w:rFonts w:ascii="Times New Roman" w:hAnsi="Times New Roman" w:cs="Times New Roman"/>
          <w:sz w:val="24"/>
          <w:szCs w:val="24"/>
        </w:rPr>
        <w:t>Tebo</w:t>
      </w:r>
      <w:proofErr w:type="spellEnd"/>
      <w:r>
        <w:rPr>
          <w:rFonts w:ascii="Times New Roman" w:hAnsi="Times New Roman" w:cs="Times New Roman"/>
          <w:sz w:val="24"/>
          <w:szCs w:val="24"/>
        </w:rPr>
        <w:t xml:space="preserve"> north cave mouth showing rainforest vegetation outside of the dripline. </w:t>
      </w:r>
    </w:p>
    <w:p w14:paraId="467B4715" w14:textId="77DE9C9E" w:rsidR="00F272EB" w:rsidRDefault="00F272EB" w:rsidP="00F272EB">
      <w:pPr>
        <w:spacing w:after="0" w:line="360" w:lineRule="auto"/>
        <w:jc w:val="center"/>
        <w:rPr>
          <w:rFonts w:ascii="Times New Roman" w:hAnsi="Times New Roman" w:cs="Times New Roman"/>
          <w:sz w:val="24"/>
          <w:szCs w:val="24"/>
        </w:rPr>
      </w:pPr>
      <w:bookmarkStart w:id="0" w:name="_Hlk96606150"/>
      <w:r>
        <w:rPr>
          <w:noProof/>
          <w:lang w:eastAsia="en-AU"/>
        </w:rPr>
        <w:drawing>
          <wp:inline distT="0" distB="0" distL="0" distR="0" wp14:anchorId="5458E0F2" wp14:editId="3E12F21A">
            <wp:extent cx="4200525" cy="5381625"/>
            <wp:effectExtent l="0" t="0" r="9525" b="9525"/>
            <wp:docPr id="7" name="Picture 7" descr="A picture containing calend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picture containing calendar&#10;&#10;Description automatically generated"/>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4200525" cy="5381625"/>
                    </a:xfrm>
                    <a:prstGeom prst="rect">
                      <a:avLst/>
                    </a:prstGeom>
                    <a:noFill/>
                    <a:ln>
                      <a:noFill/>
                    </a:ln>
                  </pic:spPr>
                </pic:pic>
              </a:graphicData>
            </a:graphic>
          </wp:inline>
        </w:drawing>
      </w:r>
    </w:p>
    <w:p w14:paraId="0262D0EA" w14:textId="77777777" w:rsidR="00F272EB" w:rsidRDefault="00F272EB" w:rsidP="00F272EB">
      <w:pPr>
        <w:spacing w:after="0" w:line="360" w:lineRule="auto"/>
        <w:jc w:val="both"/>
        <w:rPr>
          <w:rFonts w:ascii="Times New Roman" w:hAnsi="Times New Roman" w:cs="Times New Roman"/>
          <w:b/>
          <w:sz w:val="24"/>
          <w:szCs w:val="24"/>
        </w:rPr>
      </w:pPr>
    </w:p>
    <w:p w14:paraId="23F56425" w14:textId="77777777" w:rsidR="00F272EB" w:rsidRDefault="00F272EB" w:rsidP="00F272EB">
      <w:pPr>
        <w:spacing w:after="0" w:line="360" w:lineRule="auto"/>
        <w:jc w:val="both"/>
        <w:rPr>
          <w:rFonts w:ascii="Times New Roman" w:hAnsi="Times New Roman" w:cs="Times New Roman"/>
          <w:b/>
          <w:sz w:val="24"/>
          <w:szCs w:val="24"/>
        </w:rPr>
      </w:pPr>
    </w:p>
    <w:p w14:paraId="180FAFB2" w14:textId="77777777" w:rsidR="00F272EB" w:rsidRDefault="00F272EB" w:rsidP="00F272EB">
      <w:pPr>
        <w:spacing w:after="0" w:line="360" w:lineRule="auto"/>
        <w:jc w:val="both"/>
        <w:rPr>
          <w:rFonts w:ascii="Times New Roman" w:hAnsi="Times New Roman" w:cs="Times New Roman"/>
          <w:b/>
          <w:bCs/>
          <w:sz w:val="24"/>
          <w:szCs w:val="24"/>
        </w:rPr>
      </w:pPr>
      <w:r>
        <w:rPr>
          <w:rFonts w:ascii="Times New Roman" w:hAnsi="Times New Roman" w:cs="Times New Roman"/>
          <w:b/>
          <w:sz w:val="24"/>
          <w:szCs w:val="24"/>
        </w:rPr>
        <w:t xml:space="preserve">Extended Data Figure 2 </w:t>
      </w:r>
      <w:bookmarkEnd w:id="0"/>
      <w:r>
        <w:rPr>
          <w:rFonts w:ascii="Times New Roman" w:hAnsi="Times New Roman" w:cs="Times New Roman"/>
          <w:b/>
          <w:sz w:val="24"/>
          <w:szCs w:val="24"/>
        </w:rPr>
        <w:t xml:space="preserve">| Liang </w:t>
      </w:r>
      <w:proofErr w:type="spellStart"/>
      <w:r>
        <w:rPr>
          <w:rFonts w:ascii="Times New Roman" w:hAnsi="Times New Roman" w:cs="Times New Roman"/>
          <w:b/>
          <w:sz w:val="24"/>
          <w:szCs w:val="24"/>
        </w:rPr>
        <w:t>Tebo</w:t>
      </w:r>
      <w:proofErr w:type="spellEnd"/>
      <w:r>
        <w:rPr>
          <w:rFonts w:ascii="Times New Roman" w:hAnsi="Times New Roman" w:cs="Times New Roman"/>
          <w:b/>
          <w:sz w:val="24"/>
          <w:szCs w:val="24"/>
        </w:rPr>
        <w:t xml:space="preserve"> stratigraphic profile. a, </w:t>
      </w:r>
      <w:proofErr w:type="gramStart"/>
      <w:r>
        <w:rPr>
          <w:rFonts w:ascii="Times New Roman" w:hAnsi="Times New Roman" w:cs="Times New Roman"/>
          <w:sz w:val="24"/>
          <w:szCs w:val="24"/>
        </w:rPr>
        <w:t>Nine</w:t>
      </w:r>
      <w:proofErr w:type="gramEnd"/>
      <w:r>
        <w:rPr>
          <w:rFonts w:ascii="Times New Roman" w:hAnsi="Times New Roman" w:cs="Times New Roman"/>
          <w:sz w:val="24"/>
          <w:szCs w:val="24"/>
        </w:rPr>
        <w:t xml:space="preserve"> major stratigraphic units (SU) with mostly horizontal bedding and strongly to moderately interpretable boundaries shown across west and north profiles. Sediments were assessed and described using Munsell colour</w:t>
      </w:r>
      <w:r>
        <w:rPr>
          <w:rFonts w:ascii="Times New Roman" w:hAnsi="Times New Roman" w:cs="Times New Roman"/>
          <w:sz w:val="24"/>
          <w:szCs w:val="24"/>
          <w:vertAlign w:val="superscript"/>
        </w:rPr>
        <w:t>56</w:t>
      </w:r>
      <w:r>
        <w:rPr>
          <w:rFonts w:ascii="Times New Roman" w:hAnsi="Times New Roman" w:cs="Times New Roman"/>
          <w:sz w:val="24"/>
          <w:szCs w:val="24"/>
        </w:rPr>
        <w:t xml:space="preserve">; compaction (cemented, weakly cemented, moderate, loose to very loose); and sorting grades of well (&lt;0.5 mm), moderate (~1 mm), poor (&gt;1.5 mm), and very poor (&gt;2 mm) particles. Calibrated radiocarbon ages and laboratory codes are presented within respective SUs represented in stratigraphic profile. </w:t>
      </w:r>
      <w:r>
        <w:rPr>
          <w:rFonts w:ascii="Times New Roman" w:hAnsi="Times New Roman" w:cs="Times New Roman"/>
          <w:b/>
          <w:bCs/>
          <w:sz w:val="24"/>
          <w:szCs w:val="24"/>
        </w:rPr>
        <w:t>b,</w:t>
      </w:r>
      <w:r>
        <w:rPr>
          <w:rFonts w:ascii="Times New Roman" w:hAnsi="Times New Roman" w:cs="Times New Roman"/>
          <w:sz w:val="24"/>
          <w:szCs w:val="24"/>
        </w:rPr>
        <w:t xml:space="preserve"> Squares C and D, west wall profile showing burial feature cut that continues into the profile. </w:t>
      </w:r>
      <w:r>
        <w:rPr>
          <w:rFonts w:ascii="Times New Roman" w:hAnsi="Times New Roman" w:cs="Times New Roman"/>
          <w:b/>
          <w:bCs/>
          <w:sz w:val="24"/>
          <w:szCs w:val="24"/>
        </w:rPr>
        <w:t>c,</w:t>
      </w:r>
      <w:r>
        <w:rPr>
          <w:rFonts w:ascii="Times New Roman" w:hAnsi="Times New Roman" w:cs="Times New Roman"/>
          <w:sz w:val="24"/>
          <w:szCs w:val="24"/>
        </w:rPr>
        <w:t xml:space="preserve"> Squares D and A, north wall profile.</w:t>
      </w:r>
      <w:r>
        <w:rPr>
          <w:rFonts w:ascii="Times New Roman" w:hAnsi="Times New Roman" w:cs="Times New Roman"/>
          <w:b/>
          <w:bCs/>
          <w:sz w:val="24"/>
          <w:szCs w:val="24"/>
        </w:rPr>
        <w:t xml:space="preserve"> d, </w:t>
      </w:r>
      <w:r>
        <w:rPr>
          <w:rFonts w:ascii="Times New Roman" w:hAnsi="Times New Roman" w:cs="Times New Roman"/>
          <w:sz w:val="24"/>
          <w:szCs w:val="24"/>
        </w:rPr>
        <w:t>3D laser scan depicting thorax of TB1 skeleton, with stratigraphic units above the feature (SU5,6,7) depicted on the western wall, and a boundary line of the underlying strata SU9.</w:t>
      </w:r>
    </w:p>
    <w:p w14:paraId="2CD3F863" w14:textId="1C6DF841" w:rsidR="00F272EB" w:rsidRDefault="00F272EB" w:rsidP="00F272EB">
      <w:pPr>
        <w:spacing w:after="0" w:line="360" w:lineRule="auto"/>
        <w:jc w:val="center"/>
        <w:rPr>
          <w:rFonts w:ascii="Times New Roman" w:hAnsi="Times New Roman" w:cs="Times New Roman"/>
          <w:sz w:val="24"/>
          <w:szCs w:val="24"/>
        </w:rPr>
      </w:pPr>
      <w:r>
        <w:rPr>
          <w:noProof/>
          <w:lang w:eastAsia="en-AU"/>
        </w:rPr>
        <w:lastRenderedPageBreak/>
        <w:drawing>
          <wp:inline distT="0" distB="0" distL="0" distR="0" wp14:anchorId="70BA7A01" wp14:editId="4B0BBD67">
            <wp:extent cx="4419600" cy="5295900"/>
            <wp:effectExtent l="0" t="0" r="0" b="0"/>
            <wp:docPr id="6" name="Picture 6" descr="Ex_Data_Fig_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Ex_Data_Fig_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419600" cy="5295900"/>
                    </a:xfrm>
                    <a:prstGeom prst="rect">
                      <a:avLst/>
                    </a:prstGeom>
                    <a:noFill/>
                    <a:ln>
                      <a:noFill/>
                    </a:ln>
                  </pic:spPr>
                </pic:pic>
              </a:graphicData>
            </a:graphic>
          </wp:inline>
        </w:drawing>
      </w:r>
    </w:p>
    <w:p w14:paraId="5AECB4B2" w14:textId="77777777" w:rsidR="00F272EB" w:rsidRDefault="00F272EB" w:rsidP="00F272EB">
      <w:pPr>
        <w:spacing w:after="0" w:line="360" w:lineRule="auto"/>
        <w:jc w:val="both"/>
        <w:rPr>
          <w:rFonts w:ascii="Times New Roman" w:hAnsi="Times New Roman" w:cs="Times New Roman"/>
          <w:b/>
          <w:sz w:val="24"/>
          <w:szCs w:val="24"/>
        </w:rPr>
      </w:pPr>
    </w:p>
    <w:p w14:paraId="45DCFC7C" w14:textId="77777777" w:rsidR="00F272EB" w:rsidRDefault="00F272EB" w:rsidP="00F272EB">
      <w:pPr>
        <w:spacing w:after="0" w:line="360" w:lineRule="auto"/>
        <w:jc w:val="both"/>
        <w:rPr>
          <w:rFonts w:ascii="Times New Roman" w:hAnsi="Times New Roman" w:cs="Times New Roman"/>
          <w:b/>
          <w:sz w:val="24"/>
          <w:szCs w:val="24"/>
        </w:rPr>
      </w:pPr>
    </w:p>
    <w:p w14:paraId="49CF097F" w14:textId="77777777" w:rsidR="00F272EB" w:rsidRDefault="00F272EB" w:rsidP="00F272EB">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Extended Data Figure 3 | TB1 burial feature. </w:t>
      </w:r>
      <w:r>
        <w:rPr>
          <w:rFonts w:ascii="Times New Roman" w:hAnsi="Times New Roman" w:cs="Times New Roman"/>
          <w:bCs/>
          <w:sz w:val="24"/>
          <w:szCs w:val="24"/>
        </w:rPr>
        <w:t>Figure viewed from left to right, upper to lower. The TB1 burial feature was carefully excavated in 32 episodic stages (R1 to R32). Upper left, large limestone burial markers positioned above the head and arms post-burial. Middle right, TB1 amputated tibia s</w:t>
      </w:r>
      <w:r>
        <w:rPr>
          <w:rFonts w:ascii="Times New Roman" w:hAnsi="Times New Roman" w:cs="Times New Roman"/>
          <w:bCs/>
          <w:sz w:val="24"/>
          <w:szCs w:val="24"/>
        </w:rPr>
        <w:softHyphen/>
        <w:t>hown in situ (white arrow). Lower right, burial feature post-removal demonstrating distinct grave cut margins.</w:t>
      </w:r>
    </w:p>
    <w:p w14:paraId="26AC2EEC" w14:textId="789AE961" w:rsidR="00F272EB" w:rsidRDefault="00F272EB" w:rsidP="00F272EB">
      <w:pPr>
        <w:spacing w:after="0" w:line="360" w:lineRule="auto"/>
        <w:jc w:val="center"/>
        <w:rPr>
          <w:rFonts w:ascii="Times New Roman" w:hAnsi="Times New Roman" w:cs="Times New Roman"/>
          <w:bCs/>
          <w:sz w:val="24"/>
          <w:szCs w:val="24"/>
        </w:rPr>
      </w:pPr>
      <w:r>
        <w:rPr>
          <w:noProof/>
          <w:lang w:eastAsia="en-AU"/>
        </w:rPr>
        <w:lastRenderedPageBreak/>
        <w:drawing>
          <wp:inline distT="0" distB="0" distL="0" distR="0" wp14:anchorId="3CE76D40" wp14:editId="17A03842">
            <wp:extent cx="5105400" cy="3552825"/>
            <wp:effectExtent l="0" t="0" r="0" b="9525"/>
            <wp:docPr id="5" name="Picture 5" descr="Map&#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Map&#10;&#10;Description automatically generated with medium confidence"/>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105400" cy="3552825"/>
                    </a:xfrm>
                    <a:prstGeom prst="rect">
                      <a:avLst/>
                    </a:prstGeom>
                    <a:noFill/>
                    <a:ln>
                      <a:noFill/>
                    </a:ln>
                  </pic:spPr>
                </pic:pic>
              </a:graphicData>
            </a:graphic>
          </wp:inline>
        </w:drawing>
      </w:r>
    </w:p>
    <w:p w14:paraId="3690C8C9" w14:textId="77777777" w:rsidR="00F272EB" w:rsidRDefault="00F272EB" w:rsidP="00F272EB">
      <w:pPr>
        <w:spacing w:after="0" w:line="360" w:lineRule="auto"/>
        <w:jc w:val="both"/>
        <w:rPr>
          <w:rFonts w:ascii="Times New Roman" w:hAnsi="Times New Roman" w:cs="Times New Roman"/>
          <w:bCs/>
          <w:sz w:val="24"/>
          <w:szCs w:val="24"/>
        </w:rPr>
      </w:pPr>
      <w:r>
        <w:rPr>
          <w:rFonts w:ascii="Times New Roman" w:hAnsi="Times New Roman" w:cs="Times New Roman"/>
          <w:bCs/>
          <w:sz w:val="24"/>
          <w:szCs w:val="24"/>
        </w:rPr>
        <w:t xml:space="preserve"> </w:t>
      </w:r>
    </w:p>
    <w:p w14:paraId="6B739192" w14:textId="77777777" w:rsidR="00F272EB" w:rsidRDefault="00F272EB" w:rsidP="00F272EB">
      <w:pPr>
        <w:spacing w:after="0" w:line="360" w:lineRule="auto"/>
        <w:jc w:val="both"/>
        <w:rPr>
          <w:rFonts w:ascii="Times New Roman" w:hAnsi="Times New Roman" w:cs="Times New Roman"/>
          <w:b/>
          <w:sz w:val="24"/>
          <w:szCs w:val="24"/>
        </w:rPr>
      </w:pPr>
    </w:p>
    <w:p w14:paraId="4BA483FA" w14:textId="77777777" w:rsidR="00F272EB" w:rsidRDefault="00F272EB" w:rsidP="00F272EB">
      <w:pPr>
        <w:spacing w:after="0" w:line="360" w:lineRule="auto"/>
        <w:jc w:val="both"/>
        <w:rPr>
          <w:rFonts w:ascii="Times New Roman" w:hAnsi="Times New Roman" w:cs="Times New Roman"/>
          <w:b/>
          <w:sz w:val="24"/>
          <w:szCs w:val="24"/>
        </w:rPr>
      </w:pPr>
    </w:p>
    <w:p w14:paraId="0167E411" w14:textId="77777777" w:rsidR="00F272EB" w:rsidRDefault="00F272EB" w:rsidP="00F272EB">
      <w:pPr>
        <w:spacing w:after="0" w:line="360" w:lineRule="auto"/>
        <w:jc w:val="both"/>
        <w:rPr>
          <w:rFonts w:ascii="Times New Roman" w:hAnsi="Times New Roman" w:cs="Times New Roman"/>
          <w:b/>
          <w:sz w:val="24"/>
          <w:szCs w:val="24"/>
        </w:rPr>
      </w:pPr>
    </w:p>
    <w:p w14:paraId="09A51647" w14:textId="77777777" w:rsidR="00F272EB" w:rsidRDefault="00F272EB" w:rsidP="00F272EB">
      <w:pPr>
        <w:spacing w:after="0" w:line="360" w:lineRule="auto"/>
        <w:jc w:val="both"/>
        <w:rPr>
          <w:rFonts w:ascii="Times New Roman" w:hAnsi="Times New Roman" w:cs="Times New Roman"/>
          <w:b/>
          <w:sz w:val="24"/>
          <w:szCs w:val="24"/>
        </w:rPr>
      </w:pPr>
    </w:p>
    <w:p w14:paraId="1D545AD1" w14:textId="77777777" w:rsidR="00F272EB" w:rsidRDefault="00F272EB" w:rsidP="00F272EB">
      <w:pPr>
        <w:spacing w:after="0" w:line="360" w:lineRule="auto"/>
        <w:jc w:val="both"/>
        <w:rPr>
          <w:rFonts w:ascii="Times New Roman" w:hAnsi="Times New Roman" w:cs="Times New Roman"/>
          <w:b/>
          <w:sz w:val="24"/>
          <w:szCs w:val="24"/>
        </w:rPr>
      </w:pPr>
    </w:p>
    <w:p w14:paraId="482CCBAB" w14:textId="77777777" w:rsidR="00F272EB" w:rsidRDefault="00F272EB" w:rsidP="00F272EB">
      <w:pPr>
        <w:spacing w:after="0" w:line="360" w:lineRule="auto"/>
        <w:jc w:val="both"/>
        <w:rPr>
          <w:rFonts w:ascii="Times New Roman" w:hAnsi="Times New Roman" w:cs="Times New Roman"/>
          <w:b/>
          <w:sz w:val="24"/>
          <w:szCs w:val="24"/>
        </w:rPr>
      </w:pPr>
    </w:p>
    <w:p w14:paraId="798E491B" w14:textId="77777777" w:rsidR="00F272EB" w:rsidRDefault="00F272EB" w:rsidP="00F272EB">
      <w:pPr>
        <w:spacing w:after="0" w:line="360" w:lineRule="auto"/>
        <w:jc w:val="both"/>
        <w:rPr>
          <w:rFonts w:ascii="Times New Roman" w:hAnsi="Times New Roman" w:cs="Times New Roman"/>
          <w:b/>
          <w:sz w:val="24"/>
          <w:szCs w:val="24"/>
        </w:rPr>
      </w:pPr>
    </w:p>
    <w:p w14:paraId="62977B34" w14:textId="77777777" w:rsidR="00F272EB" w:rsidRDefault="00F272EB" w:rsidP="00F272EB">
      <w:pPr>
        <w:spacing w:after="0" w:line="360" w:lineRule="auto"/>
        <w:jc w:val="both"/>
        <w:rPr>
          <w:rFonts w:ascii="Times New Roman" w:hAnsi="Times New Roman" w:cs="Times New Roman"/>
          <w:b/>
          <w:sz w:val="24"/>
          <w:szCs w:val="24"/>
        </w:rPr>
      </w:pPr>
    </w:p>
    <w:p w14:paraId="685E7765" w14:textId="77777777" w:rsidR="00F272EB" w:rsidRDefault="00F272EB" w:rsidP="00F272EB">
      <w:pPr>
        <w:spacing w:after="0" w:line="360" w:lineRule="auto"/>
        <w:jc w:val="both"/>
        <w:rPr>
          <w:rFonts w:ascii="Times New Roman" w:hAnsi="Times New Roman" w:cs="Times New Roman"/>
          <w:b/>
          <w:sz w:val="24"/>
          <w:szCs w:val="24"/>
        </w:rPr>
      </w:pPr>
    </w:p>
    <w:p w14:paraId="0B17410D" w14:textId="77777777" w:rsidR="00F272EB" w:rsidRDefault="00F272EB" w:rsidP="00F272EB">
      <w:pPr>
        <w:spacing w:after="0" w:line="360" w:lineRule="auto"/>
        <w:jc w:val="both"/>
        <w:rPr>
          <w:rFonts w:ascii="Times New Roman" w:hAnsi="Times New Roman" w:cs="Times New Roman"/>
          <w:b/>
          <w:sz w:val="24"/>
          <w:szCs w:val="24"/>
        </w:rPr>
      </w:pPr>
    </w:p>
    <w:p w14:paraId="16273DA8" w14:textId="77777777" w:rsidR="00F272EB" w:rsidRDefault="00F272EB" w:rsidP="00F272EB">
      <w:pPr>
        <w:spacing w:after="0" w:line="360" w:lineRule="auto"/>
        <w:jc w:val="both"/>
        <w:rPr>
          <w:rFonts w:ascii="Times New Roman" w:hAnsi="Times New Roman" w:cs="Times New Roman"/>
          <w:b/>
          <w:sz w:val="24"/>
          <w:szCs w:val="24"/>
        </w:rPr>
      </w:pPr>
    </w:p>
    <w:p w14:paraId="7A7516C4" w14:textId="77777777" w:rsidR="00F272EB" w:rsidRDefault="00F272EB" w:rsidP="00F272EB">
      <w:pPr>
        <w:spacing w:after="0" w:line="360" w:lineRule="auto"/>
        <w:jc w:val="both"/>
        <w:rPr>
          <w:rFonts w:ascii="Times New Roman" w:hAnsi="Times New Roman" w:cs="Times New Roman"/>
          <w:b/>
          <w:sz w:val="24"/>
          <w:szCs w:val="24"/>
        </w:rPr>
      </w:pPr>
    </w:p>
    <w:p w14:paraId="78F75B01" w14:textId="77777777" w:rsidR="00F272EB" w:rsidRDefault="00F272EB" w:rsidP="00F272EB">
      <w:pPr>
        <w:spacing w:after="0" w:line="360" w:lineRule="auto"/>
        <w:jc w:val="both"/>
        <w:rPr>
          <w:rFonts w:ascii="Times New Roman" w:hAnsi="Times New Roman" w:cs="Times New Roman"/>
          <w:b/>
          <w:sz w:val="24"/>
          <w:szCs w:val="24"/>
        </w:rPr>
      </w:pPr>
    </w:p>
    <w:p w14:paraId="446B34AB" w14:textId="77777777" w:rsidR="00F272EB" w:rsidRDefault="00F272EB" w:rsidP="00F272EB">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Extended Data Figure 4 | TB1 amputation. </w:t>
      </w:r>
      <w:proofErr w:type="gramStart"/>
      <w:r>
        <w:rPr>
          <w:rFonts w:ascii="Times New Roman" w:hAnsi="Times New Roman" w:cs="Times New Roman"/>
          <w:b/>
          <w:sz w:val="24"/>
          <w:szCs w:val="24"/>
        </w:rPr>
        <w:t>a,</w:t>
      </w:r>
      <w:proofErr w:type="gramEnd"/>
      <w:r>
        <w:rPr>
          <w:rFonts w:ascii="Times New Roman" w:hAnsi="Times New Roman" w:cs="Times New Roman"/>
          <w:color w:val="2F5497"/>
          <w:sz w:val="16"/>
          <w:szCs w:val="16"/>
        </w:rPr>
        <w:t xml:space="preserve"> </w:t>
      </w:r>
      <w:r>
        <w:rPr>
          <w:rFonts w:ascii="Times New Roman" w:hAnsi="Times New Roman" w:cs="Times New Roman"/>
          <w:bCs/>
          <w:sz w:val="24"/>
          <w:szCs w:val="24"/>
        </w:rPr>
        <w:t>Comparison of left and right tibiae and fibulae</w:t>
      </w:r>
      <w:r>
        <w:rPr>
          <w:rFonts w:ascii="Times New Roman" w:hAnsi="Times New Roman" w:cs="Times New Roman"/>
          <w:b/>
          <w:sz w:val="24"/>
          <w:szCs w:val="24"/>
        </w:rPr>
        <w:t xml:space="preserve">. b, </w:t>
      </w:r>
      <w:proofErr w:type="gramStart"/>
      <w:r>
        <w:rPr>
          <w:rFonts w:ascii="Times New Roman" w:hAnsi="Times New Roman" w:cs="Times New Roman"/>
          <w:bCs/>
          <w:sz w:val="24"/>
          <w:szCs w:val="24"/>
        </w:rPr>
        <w:t>Left</w:t>
      </w:r>
      <w:proofErr w:type="gramEnd"/>
      <w:r>
        <w:rPr>
          <w:rFonts w:ascii="Times New Roman" w:hAnsi="Times New Roman" w:cs="Times New Roman"/>
          <w:bCs/>
          <w:sz w:val="24"/>
          <w:szCs w:val="24"/>
        </w:rPr>
        <w:t xml:space="preserve"> tibia showing healed kerf surfaces of amputation site.</w:t>
      </w:r>
      <w:r>
        <w:rPr>
          <w:rFonts w:ascii="Times New Roman" w:hAnsi="Times New Roman" w:cs="Times New Roman"/>
          <w:b/>
          <w:sz w:val="24"/>
          <w:szCs w:val="24"/>
        </w:rPr>
        <w:t xml:space="preserve"> c, </w:t>
      </w:r>
      <w:proofErr w:type="gramStart"/>
      <w:r>
        <w:rPr>
          <w:rFonts w:ascii="Times New Roman" w:hAnsi="Times New Roman" w:cs="Times New Roman"/>
          <w:bCs/>
          <w:sz w:val="24"/>
          <w:szCs w:val="24"/>
        </w:rPr>
        <w:t>Left</w:t>
      </w:r>
      <w:proofErr w:type="gramEnd"/>
      <w:r>
        <w:rPr>
          <w:rFonts w:ascii="Times New Roman" w:hAnsi="Times New Roman" w:cs="Times New Roman"/>
          <w:bCs/>
          <w:sz w:val="24"/>
          <w:szCs w:val="24"/>
        </w:rPr>
        <w:t xml:space="preserve"> fibula showing healed kerf </w:t>
      </w:r>
      <w:r>
        <w:rPr>
          <w:rFonts w:ascii="Times New Roman" w:hAnsi="Times New Roman" w:cs="Times New Roman"/>
          <w:bCs/>
          <w:sz w:val="24"/>
          <w:szCs w:val="24"/>
        </w:rPr>
        <w:lastRenderedPageBreak/>
        <w:t>surfaces of amputation site.</w:t>
      </w:r>
      <w:r>
        <w:rPr>
          <w:rFonts w:ascii="Times New Roman" w:hAnsi="Times New Roman" w:cs="Times New Roman"/>
          <w:b/>
          <w:sz w:val="24"/>
          <w:szCs w:val="24"/>
        </w:rPr>
        <w:t xml:space="preserve"> d</w:t>
      </w:r>
      <w:r>
        <w:rPr>
          <w:rFonts w:ascii="Times New Roman" w:hAnsi="Times New Roman" w:cs="Times New Roman"/>
          <w:bCs/>
          <w:sz w:val="24"/>
          <w:szCs w:val="24"/>
        </w:rPr>
        <w:t xml:space="preserve">, Cortex thickness of the left and right tibia are presented for comparison demonstrating atrophy of the lower left limb in association with the amputation. </w:t>
      </w:r>
    </w:p>
    <w:p w14:paraId="5FD04EF9" w14:textId="394C4EAC" w:rsidR="00F272EB" w:rsidRDefault="00F272EB" w:rsidP="00F272EB">
      <w:pPr>
        <w:spacing w:after="0" w:line="360" w:lineRule="auto"/>
        <w:jc w:val="center"/>
        <w:rPr>
          <w:rFonts w:ascii="Times New Roman" w:hAnsi="Times New Roman" w:cs="Times New Roman"/>
          <w:b/>
          <w:sz w:val="24"/>
          <w:szCs w:val="24"/>
        </w:rPr>
      </w:pPr>
      <w:r>
        <w:rPr>
          <w:noProof/>
          <w:lang w:eastAsia="en-AU"/>
        </w:rPr>
        <w:drawing>
          <wp:inline distT="0" distB="0" distL="0" distR="0" wp14:anchorId="155717E1" wp14:editId="2CDD1A72">
            <wp:extent cx="4667250" cy="2457450"/>
            <wp:effectExtent l="0" t="0" r="0" b="0"/>
            <wp:docPr id="4" name="Picture 4" descr="A picture containing candelabru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candelabrum&#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667250" cy="2457450"/>
                    </a:xfrm>
                    <a:prstGeom prst="rect">
                      <a:avLst/>
                    </a:prstGeom>
                    <a:noFill/>
                    <a:ln>
                      <a:noFill/>
                    </a:ln>
                  </pic:spPr>
                </pic:pic>
              </a:graphicData>
            </a:graphic>
          </wp:inline>
        </w:drawing>
      </w:r>
    </w:p>
    <w:p w14:paraId="557291E7" w14:textId="77777777" w:rsidR="00F272EB" w:rsidRDefault="00F272EB" w:rsidP="00F272EB">
      <w:pPr>
        <w:spacing w:after="0" w:line="360" w:lineRule="auto"/>
        <w:jc w:val="both"/>
        <w:rPr>
          <w:rFonts w:ascii="Times New Roman" w:hAnsi="Times New Roman" w:cs="Times New Roman"/>
          <w:b/>
          <w:sz w:val="24"/>
          <w:szCs w:val="24"/>
        </w:rPr>
      </w:pPr>
    </w:p>
    <w:p w14:paraId="275436E4" w14:textId="77777777" w:rsidR="00F272EB" w:rsidRDefault="00F272EB" w:rsidP="00F272EB">
      <w:pPr>
        <w:spacing w:after="0" w:line="360" w:lineRule="auto"/>
        <w:jc w:val="both"/>
        <w:rPr>
          <w:rFonts w:ascii="Times New Roman" w:hAnsi="Times New Roman" w:cs="Times New Roman"/>
          <w:b/>
          <w:sz w:val="24"/>
          <w:szCs w:val="24"/>
        </w:rPr>
      </w:pPr>
    </w:p>
    <w:p w14:paraId="64CA98DA" w14:textId="77777777" w:rsidR="00F272EB" w:rsidRDefault="00F272EB" w:rsidP="00F272EB">
      <w:pPr>
        <w:spacing w:after="0" w:line="360" w:lineRule="auto"/>
        <w:jc w:val="both"/>
        <w:rPr>
          <w:rFonts w:ascii="Times New Roman" w:hAnsi="Times New Roman" w:cs="Times New Roman"/>
          <w:b/>
          <w:sz w:val="24"/>
          <w:szCs w:val="24"/>
        </w:rPr>
      </w:pPr>
    </w:p>
    <w:p w14:paraId="4B56BCBC" w14:textId="77777777" w:rsidR="00F272EB" w:rsidRDefault="00F272EB" w:rsidP="00F272EB">
      <w:pPr>
        <w:spacing w:after="0" w:line="360" w:lineRule="auto"/>
        <w:jc w:val="both"/>
        <w:rPr>
          <w:rFonts w:ascii="Times New Roman" w:hAnsi="Times New Roman" w:cs="Times New Roman"/>
          <w:b/>
          <w:sz w:val="24"/>
          <w:szCs w:val="24"/>
        </w:rPr>
      </w:pPr>
    </w:p>
    <w:p w14:paraId="59935475" w14:textId="77777777" w:rsidR="00F272EB" w:rsidRDefault="00F272EB" w:rsidP="00F272EB">
      <w:pPr>
        <w:spacing w:after="0" w:line="360" w:lineRule="auto"/>
        <w:jc w:val="both"/>
        <w:rPr>
          <w:rFonts w:ascii="Times New Roman" w:hAnsi="Times New Roman" w:cs="Times New Roman"/>
          <w:b/>
          <w:sz w:val="24"/>
          <w:szCs w:val="24"/>
        </w:rPr>
      </w:pPr>
    </w:p>
    <w:p w14:paraId="041BF662" w14:textId="77777777" w:rsidR="00F272EB" w:rsidRDefault="00F272EB" w:rsidP="00F272EB">
      <w:pPr>
        <w:spacing w:after="0" w:line="360" w:lineRule="auto"/>
        <w:jc w:val="both"/>
        <w:rPr>
          <w:rFonts w:ascii="Times New Roman" w:hAnsi="Times New Roman" w:cs="Times New Roman"/>
          <w:b/>
          <w:sz w:val="24"/>
          <w:szCs w:val="24"/>
        </w:rPr>
      </w:pPr>
    </w:p>
    <w:p w14:paraId="3FC7B3F7" w14:textId="77777777" w:rsidR="00F272EB" w:rsidRDefault="00F272EB" w:rsidP="00F272EB">
      <w:pPr>
        <w:spacing w:after="0" w:line="360" w:lineRule="auto"/>
        <w:jc w:val="both"/>
        <w:rPr>
          <w:rFonts w:ascii="Times New Roman" w:hAnsi="Times New Roman" w:cs="Times New Roman"/>
          <w:b/>
          <w:sz w:val="24"/>
          <w:szCs w:val="24"/>
        </w:rPr>
      </w:pPr>
    </w:p>
    <w:p w14:paraId="6B4FE491" w14:textId="77777777" w:rsidR="00F272EB" w:rsidRDefault="00F272EB" w:rsidP="00F272EB">
      <w:pPr>
        <w:spacing w:after="0" w:line="360" w:lineRule="auto"/>
        <w:jc w:val="both"/>
        <w:rPr>
          <w:rFonts w:ascii="Times New Roman" w:hAnsi="Times New Roman" w:cs="Times New Roman"/>
          <w:b/>
          <w:sz w:val="24"/>
          <w:szCs w:val="24"/>
        </w:rPr>
      </w:pPr>
    </w:p>
    <w:p w14:paraId="730086B5" w14:textId="77777777" w:rsidR="00F272EB" w:rsidRDefault="00F272EB" w:rsidP="00F272EB">
      <w:pPr>
        <w:spacing w:after="0" w:line="360" w:lineRule="auto"/>
        <w:jc w:val="both"/>
        <w:rPr>
          <w:rFonts w:ascii="Times New Roman" w:hAnsi="Times New Roman" w:cs="Times New Roman"/>
          <w:b/>
          <w:sz w:val="24"/>
          <w:szCs w:val="24"/>
        </w:rPr>
      </w:pPr>
    </w:p>
    <w:p w14:paraId="763CCDA7" w14:textId="77777777" w:rsidR="00F272EB" w:rsidRDefault="00F272EB" w:rsidP="00F272EB">
      <w:pPr>
        <w:spacing w:after="0" w:line="360" w:lineRule="auto"/>
        <w:jc w:val="both"/>
        <w:rPr>
          <w:rFonts w:ascii="Times New Roman" w:hAnsi="Times New Roman" w:cs="Times New Roman"/>
          <w:b/>
          <w:sz w:val="24"/>
          <w:szCs w:val="24"/>
        </w:rPr>
      </w:pPr>
    </w:p>
    <w:p w14:paraId="15AA8245" w14:textId="77777777" w:rsidR="00F272EB" w:rsidRDefault="00F272EB" w:rsidP="00F272EB">
      <w:pPr>
        <w:spacing w:after="0" w:line="360" w:lineRule="auto"/>
        <w:jc w:val="both"/>
        <w:rPr>
          <w:rFonts w:ascii="Times New Roman" w:hAnsi="Times New Roman" w:cs="Times New Roman"/>
          <w:b/>
          <w:sz w:val="24"/>
          <w:szCs w:val="24"/>
        </w:rPr>
      </w:pPr>
    </w:p>
    <w:p w14:paraId="49545B9F" w14:textId="77777777" w:rsidR="00F272EB" w:rsidRDefault="00F272EB" w:rsidP="00F272EB">
      <w:pPr>
        <w:spacing w:after="0" w:line="360" w:lineRule="auto"/>
        <w:jc w:val="both"/>
        <w:rPr>
          <w:rFonts w:ascii="Times New Roman" w:hAnsi="Times New Roman" w:cs="Times New Roman"/>
          <w:b/>
          <w:sz w:val="24"/>
          <w:szCs w:val="24"/>
        </w:rPr>
      </w:pPr>
    </w:p>
    <w:p w14:paraId="444BB256" w14:textId="77777777" w:rsidR="00F272EB" w:rsidRDefault="00F272EB" w:rsidP="00F272EB">
      <w:pPr>
        <w:spacing w:after="0" w:line="360" w:lineRule="auto"/>
        <w:jc w:val="both"/>
        <w:rPr>
          <w:rFonts w:ascii="Times New Roman" w:hAnsi="Times New Roman" w:cs="Times New Roman"/>
          <w:b/>
          <w:sz w:val="24"/>
          <w:szCs w:val="24"/>
        </w:rPr>
      </w:pPr>
    </w:p>
    <w:p w14:paraId="27056356" w14:textId="77777777" w:rsidR="00F272EB" w:rsidRDefault="00F272EB" w:rsidP="00F272EB">
      <w:pPr>
        <w:spacing w:after="0" w:line="360" w:lineRule="auto"/>
        <w:jc w:val="both"/>
        <w:rPr>
          <w:rFonts w:ascii="Times New Roman" w:hAnsi="Times New Roman" w:cs="Times New Roman"/>
          <w:b/>
          <w:sz w:val="24"/>
          <w:szCs w:val="24"/>
        </w:rPr>
      </w:pPr>
    </w:p>
    <w:p w14:paraId="14C0A8C5" w14:textId="77777777" w:rsidR="00F272EB" w:rsidRDefault="00F272EB" w:rsidP="00F272EB">
      <w:pPr>
        <w:spacing w:after="0" w:line="360" w:lineRule="auto"/>
        <w:jc w:val="both"/>
        <w:rPr>
          <w:rFonts w:ascii="Times New Roman" w:hAnsi="Times New Roman" w:cs="Times New Roman"/>
          <w:b/>
          <w:sz w:val="24"/>
          <w:szCs w:val="24"/>
        </w:rPr>
      </w:pPr>
    </w:p>
    <w:p w14:paraId="3E174ED4" w14:textId="77777777" w:rsidR="00F272EB" w:rsidRDefault="00F272EB" w:rsidP="00F272EB">
      <w:pPr>
        <w:spacing w:after="0" w:line="360" w:lineRule="auto"/>
        <w:jc w:val="both"/>
        <w:rPr>
          <w:rFonts w:ascii="Times New Roman" w:hAnsi="Times New Roman" w:cs="Times New Roman"/>
          <w:b/>
          <w:sz w:val="24"/>
          <w:szCs w:val="24"/>
        </w:rPr>
      </w:pPr>
    </w:p>
    <w:p w14:paraId="1F37FCE0" w14:textId="77777777" w:rsidR="00F272EB" w:rsidRDefault="00F272EB" w:rsidP="00F272EB">
      <w:pPr>
        <w:spacing w:after="0" w:line="360" w:lineRule="auto"/>
        <w:jc w:val="both"/>
        <w:rPr>
          <w:rFonts w:ascii="Times New Roman" w:hAnsi="Times New Roman" w:cs="Times New Roman"/>
          <w:b/>
          <w:sz w:val="24"/>
          <w:szCs w:val="24"/>
        </w:rPr>
      </w:pPr>
    </w:p>
    <w:p w14:paraId="41ECD965" w14:textId="77777777" w:rsidR="00F272EB" w:rsidRDefault="00F272EB" w:rsidP="00F272EB">
      <w:pPr>
        <w:spacing w:after="0" w:line="360" w:lineRule="auto"/>
        <w:jc w:val="both"/>
        <w:rPr>
          <w:rFonts w:ascii="Times New Roman" w:hAnsi="Times New Roman" w:cs="Times New Roman"/>
          <w:b/>
          <w:sz w:val="24"/>
          <w:szCs w:val="24"/>
        </w:rPr>
      </w:pPr>
    </w:p>
    <w:p w14:paraId="365CBE20" w14:textId="77777777" w:rsidR="00F272EB" w:rsidRDefault="00F272EB" w:rsidP="00F272EB">
      <w:pPr>
        <w:spacing w:after="0" w:line="360" w:lineRule="auto"/>
        <w:jc w:val="both"/>
        <w:rPr>
          <w:rFonts w:ascii="Times New Roman" w:hAnsi="Times New Roman" w:cs="Times New Roman"/>
          <w:b/>
          <w:sz w:val="24"/>
          <w:szCs w:val="24"/>
        </w:rPr>
      </w:pPr>
    </w:p>
    <w:p w14:paraId="1EF6A193" w14:textId="77777777" w:rsidR="00F272EB" w:rsidRDefault="00F272EB" w:rsidP="00F272EB">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lastRenderedPageBreak/>
        <w:t xml:space="preserve">Extended Data Figure 5 | Dental pathology of TB1. </w:t>
      </w:r>
      <w:proofErr w:type="gramStart"/>
      <w:r>
        <w:rPr>
          <w:rFonts w:ascii="Times New Roman" w:hAnsi="Times New Roman" w:cs="Times New Roman"/>
          <w:b/>
          <w:sz w:val="24"/>
          <w:szCs w:val="24"/>
        </w:rPr>
        <w:t>a,</w:t>
      </w:r>
      <w:proofErr w:type="gramEnd"/>
      <w:r>
        <w:rPr>
          <w:rFonts w:ascii="Times New Roman" w:hAnsi="Times New Roman" w:cs="Times New Roman"/>
          <w:b/>
          <w:sz w:val="24"/>
          <w:szCs w:val="24"/>
        </w:rPr>
        <w:t xml:space="preserve"> </w:t>
      </w:r>
      <w:r>
        <w:rPr>
          <w:rFonts w:ascii="Times New Roman" w:hAnsi="Times New Roman" w:cs="Times New Roman"/>
          <w:bCs/>
          <w:sz w:val="24"/>
          <w:szCs w:val="24"/>
        </w:rPr>
        <w:t xml:space="preserve">notches (arrows) on the left maxillary central and lateral incisors. </w:t>
      </w:r>
      <w:r>
        <w:rPr>
          <w:rFonts w:ascii="Times New Roman" w:hAnsi="Times New Roman" w:cs="Times New Roman"/>
          <w:b/>
          <w:sz w:val="24"/>
          <w:szCs w:val="24"/>
        </w:rPr>
        <w:t xml:space="preserve">b, </w:t>
      </w:r>
      <w:r>
        <w:rPr>
          <w:rFonts w:ascii="Times New Roman" w:hAnsi="Times New Roman" w:cs="Times New Roman"/>
          <w:bCs/>
          <w:sz w:val="24"/>
          <w:szCs w:val="24"/>
        </w:rPr>
        <w:t>dental calculus (arrows) and periodontal disease (dashed line) of the left maxillary 1st premolar to 2nd molar.</w:t>
      </w:r>
      <w:r>
        <w:rPr>
          <w:rFonts w:ascii="Times New Roman" w:hAnsi="Times New Roman" w:cs="Times New Roman"/>
          <w:b/>
          <w:sz w:val="24"/>
          <w:szCs w:val="24"/>
        </w:rPr>
        <w:t xml:space="preserve"> c, </w:t>
      </w:r>
      <w:r>
        <w:rPr>
          <w:rFonts w:ascii="Times New Roman" w:hAnsi="Times New Roman" w:cs="Times New Roman"/>
          <w:bCs/>
          <w:sz w:val="24"/>
          <w:szCs w:val="24"/>
        </w:rPr>
        <w:t>Linear Enamel Hypoplasia of the right maxillary central incisor. Two defects are observable</w:t>
      </w:r>
      <w:r>
        <w:rPr>
          <w:rFonts w:ascii="Times New Roman" w:hAnsi="Times New Roman" w:cs="Times New Roman"/>
          <w:b/>
          <w:sz w:val="24"/>
          <w:szCs w:val="24"/>
        </w:rPr>
        <w:t xml:space="preserve">. d, </w:t>
      </w:r>
      <w:r>
        <w:rPr>
          <w:rFonts w:ascii="Times New Roman" w:hAnsi="Times New Roman" w:cs="Times New Roman"/>
          <w:bCs/>
          <w:sz w:val="24"/>
          <w:szCs w:val="24"/>
        </w:rPr>
        <w:t>Dotted hypoplasia (arrow) of the right maxillary canine.</w:t>
      </w:r>
      <w:r>
        <w:rPr>
          <w:rFonts w:ascii="Times New Roman" w:hAnsi="Times New Roman" w:cs="Times New Roman"/>
          <w:b/>
          <w:sz w:val="24"/>
          <w:szCs w:val="24"/>
        </w:rPr>
        <w:t xml:space="preserve"> e, </w:t>
      </w:r>
      <w:r>
        <w:rPr>
          <w:rFonts w:ascii="Times New Roman" w:hAnsi="Times New Roman" w:cs="Times New Roman"/>
          <w:bCs/>
          <w:sz w:val="24"/>
          <w:szCs w:val="24"/>
        </w:rPr>
        <w:t xml:space="preserve">Carious lesions (arrows) on the buccal surfaces of right mandibular 3rd molar, right mandibular 2nd molar and left mandibular 3rd molar (left to right). </w:t>
      </w:r>
    </w:p>
    <w:p w14:paraId="76A156F8" w14:textId="1D438612" w:rsidR="00F272EB" w:rsidRDefault="00F272EB" w:rsidP="00F272EB">
      <w:pPr>
        <w:spacing w:after="0" w:line="480" w:lineRule="auto"/>
        <w:jc w:val="center"/>
        <w:rPr>
          <w:rFonts w:ascii="Times New Roman" w:hAnsi="Times New Roman" w:cs="Times New Roman"/>
          <w:b/>
          <w:sz w:val="24"/>
          <w:szCs w:val="24"/>
        </w:rPr>
      </w:pPr>
      <w:r>
        <w:rPr>
          <w:rFonts w:ascii="Times New Roman" w:hAnsi="Times New Roman" w:cs="Times New Roman"/>
          <w:b/>
          <w:noProof/>
          <w:sz w:val="24"/>
          <w:szCs w:val="24"/>
          <w:lang w:eastAsia="en-AU"/>
        </w:rPr>
        <w:drawing>
          <wp:inline distT="0" distB="0" distL="0" distR="0" wp14:anchorId="493BCE3B" wp14:editId="754CC58C">
            <wp:extent cx="4391025" cy="4714875"/>
            <wp:effectExtent l="0" t="0" r="9525" b="9525"/>
            <wp:docPr id="3" name="Picture 3" descr="Tebo dental patholog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Tebo dental pathology"/>
                    <pic:cNvPicPr>
                      <a:picLocks noChangeAspect="1" noChangeArrowheads="1"/>
                    </pic:cNvPicPr>
                  </pic:nvPicPr>
                  <pic:blipFill>
                    <a:blip r:embed="rId8">
                      <a:extLst>
                        <a:ext uri="{28A0092B-C50C-407E-A947-70E740481C1C}">
                          <a14:useLocalDpi xmlns:a14="http://schemas.microsoft.com/office/drawing/2010/main" val="0"/>
                        </a:ext>
                      </a:extLst>
                    </a:blip>
                    <a:srcRect b="33276"/>
                    <a:stretch>
                      <a:fillRect/>
                    </a:stretch>
                  </pic:blipFill>
                  <pic:spPr bwMode="auto">
                    <a:xfrm>
                      <a:off x="0" y="0"/>
                      <a:ext cx="4391025" cy="4714875"/>
                    </a:xfrm>
                    <a:prstGeom prst="rect">
                      <a:avLst/>
                    </a:prstGeom>
                    <a:noFill/>
                    <a:ln>
                      <a:noFill/>
                    </a:ln>
                  </pic:spPr>
                </pic:pic>
              </a:graphicData>
            </a:graphic>
          </wp:inline>
        </w:drawing>
      </w:r>
    </w:p>
    <w:p w14:paraId="26926EBE" w14:textId="77777777" w:rsidR="00F272EB" w:rsidRDefault="00F272EB" w:rsidP="00F272EB">
      <w:pPr>
        <w:spacing w:after="0" w:line="480" w:lineRule="auto"/>
        <w:jc w:val="center"/>
        <w:rPr>
          <w:rFonts w:ascii="Times New Roman" w:hAnsi="Times New Roman" w:cs="Times New Roman"/>
          <w:b/>
          <w:sz w:val="24"/>
          <w:szCs w:val="24"/>
        </w:rPr>
      </w:pPr>
    </w:p>
    <w:p w14:paraId="5AAF323C" w14:textId="77777777" w:rsidR="00F272EB" w:rsidRDefault="00F272EB" w:rsidP="00F272EB">
      <w:pPr>
        <w:spacing w:after="0" w:line="480" w:lineRule="auto"/>
        <w:jc w:val="center"/>
        <w:rPr>
          <w:rFonts w:ascii="Times New Roman" w:hAnsi="Times New Roman" w:cs="Times New Roman"/>
          <w:b/>
          <w:sz w:val="24"/>
          <w:szCs w:val="24"/>
        </w:rPr>
      </w:pPr>
    </w:p>
    <w:p w14:paraId="0E26FF04" w14:textId="77777777" w:rsidR="00F272EB" w:rsidRDefault="00F272EB" w:rsidP="00F272EB">
      <w:pPr>
        <w:spacing w:after="0" w:line="480" w:lineRule="auto"/>
        <w:jc w:val="center"/>
        <w:rPr>
          <w:rFonts w:ascii="Times New Roman" w:hAnsi="Times New Roman" w:cs="Times New Roman"/>
          <w:b/>
          <w:sz w:val="24"/>
          <w:szCs w:val="24"/>
        </w:rPr>
      </w:pPr>
    </w:p>
    <w:p w14:paraId="0912006B" w14:textId="77777777" w:rsidR="00F272EB" w:rsidRDefault="00F272EB" w:rsidP="00F272EB">
      <w:pPr>
        <w:spacing w:after="0" w:line="480" w:lineRule="auto"/>
        <w:jc w:val="center"/>
        <w:rPr>
          <w:rFonts w:ascii="Times New Roman" w:hAnsi="Times New Roman" w:cs="Times New Roman"/>
          <w:b/>
          <w:sz w:val="24"/>
          <w:szCs w:val="24"/>
        </w:rPr>
      </w:pPr>
    </w:p>
    <w:p w14:paraId="12A6B2AF" w14:textId="77777777" w:rsidR="00F272EB" w:rsidRDefault="00F272EB" w:rsidP="00F272EB">
      <w:pPr>
        <w:spacing w:after="0" w:line="480" w:lineRule="auto"/>
        <w:jc w:val="center"/>
        <w:rPr>
          <w:rFonts w:ascii="Times New Roman" w:hAnsi="Times New Roman" w:cs="Times New Roman"/>
          <w:b/>
          <w:sz w:val="24"/>
          <w:szCs w:val="24"/>
        </w:rPr>
      </w:pPr>
    </w:p>
    <w:p w14:paraId="2021A4B0" w14:textId="77777777" w:rsidR="00F272EB" w:rsidRDefault="00F272EB" w:rsidP="00F272EB">
      <w:pPr>
        <w:spacing w:after="0" w:line="480" w:lineRule="auto"/>
        <w:jc w:val="center"/>
        <w:rPr>
          <w:rFonts w:ascii="Times New Roman" w:hAnsi="Times New Roman" w:cs="Times New Roman"/>
          <w:b/>
          <w:sz w:val="24"/>
          <w:szCs w:val="24"/>
        </w:rPr>
      </w:pPr>
    </w:p>
    <w:p w14:paraId="45B7C7DB" w14:textId="77777777" w:rsidR="00F272EB" w:rsidRDefault="00F272EB" w:rsidP="00F272EB">
      <w:pPr>
        <w:spacing w:line="360" w:lineRule="auto"/>
        <w:jc w:val="both"/>
        <w:rPr>
          <w:rFonts w:ascii="Times New Roman" w:hAnsi="Times New Roman" w:cs="Times New Roman"/>
          <w:b/>
          <w:sz w:val="24"/>
          <w:szCs w:val="24"/>
        </w:rPr>
      </w:pPr>
    </w:p>
    <w:p w14:paraId="367B072F" w14:textId="77777777" w:rsidR="00F272EB" w:rsidRDefault="00F272EB" w:rsidP="00F272EB">
      <w:pPr>
        <w:spacing w:line="360" w:lineRule="auto"/>
        <w:jc w:val="both"/>
        <w:rPr>
          <w:rFonts w:ascii="Times New Roman" w:hAnsi="Times New Roman" w:cs="Times New Roman"/>
          <w:sz w:val="24"/>
          <w:szCs w:val="24"/>
        </w:rPr>
      </w:pPr>
      <w:r>
        <w:rPr>
          <w:rFonts w:ascii="Times New Roman" w:hAnsi="Times New Roman" w:cs="Times New Roman"/>
          <w:b/>
          <w:noProof/>
          <w:sz w:val="24"/>
          <w:szCs w:val="24"/>
        </w:rPr>
        <w:t xml:space="preserve">Extended Data Figure 6 | Other trauma. </w:t>
      </w:r>
      <w:r>
        <w:rPr>
          <w:rFonts w:ascii="Times New Roman" w:hAnsi="Times New Roman" w:cs="Times New Roman"/>
          <w:b/>
          <w:bCs/>
          <w:sz w:val="24"/>
          <w:szCs w:val="24"/>
        </w:rPr>
        <w:t>a,</w:t>
      </w:r>
      <w:r>
        <w:rPr>
          <w:rFonts w:ascii="Times New Roman" w:hAnsi="Times New Roman" w:cs="Times New Roman"/>
          <w:sz w:val="24"/>
          <w:szCs w:val="24"/>
        </w:rPr>
        <w:t xml:space="preserve"> Osteolysis of the right proximal tibia (superior view). </w:t>
      </w:r>
      <w:r>
        <w:rPr>
          <w:rFonts w:ascii="Times New Roman" w:hAnsi="Times New Roman" w:cs="Times New Roman"/>
          <w:b/>
          <w:bCs/>
          <w:sz w:val="24"/>
          <w:szCs w:val="24"/>
        </w:rPr>
        <w:t>b,</w:t>
      </w:r>
      <w:r>
        <w:rPr>
          <w:rFonts w:ascii="Times New Roman" w:hAnsi="Times New Roman" w:cs="Times New Roman"/>
          <w:sz w:val="24"/>
          <w:szCs w:val="24"/>
        </w:rPr>
        <w:t xml:space="preserve"> Osteolysis of the right distal femur</w:t>
      </w:r>
      <w:r>
        <w:rPr>
          <w:rFonts w:ascii="Times New Roman" w:hAnsi="Times New Roman" w:cs="Times New Roman"/>
          <w:b/>
          <w:noProof/>
          <w:sz w:val="24"/>
          <w:szCs w:val="24"/>
        </w:rPr>
        <w:t xml:space="preserve"> </w:t>
      </w:r>
      <w:r>
        <w:rPr>
          <w:rFonts w:ascii="Times New Roman" w:hAnsi="Times New Roman" w:cs="Times New Roman"/>
          <w:sz w:val="24"/>
          <w:szCs w:val="24"/>
        </w:rPr>
        <w:t xml:space="preserve">(poster inferior view). </w:t>
      </w:r>
      <w:r>
        <w:rPr>
          <w:rFonts w:ascii="Times New Roman" w:hAnsi="Times New Roman" w:cs="Times New Roman"/>
          <w:b/>
          <w:bCs/>
          <w:sz w:val="24"/>
          <w:szCs w:val="24"/>
        </w:rPr>
        <w:t>c,</w:t>
      </w:r>
      <w:r>
        <w:rPr>
          <w:rFonts w:ascii="Times New Roman" w:hAnsi="Times New Roman" w:cs="Times New Roman"/>
          <w:sz w:val="24"/>
          <w:szCs w:val="24"/>
        </w:rPr>
        <w:t xml:space="preserve"> Healed fracture of the C2 right pars interarticularis (superior and inferior views). </w:t>
      </w:r>
      <w:r>
        <w:rPr>
          <w:rFonts w:ascii="Times New Roman" w:hAnsi="Times New Roman" w:cs="Times New Roman"/>
          <w:b/>
          <w:bCs/>
          <w:sz w:val="24"/>
          <w:szCs w:val="24"/>
        </w:rPr>
        <w:t>d,</w:t>
      </w:r>
      <w:r>
        <w:rPr>
          <w:rFonts w:ascii="Times New Roman" w:hAnsi="Times New Roman" w:cs="Times New Roman"/>
          <w:sz w:val="24"/>
          <w:szCs w:val="24"/>
        </w:rPr>
        <w:t xml:space="preserve"> DJD of the C3 (superior view)</w:t>
      </w:r>
      <w:r>
        <w:rPr>
          <w:rFonts w:ascii="Times New Roman" w:hAnsi="Times New Roman" w:cs="Times New Roman"/>
          <w:b/>
          <w:noProof/>
          <w:sz w:val="24"/>
          <w:szCs w:val="24"/>
        </w:rPr>
        <w:t xml:space="preserve"> </w:t>
      </w:r>
      <w:r>
        <w:rPr>
          <w:rFonts w:ascii="Times New Roman" w:hAnsi="Times New Roman" w:cs="Times New Roman"/>
          <w:sz w:val="24"/>
          <w:szCs w:val="24"/>
        </w:rPr>
        <w:t xml:space="preserve">and C4 (superior and inferior view) due to malalignment of C2 fracture. </w:t>
      </w:r>
      <w:r>
        <w:rPr>
          <w:rFonts w:ascii="Times New Roman" w:hAnsi="Times New Roman" w:cs="Times New Roman"/>
          <w:b/>
          <w:bCs/>
          <w:sz w:val="24"/>
          <w:szCs w:val="24"/>
        </w:rPr>
        <w:t>e,</w:t>
      </w:r>
      <w:r>
        <w:rPr>
          <w:rFonts w:ascii="Times New Roman" w:hAnsi="Times New Roman" w:cs="Times New Roman"/>
          <w:sz w:val="24"/>
          <w:szCs w:val="24"/>
        </w:rPr>
        <w:t xml:space="preserve"> Potential </w:t>
      </w:r>
      <w:proofErr w:type="gramStart"/>
      <w:r>
        <w:rPr>
          <w:rFonts w:ascii="Times New Roman" w:hAnsi="Times New Roman" w:cs="Times New Roman"/>
          <w:sz w:val="24"/>
          <w:szCs w:val="24"/>
        </w:rPr>
        <w:t>fracture</w:t>
      </w:r>
      <w:proofErr w:type="gramEnd"/>
      <w:r>
        <w:rPr>
          <w:rFonts w:ascii="Times New Roman" w:hAnsi="Times New Roman" w:cs="Times New Roman"/>
          <w:sz w:val="24"/>
          <w:szCs w:val="24"/>
        </w:rPr>
        <w:t xml:space="preserve"> or new bone deposit on the left 4</w:t>
      </w:r>
      <w:r>
        <w:rPr>
          <w:rFonts w:ascii="Times New Roman" w:hAnsi="Times New Roman" w:cs="Times New Roman"/>
          <w:sz w:val="24"/>
          <w:szCs w:val="24"/>
          <w:vertAlign w:val="superscript"/>
        </w:rPr>
        <w:t>th</w:t>
      </w:r>
      <w:r>
        <w:rPr>
          <w:rFonts w:ascii="Times New Roman" w:hAnsi="Times New Roman" w:cs="Times New Roman"/>
          <w:b/>
          <w:noProof/>
          <w:sz w:val="24"/>
          <w:szCs w:val="24"/>
        </w:rPr>
        <w:t xml:space="preserve"> </w:t>
      </w:r>
      <w:r>
        <w:rPr>
          <w:rFonts w:ascii="Times New Roman" w:hAnsi="Times New Roman" w:cs="Times New Roman"/>
          <w:sz w:val="24"/>
          <w:szCs w:val="24"/>
        </w:rPr>
        <w:t xml:space="preserve">interproximal digital phalanx (dorsal view). </w:t>
      </w:r>
      <w:r>
        <w:rPr>
          <w:rFonts w:ascii="Times New Roman" w:hAnsi="Times New Roman" w:cs="Times New Roman"/>
          <w:b/>
          <w:bCs/>
          <w:sz w:val="24"/>
          <w:szCs w:val="24"/>
        </w:rPr>
        <w:t>f,</w:t>
      </w:r>
      <w:r>
        <w:rPr>
          <w:rFonts w:ascii="Times New Roman" w:hAnsi="Times New Roman" w:cs="Times New Roman"/>
          <w:sz w:val="24"/>
          <w:szCs w:val="24"/>
        </w:rPr>
        <w:t xml:space="preserve"> Unilateral muscle activity of the clavicles (inferior view). The right clavicle is associated with a</w:t>
      </w:r>
      <w:r>
        <w:rPr>
          <w:rFonts w:ascii="Times New Roman" w:hAnsi="Times New Roman" w:cs="Times New Roman"/>
          <w:b/>
          <w:noProof/>
          <w:sz w:val="24"/>
          <w:szCs w:val="24"/>
        </w:rPr>
        <w:t xml:space="preserve"> </w:t>
      </w:r>
      <w:r>
        <w:rPr>
          <w:rFonts w:ascii="Times New Roman" w:hAnsi="Times New Roman" w:cs="Times New Roman"/>
          <w:sz w:val="24"/>
          <w:szCs w:val="24"/>
        </w:rPr>
        <w:t>deep costoclavicular sulcus indicating muscle strain associated with repetitive rotary motion of the right shoulder.</w:t>
      </w:r>
    </w:p>
    <w:p w14:paraId="28CF5BC2" w14:textId="2F085719" w:rsidR="00F272EB" w:rsidRDefault="00F272EB" w:rsidP="00F272EB">
      <w:pPr>
        <w:spacing w:line="360" w:lineRule="auto"/>
        <w:jc w:val="center"/>
        <w:rPr>
          <w:rFonts w:ascii="Times New Roman" w:hAnsi="Times New Roman" w:cs="Times New Roman"/>
          <w:b/>
          <w:noProof/>
          <w:sz w:val="24"/>
          <w:szCs w:val="24"/>
        </w:rPr>
      </w:pPr>
      <w:r>
        <w:rPr>
          <w:rFonts w:ascii="Times New Roman" w:hAnsi="Times New Roman" w:cs="Times New Roman"/>
          <w:b/>
          <w:noProof/>
          <w:sz w:val="24"/>
          <w:szCs w:val="24"/>
          <w:lang w:eastAsia="en-AU"/>
        </w:rPr>
        <w:drawing>
          <wp:inline distT="0" distB="0" distL="0" distR="0" wp14:anchorId="16638FD1" wp14:editId="3BFB340B">
            <wp:extent cx="2695575" cy="5448300"/>
            <wp:effectExtent l="0" t="0" r="9525" b="0"/>
            <wp:docPr id="2" name="Picture 2" descr="Tebo other patholog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Tebo other pathology"/>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695575" cy="5448300"/>
                    </a:xfrm>
                    <a:prstGeom prst="rect">
                      <a:avLst/>
                    </a:prstGeom>
                    <a:noFill/>
                    <a:ln>
                      <a:noFill/>
                    </a:ln>
                  </pic:spPr>
                </pic:pic>
              </a:graphicData>
            </a:graphic>
          </wp:inline>
        </w:drawing>
      </w:r>
    </w:p>
    <w:p w14:paraId="35FFF878" w14:textId="77777777" w:rsidR="00F272EB" w:rsidRDefault="00F272EB" w:rsidP="00F272EB">
      <w:pPr>
        <w:spacing w:after="0" w:line="360" w:lineRule="auto"/>
        <w:jc w:val="both"/>
        <w:rPr>
          <w:rFonts w:ascii="Times New Roman" w:hAnsi="Times New Roman" w:cs="Times New Roman"/>
          <w:b/>
          <w:sz w:val="24"/>
          <w:szCs w:val="24"/>
        </w:rPr>
      </w:pPr>
    </w:p>
    <w:p w14:paraId="37EBE903" w14:textId="77777777" w:rsidR="00F272EB" w:rsidRDefault="00F272EB" w:rsidP="00F272EB">
      <w:pPr>
        <w:spacing w:after="0" w:line="360" w:lineRule="auto"/>
        <w:jc w:val="both"/>
        <w:rPr>
          <w:rFonts w:ascii="Times New Roman" w:hAnsi="Times New Roman" w:cs="Times New Roman"/>
          <w:b/>
          <w:sz w:val="24"/>
          <w:szCs w:val="24"/>
        </w:rPr>
      </w:pPr>
    </w:p>
    <w:p w14:paraId="7056F4A0" w14:textId="77777777" w:rsidR="00F272EB" w:rsidRDefault="00F272EB" w:rsidP="00F272EB">
      <w:pPr>
        <w:spacing w:after="0" w:line="360" w:lineRule="auto"/>
        <w:jc w:val="both"/>
        <w:rPr>
          <w:rFonts w:ascii="Times New Roman" w:hAnsi="Times New Roman" w:cs="Times New Roman"/>
          <w:b/>
          <w:sz w:val="24"/>
          <w:szCs w:val="24"/>
        </w:rPr>
      </w:pPr>
    </w:p>
    <w:p w14:paraId="52F3847A" w14:textId="77777777" w:rsidR="00F272EB" w:rsidRDefault="00F272EB" w:rsidP="00F272EB">
      <w:pPr>
        <w:spacing w:after="0" w:line="360" w:lineRule="auto"/>
        <w:jc w:val="both"/>
        <w:rPr>
          <w:rFonts w:ascii="Times New Roman" w:hAnsi="Times New Roman" w:cs="Times New Roman"/>
          <w:sz w:val="24"/>
          <w:szCs w:val="24"/>
        </w:rPr>
      </w:pPr>
      <w:r>
        <w:rPr>
          <w:rFonts w:ascii="Times New Roman" w:hAnsi="Times New Roman" w:cs="Times New Roman"/>
          <w:b/>
          <w:sz w:val="24"/>
          <w:szCs w:val="24"/>
        </w:rPr>
        <w:t>Extended Data Figure 7 | Direct US-ESR dating of mandibular left third molar (M</w:t>
      </w:r>
      <w:r>
        <w:rPr>
          <w:rFonts w:ascii="Times New Roman" w:hAnsi="Times New Roman" w:cs="Times New Roman"/>
          <w:b/>
          <w:sz w:val="24"/>
          <w:szCs w:val="24"/>
          <w:vertAlign w:val="subscript"/>
        </w:rPr>
        <w:t>3</w:t>
      </w:r>
      <w:r>
        <w:rPr>
          <w:rFonts w:ascii="Times New Roman" w:hAnsi="Times New Roman" w:cs="Times New Roman"/>
          <w:b/>
          <w:sz w:val="24"/>
          <w:szCs w:val="24"/>
        </w:rPr>
        <w:t xml:space="preserve">). </w:t>
      </w:r>
      <w:proofErr w:type="gramStart"/>
      <w:r>
        <w:rPr>
          <w:rFonts w:ascii="Times New Roman" w:hAnsi="Times New Roman" w:cs="Times New Roman"/>
          <w:b/>
          <w:sz w:val="24"/>
          <w:szCs w:val="24"/>
        </w:rPr>
        <w:t>a,</w:t>
      </w:r>
      <w:proofErr w:type="gramEnd"/>
      <w:r>
        <w:rPr>
          <w:rFonts w:ascii="Times New Roman" w:hAnsi="Times New Roman" w:cs="Times New Roman"/>
          <w:b/>
          <w:sz w:val="24"/>
          <w:szCs w:val="24"/>
        </w:rPr>
        <w:t xml:space="preserve"> </w:t>
      </w:r>
      <w:r>
        <w:rPr>
          <w:rFonts w:ascii="Times New Roman" w:hAnsi="Times New Roman" w:cs="Times New Roman"/>
          <w:sz w:val="24"/>
          <w:szCs w:val="24"/>
        </w:rPr>
        <w:t xml:space="preserve">Tooth section and polished Uranium-series analyses (red rectangles indicate location of laser rasters). </w:t>
      </w:r>
      <w:r>
        <w:rPr>
          <w:rFonts w:ascii="Times New Roman" w:hAnsi="Times New Roman" w:cs="Times New Roman"/>
          <w:b/>
          <w:sz w:val="24"/>
          <w:szCs w:val="24"/>
        </w:rPr>
        <w:t>b,</w:t>
      </w:r>
      <w:r>
        <w:rPr>
          <w:rFonts w:ascii="Times New Roman" w:hAnsi="Times New Roman" w:cs="Times New Roman"/>
          <w:sz w:val="24"/>
          <w:szCs w:val="24"/>
        </w:rPr>
        <w:t xml:space="preserve"> Trace elemental map: distribution of uranium in the M</w:t>
      </w:r>
      <w:r>
        <w:rPr>
          <w:rFonts w:ascii="Times New Roman" w:hAnsi="Times New Roman" w:cs="Times New Roman"/>
          <w:sz w:val="24"/>
          <w:szCs w:val="24"/>
          <w:vertAlign w:val="subscript"/>
        </w:rPr>
        <w:t>3</w:t>
      </w:r>
      <w:r>
        <w:rPr>
          <w:rFonts w:ascii="Times New Roman" w:hAnsi="Times New Roman" w:cs="Times New Roman"/>
          <w:sz w:val="24"/>
          <w:szCs w:val="24"/>
        </w:rPr>
        <w:t xml:space="preserve"> dental tissues. </w:t>
      </w:r>
      <w:r>
        <w:rPr>
          <w:rFonts w:ascii="Times New Roman" w:hAnsi="Times New Roman" w:cs="Times New Roman"/>
          <w:b/>
          <w:bCs/>
          <w:sz w:val="24"/>
          <w:szCs w:val="24"/>
        </w:rPr>
        <w:t>c,</w:t>
      </w:r>
      <w:r>
        <w:rPr>
          <w:rFonts w:ascii="Times New Roman" w:hAnsi="Times New Roman" w:cs="Times New Roman"/>
          <w:sz w:val="24"/>
          <w:szCs w:val="24"/>
        </w:rPr>
        <w:t xml:space="preserve"> Dose response curve (DRC) obtained using </w:t>
      </w:r>
      <w:proofErr w:type="spellStart"/>
      <w:r>
        <w:rPr>
          <w:rFonts w:ascii="Times New Roman" w:hAnsi="Times New Roman" w:cs="Times New Roman"/>
          <w:sz w:val="24"/>
          <w:szCs w:val="24"/>
        </w:rPr>
        <w:t>McDoseE</w:t>
      </w:r>
      <w:proofErr w:type="spellEnd"/>
      <w:r>
        <w:rPr>
          <w:rFonts w:ascii="Times New Roman" w:hAnsi="Times New Roman" w:cs="Times New Roman"/>
          <w:sz w:val="24"/>
          <w:szCs w:val="24"/>
        </w:rPr>
        <w:t xml:space="preserve"> 2.0 program</w:t>
      </w:r>
      <w:r>
        <w:rPr>
          <w:rFonts w:ascii="Times New Roman" w:hAnsi="Times New Roman" w:cs="Times New Roman"/>
          <w:sz w:val="24"/>
          <w:szCs w:val="24"/>
          <w:vertAlign w:val="superscript"/>
        </w:rPr>
        <w:t>57</w:t>
      </w:r>
      <w:r>
        <w:rPr>
          <w:rFonts w:ascii="Times New Roman" w:hAnsi="Times New Roman" w:cs="Times New Roman"/>
          <w:sz w:val="24"/>
          <w:szCs w:val="24"/>
        </w:rPr>
        <w:t xml:space="preserve"> with an iteration of 100,000. </w:t>
      </w:r>
      <w:r>
        <w:rPr>
          <w:rFonts w:ascii="Times New Roman" w:hAnsi="Times New Roman" w:cs="Times New Roman"/>
          <w:b/>
          <w:sz w:val="24"/>
          <w:szCs w:val="24"/>
        </w:rPr>
        <w:t>d,</w:t>
      </w:r>
      <w:r>
        <w:rPr>
          <w:rFonts w:ascii="Times New Roman" w:hAnsi="Times New Roman" w:cs="Times New Roman"/>
          <w:sz w:val="24"/>
          <w:szCs w:val="24"/>
        </w:rPr>
        <w:t xml:space="preserve"> Dose equivalent D</w:t>
      </w:r>
      <w:r>
        <w:rPr>
          <w:rFonts w:ascii="Times New Roman" w:hAnsi="Times New Roman" w:cs="Times New Roman"/>
          <w:sz w:val="24"/>
          <w:szCs w:val="24"/>
          <w:vertAlign w:val="subscript"/>
        </w:rPr>
        <w:t xml:space="preserve">e </w:t>
      </w:r>
      <w:r>
        <w:rPr>
          <w:rFonts w:ascii="Times New Roman" w:hAnsi="Times New Roman" w:cs="Times New Roman"/>
          <w:sz w:val="24"/>
          <w:szCs w:val="24"/>
        </w:rPr>
        <w:t xml:space="preserve">frequency distribution; </w:t>
      </w:r>
      <w:r>
        <w:rPr>
          <w:rFonts w:ascii="Times New Roman" w:hAnsi="Times New Roman" w:cs="Times New Roman"/>
          <w:b/>
          <w:sz w:val="24"/>
          <w:szCs w:val="24"/>
        </w:rPr>
        <w:t>e,</w:t>
      </w:r>
      <w:r>
        <w:rPr>
          <w:rFonts w:ascii="Times New Roman" w:hAnsi="Times New Roman" w:cs="Times New Roman"/>
          <w:sz w:val="24"/>
          <w:szCs w:val="24"/>
        </w:rPr>
        <w:t xml:space="preserve"> Age distribution frequency for the third molar (M</w:t>
      </w:r>
      <w:r>
        <w:rPr>
          <w:rFonts w:ascii="Times New Roman" w:hAnsi="Times New Roman" w:cs="Times New Roman"/>
          <w:sz w:val="24"/>
          <w:szCs w:val="24"/>
          <w:vertAlign w:val="subscript"/>
        </w:rPr>
        <w:t>3</w:t>
      </w:r>
      <w:r>
        <w:rPr>
          <w:rFonts w:ascii="Times New Roman" w:hAnsi="Times New Roman" w:cs="Times New Roman"/>
          <w:sz w:val="24"/>
          <w:szCs w:val="24"/>
        </w:rPr>
        <w:t xml:space="preserve">). </w:t>
      </w:r>
      <w:r>
        <w:rPr>
          <w:rFonts w:ascii="Times New Roman" w:hAnsi="Times New Roman" w:cs="Times New Roman"/>
          <w:b/>
          <w:sz w:val="24"/>
          <w:szCs w:val="24"/>
        </w:rPr>
        <w:t>f,</w:t>
      </w:r>
      <w:r>
        <w:rPr>
          <w:rFonts w:ascii="Times New Roman" w:hAnsi="Times New Roman" w:cs="Times New Roman"/>
          <w:sz w:val="24"/>
          <w:szCs w:val="24"/>
        </w:rPr>
        <w:t xml:space="preserve"> Table summarising parameters and data used for modelling the age.</w:t>
      </w:r>
    </w:p>
    <w:p w14:paraId="632E1AF4" w14:textId="4C4B3BCC" w:rsidR="00F272EB" w:rsidRDefault="00F272EB" w:rsidP="00F272EB">
      <w:pPr>
        <w:spacing w:after="0" w:line="360" w:lineRule="auto"/>
        <w:jc w:val="center"/>
        <w:rPr>
          <w:rFonts w:ascii="Times New Roman" w:hAnsi="Times New Roman" w:cs="Times New Roman"/>
          <w:b/>
          <w:sz w:val="24"/>
          <w:szCs w:val="24"/>
        </w:rPr>
      </w:pPr>
      <w:r>
        <w:rPr>
          <w:rFonts w:ascii="Times New Roman" w:hAnsi="Times New Roman" w:cs="Times New Roman"/>
          <w:b/>
          <w:noProof/>
          <w:sz w:val="24"/>
          <w:szCs w:val="24"/>
          <w:lang w:eastAsia="en-AU"/>
        </w:rPr>
        <w:drawing>
          <wp:inline distT="0" distB="0" distL="0" distR="0" wp14:anchorId="04910B5D" wp14:editId="6D435CC7">
            <wp:extent cx="4972050" cy="2838450"/>
            <wp:effectExtent l="0" t="0" r="0" b="0"/>
            <wp:docPr id="1" name="Picture 1"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 histogram&#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l="2493" t="2071" r="3279" b="2071"/>
                    <a:stretch>
                      <a:fillRect/>
                    </a:stretch>
                  </pic:blipFill>
                  <pic:spPr bwMode="auto">
                    <a:xfrm>
                      <a:off x="0" y="0"/>
                      <a:ext cx="4972050" cy="2838450"/>
                    </a:xfrm>
                    <a:prstGeom prst="rect">
                      <a:avLst/>
                    </a:prstGeom>
                    <a:noFill/>
                    <a:ln>
                      <a:noFill/>
                    </a:ln>
                  </pic:spPr>
                </pic:pic>
              </a:graphicData>
            </a:graphic>
          </wp:inline>
        </w:drawing>
      </w:r>
    </w:p>
    <w:p w14:paraId="7ACCEC49" w14:textId="77777777" w:rsidR="00F272EB" w:rsidRDefault="00F272EB" w:rsidP="00F272EB">
      <w:pPr>
        <w:spacing w:after="0" w:line="360" w:lineRule="auto"/>
        <w:jc w:val="both"/>
        <w:rPr>
          <w:rFonts w:ascii="Times New Roman" w:hAnsi="Times New Roman" w:cs="Times New Roman"/>
          <w:b/>
          <w:sz w:val="24"/>
          <w:szCs w:val="24"/>
        </w:rPr>
      </w:pPr>
    </w:p>
    <w:p w14:paraId="2291B112" w14:textId="77777777" w:rsidR="00F272EB" w:rsidRDefault="00F272EB" w:rsidP="00F272EB">
      <w:pPr>
        <w:spacing w:after="0" w:line="360" w:lineRule="auto"/>
        <w:jc w:val="both"/>
        <w:rPr>
          <w:rFonts w:ascii="Times New Roman" w:hAnsi="Times New Roman" w:cs="Times New Roman"/>
          <w:b/>
          <w:sz w:val="24"/>
          <w:szCs w:val="24"/>
        </w:rPr>
      </w:pPr>
    </w:p>
    <w:p w14:paraId="4A42BF74" w14:textId="77777777" w:rsidR="00F272EB" w:rsidRDefault="00F272EB" w:rsidP="00F272EB">
      <w:pPr>
        <w:spacing w:after="0" w:line="360" w:lineRule="auto"/>
        <w:jc w:val="both"/>
        <w:rPr>
          <w:rFonts w:ascii="Times New Roman" w:hAnsi="Times New Roman" w:cs="Times New Roman"/>
          <w:b/>
          <w:sz w:val="24"/>
          <w:szCs w:val="24"/>
        </w:rPr>
      </w:pPr>
    </w:p>
    <w:p w14:paraId="7DB79CA7" w14:textId="77777777" w:rsidR="00F272EB" w:rsidRDefault="00F272EB" w:rsidP="00F272EB">
      <w:pPr>
        <w:spacing w:after="0" w:line="360" w:lineRule="auto"/>
        <w:jc w:val="both"/>
        <w:rPr>
          <w:rFonts w:ascii="Times New Roman" w:hAnsi="Times New Roman" w:cs="Times New Roman"/>
          <w:b/>
          <w:sz w:val="24"/>
          <w:szCs w:val="24"/>
        </w:rPr>
      </w:pPr>
    </w:p>
    <w:p w14:paraId="0801B8DE" w14:textId="77777777" w:rsidR="00F272EB" w:rsidRDefault="00F272EB" w:rsidP="00F272EB">
      <w:pPr>
        <w:spacing w:after="0" w:line="360" w:lineRule="auto"/>
        <w:jc w:val="both"/>
        <w:rPr>
          <w:rFonts w:ascii="Times New Roman" w:hAnsi="Times New Roman" w:cs="Times New Roman"/>
          <w:b/>
          <w:sz w:val="24"/>
          <w:szCs w:val="24"/>
        </w:rPr>
      </w:pPr>
    </w:p>
    <w:p w14:paraId="451DDC6A" w14:textId="77777777" w:rsidR="00F272EB" w:rsidRDefault="00F272EB" w:rsidP="00F272EB">
      <w:pPr>
        <w:spacing w:after="0" w:line="360" w:lineRule="auto"/>
        <w:jc w:val="both"/>
        <w:rPr>
          <w:rFonts w:ascii="Times New Roman" w:hAnsi="Times New Roman" w:cs="Times New Roman"/>
          <w:b/>
          <w:sz w:val="24"/>
          <w:szCs w:val="24"/>
        </w:rPr>
      </w:pPr>
    </w:p>
    <w:p w14:paraId="259D9817" w14:textId="77777777" w:rsidR="00F272EB" w:rsidRDefault="00F272EB" w:rsidP="00F272EB">
      <w:pPr>
        <w:spacing w:after="0" w:line="360" w:lineRule="auto"/>
        <w:jc w:val="both"/>
        <w:rPr>
          <w:rFonts w:ascii="Times New Roman" w:hAnsi="Times New Roman" w:cs="Times New Roman"/>
          <w:b/>
          <w:sz w:val="24"/>
          <w:szCs w:val="24"/>
        </w:rPr>
      </w:pPr>
    </w:p>
    <w:p w14:paraId="29E06C12" w14:textId="77777777" w:rsidR="00F272EB" w:rsidRDefault="00F272EB" w:rsidP="00F272EB">
      <w:pPr>
        <w:spacing w:after="0" w:line="360" w:lineRule="auto"/>
        <w:jc w:val="both"/>
        <w:rPr>
          <w:rFonts w:ascii="Times New Roman" w:hAnsi="Times New Roman" w:cs="Times New Roman"/>
          <w:b/>
          <w:sz w:val="24"/>
          <w:szCs w:val="24"/>
        </w:rPr>
      </w:pPr>
    </w:p>
    <w:p w14:paraId="219EAD7B" w14:textId="77777777" w:rsidR="00F272EB" w:rsidRDefault="00F272EB" w:rsidP="00F272EB">
      <w:pPr>
        <w:spacing w:after="0" w:line="360" w:lineRule="auto"/>
        <w:jc w:val="both"/>
        <w:rPr>
          <w:rFonts w:ascii="Times New Roman" w:hAnsi="Times New Roman" w:cs="Times New Roman"/>
          <w:b/>
          <w:sz w:val="24"/>
          <w:szCs w:val="24"/>
        </w:rPr>
      </w:pPr>
    </w:p>
    <w:p w14:paraId="5F721156" w14:textId="77777777" w:rsidR="00F272EB" w:rsidRDefault="00F272EB" w:rsidP="00F272EB">
      <w:pPr>
        <w:spacing w:after="0" w:line="360" w:lineRule="auto"/>
        <w:jc w:val="both"/>
        <w:rPr>
          <w:rFonts w:ascii="Times New Roman" w:hAnsi="Times New Roman" w:cs="Times New Roman"/>
          <w:b/>
          <w:sz w:val="24"/>
          <w:szCs w:val="24"/>
        </w:rPr>
      </w:pPr>
    </w:p>
    <w:p w14:paraId="360FFF49" w14:textId="77777777" w:rsidR="00F272EB" w:rsidRDefault="00F272EB" w:rsidP="00F272EB">
      <w:pPr>
        <w:spacing w:after="0" w:line="360" w:lineRule="auto"/>
        <w:jc w:val="both"/>
        <w:rPr>
          <w:rFonts w:ascii="Times New Roman" w:hAnsi="Times New Roman" w:cs="Times New Roman"/>
          <w:b/>
          <w:sz w:val="24"/>
          <w:szCs w:val="24"/>
        </w:rPr>
      </w:pPr>
    </w:p>
    <w:p w14:paraId="1EC174B4" w14:textId="77777777" w:rsidR="00F272EB" w:rsidRDefault="00F272EB" w:rsidP="00F272EB">
      <w:pPr>
        <w:spacing w:after="0" w:line="360" w:lineRule="auto"/>
        <w:jc w:val="both"/>
        <w:rPr>
          <w:rFonts w:ascii="Times New Roman" w:hAnsi="Times New Roman" w:cs="Times New Roman"/>
          <w:b/>
          <w:sz w:val="24"/>
          <w:szCs w:val="24"/>
        </w:rPr>
      </w:pPr>
    </w:p>
    <w:p w14:paraId="7EA6E76B" w14:textId="77777777" w:rsidR="00F272EB" w:rsidRDefault="00F272EB" w:rsidP="00F272EB">
      <w:pPr>
        <w:spacing w:after="0" w:line="360" w:lineRule="auto"/>
        <w:jc w:val="both"/>
        <w:rPr>
          <w:rFonts w:ascii="Times New Roman" w:hAnsi="Times New Roman" w:cs="Times New Roman"/>
          <w:b/>
          <w:sz w:val="24"/>
          <w:szCs w:val="24"/>
        </w:rPr>
      </w:pPr>
    </w:p>
    <w:p w14:paraId="6408DF64" w14:textId="77777777" w:rsidR="00F272EB" w:rsidRDefault="00F272EB" w:rsidP="00F272EB">
      <w:pPr>
        <w:spacing w:after="0" w:line="360" w:lineRule="auto"/>
        <w:jc w:val="both"/>
        <w:rPr>
          <w:rFonts w:ascii="Times New Roman" w:hAnsi="Times New Roman" w:cs="Times New Roman"/>
          <w:b/>
          <w:sz w:val="24"/>
          <w:szCs w:val="24"/>
        </w:rPr>
      </w:pPr>
    </w:p>
    <w:p w14:paraId="436EF258" w14:textId="77777777" w:rsidR="00F272EB" w:rsidRDefault="00F272EB" w:rsidP="00F272EB">
      <w:pPr>
        <w:spacing w:after="0" w:line="360" w:lineRule="auto"/>
        <w:jc w:val="both"/>
        <w:rPr>
          <w:rFonts w:ascii="Times New Roman" w:hAnsi="Times New Roman" w:cs="Times New Roman"/>
          <w:b/>
          <w:sz w:val="24"/>
          <w:szCs w:val="24"/>
        </w:rPr>
      </w:pPr>
    </w:p>
    <w:p w14:paraId="1253ECD8" w14:textId="77777777" w:rsidR="00F272EB" w:rsidRDefault="00F272EB" w:rsidP="00F272EB">
      <w:pPr>
        <w:spacing w:after="0" w:line="360" w:lineRule="auto"/>
        <w:jc w:val="both"/>
        <w:rPr>
          <w:rFonts w:ascii="Times New Roman" w:hAnsi="Times New Roman" w:cs="Times New Roman"/>
          <w:sz w:val="24"/>
          <w:szCs w:val="24"/>
        </w:rPr>
      </w:pPr>
      <w:r>
        <w:rPr>
          <w:rFonts w:ascii="Times New Roman" w:hAnsi="Times New Roman" w:cs="Times New Roman"/>
          <w:b/>
          <w:sz w:val="24"/>
          <w:szCs w:val="24"/>
        </w:rPr>
        <w:t>Extended Data Table 1. Stature estimates from maximum femur lengths of Pre-Neolithic and Neolithic males in East and Southeast Asia.</w:t>
      </w:r>
      <w:r>
        <w:rPr>
          <w:rFonts w:ascii="Times New Roman" w:hAnsi="Times New Roman" w:cs="Times New Roman"/>
          <w:sz w:val="24"/>
          <w:szCs w:val="24"/>
        </w:rPr>
        <w:t xml:space="preserve"> The TB1 individual was estimated to be between approximately 168.9 cm to 175.8 cm tall (χ =172.3 cm), and 162.9 to 170.5 cm (χ = 166.7 cm) with US Black and US Asian standards respectively. In comparison to the stature of other prehistoric individuals with </w:t>
      </w:r>
      <w:proofErr w:type="spellStart"/>
      <w:r>
        <w:rPr>
          <w:rFonts w:ascii="Times New Roman" w:hAnsi="Times New Roman" w:cs="Times New Roman"/>
          <w:sz w:val="24"/>
          <w:szCs w:val="24"/>
        </w:rPr>
        <w:t>Australo</w:t>
      </w:r>
      <w:proofErr w:type="spellEnd"/>
      <w:r>
        <w:rPr>
          <w:rFonts w:ascii="Times New Roman" w:hAnsi="Times New Roman" w:cs="Times New Roman"/>
          <w:sz w:val="24"/>
          <w:szCs w:val="24"/>
        </w:rPr>
        <w:t xml:space="preserve">-Melanesian ancestry, the </w:t>
      </w:r>
      <w:proofErr w:type="spellStart"/>
      <w:r>
        <w:rPr>
          <w:rFonts w:ascii="Times New Roman" w:hAnsi="Times New Roman" w:cs="Times New Roman"/>
          <w:sz w:val="24"/>
          <w:szCs w:val="24"/>
        </w:rPr>
        <w:t>Tebo</w:t>
      </w:r>
      <w:proofErr w:type="spellEnd"/>
      <w:r>
        <w:rPr>
          <w:rFonts w:ascii="Times New Roman" w:hAnsi="Times New Roman" w:cs="Times New Roman"/>
          <w:sz w:val="24"/>
          <w:szCs w:val="24"/>
        </w:rPr>
        <w:t xml:space="preserve"> individual is a typical stature for males and more than 1 SD taller than the mean for females.</w:t>
      </w:r>
    </w:p>
    <w:tbl>
      <w:tblPr>
        <w:tblStyle w:val="TableGrid"/>
        <w:tblpPr w:leftFromText="180" w:rightFromText="180" w:vertAnchor="text" w:horzAnchor="margin" w:tblpY="107"/>
        <w:tblW w:w="8004" w:type="dxa"/>
        <w:tblInd w:w="0" w:type="dxa"/>
        <w:tblLook w:val="04A0" w:firstRow="1" w:lastRow="0" w:firstColumn="1" w:lastColumn="0" w:noHBand="0" w:noVBand="1"/>
      </w:tblPr>
      <w:tblGrid>
        <w:gridCol w:w="1656"/>
        <w:gridCol w:w="1530"/>
        <w:gridCol w:w="916"/>
        <w:gridCol w:w="1916"/>
        <w:gridCol w:w="643"/>
        <w:gridCol w:w="1343"/>
      </w:tblGrid>
      <w:tr w:rsidR="00F272EB" w14:paraId="0CDE3C8B" w14:textId="77777777" w:rsidTr="00F272EB">
        <w:tc>
          <w:tcPr>
            <w:tcW w:w="1656" w:type="dxa"/>
            <w:tcBorders>
              <w:top w:val="single" w:sz="4" w:space="0" w:color="auto"/>
              <w:left w:val="single" w:sz="4" w:space="0" w:color="auto"/>
              <w:bottom w:val="single" w:sz="4" w:space="0" w:color="auto"/>
              <w:right w:val="single" w:sz="4" w:space="0" w:color="auto"/>
            </w:tcBorders>
            <w:hideMark/>
          </w:tcPr>
          <w:p w14:paraId="38B1C9E6"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Site</w:t>
            </w:r>
          </w:p>
        </w:tc>
        <w:tc>
          <w:tcPr>
            <w:tcW w:w="1530" w:type="dxa"/>
            <w:tcBorders>
              <w:top w:val="single" w:sz="4" w:space="0" w:color="auto"/>
              <w:left w:val="single" w:sz="4" w:space="0" w:color="auto"/>
              <w:bottom w:val="single" w:sz="4" w:space="0" w:color="auto"/>
              <w:right w:val="single" w:sz="4" w:space="0" w:color="auto"/>
            </w:tcBorders>
            <w:hideMark/>
          </w:tcPr>
          <w:p w14:paraId="179B5593"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Location</w:t>
            </w:r>
          </w:p>
        </w:tc>
        <w:tc>
          <w:tcPr>
            <w:tcW w:w="916" w:type="dxa"/>
            <w:tcBorders>
              <w:top w:val="single" w:sz="4" w:space="0" w:color="auto"/>
              <w:left w:val="single" w:sz="4" w:space="0" w:color="auto"/>
              <w:bottom w:val="single" w:sz="4" w:space="0" w:color="auto"/>
              <w:right w:val="single" w:sz="4" w:space="0" w:color="auto"/>
            </w:tcBorders>
            <w:hideMark/>
          </w:tcPr>
          <w:p w14:paraId="3D2E93C9"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Age k</w:t>
            </w:r>
          </w:p>
        </w:tc>
        <w:tc>
          <w:tcPr>
            <w:tcW w:w="1916" w:type="dxa"/>
            <w:tcBorders>
              <w:top w:val="single" w:sz="4" w:space="0" w:color="auto"/>
              <w:left w:val="single" w:sz="4" w:space="0" w:color="auto"/>
              <w:bottom w:val="single" w:sz="4" w:space="0" w:color="auto"/>
              <w:right w:val="single" w:sz="4" w:space="0" w:color="auto"/>
            </w:tcBorders>
            <w:hideMark/>
          </w:tcPr>
          <w:p w14:paraId="3EE86661"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χ cm.</w:t>
            </w:r>
          </w:p>
        </w:tc>
        <w:tc>
          <w:tcPr>
            <w:tcW w:w="643" w:type="dxa"/>
            <w:tcBorders>
              <w:top w:val="single" w:sz="4" w:space="0" w:color="auto"/>
              <w:left w:val="single" w:sz="4" w:space="0" w:color="auto"/>
              <w:bottom w:val="single" w:sz="4" w:space="0" w:color="auto"/>
              <w:right w:val="single" w:sz="4" w:space="0" w:color="auto"/>
            </w:tcBorders>
            <w:hideMark/>
          </w:tcPr>
          <w:p w14:paraId="74AC6157"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SD</w:t>
            </w:r>
          </w:p>
        </w:tc>
        <w:tc>
          <w:tcPr>
            <w:tcW w:w="1343" w:type="dxa"/>
            <w:tcBorders>
              <w:top w:val="single" w:sz="4" w:space="0" w:color="auto"/>
              <w:left w:val="single" w:sz="4" w:space="0" w:color="auto"/>
              <w:bottom w:val="single" w:sz="4" w:space="0" w:color="auto"/>
              <w:right w:val="single" w:sz="4" w:space="0" w:color="auto"/>
            </w:tcBorders>
            <w:hideMark/>
          </w:tcPr>
          <w:p w14:paraId="141F3919"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Reference</w:t>
            </w:r>
          </w:p>
        </w:tc>
      </w:tr>
      <w:tr w:rsidR="00F272EB" w14:paraId="3E03AF9B" w14:textId="77777777" w:rsidTr="00F272EB">
        <w:trPr>
          <w:trHeight w:val="180"/>
        </w:trPr>
        <w:tc>
          <w:tcPr>
            <w:tcW w:w="1656" w:type="dxa"/>
            <w:tcBorders>
              <w:top w:val="single" w:sz="4" w:space="0" w:color="auto"/>
              <w:left w:val="single" w:sz="4" w:space="0" w:color="auto"/>
              <w:bottom w:val="single" w:sz="4" w:space="0" w:color="auto"/>
              <w:right w:val="single" w:sz="4" w:space="0" w:color="auto"/>
            </w:tcBorders>
            <w:hideMark/>
          </w:tcPr>
          <w:p w14:paraId="44C54669" w14:textId="77777777" w:rsidR="00F272EB" w:rsidRDefault="00F272EB">
            <w:pPr>
              <w:spacing w:line="240" w:lineRule="auto"/>
              <w:jc w:val="both"/>
              <w:rPr>
                <w:rFonts w:ascii="Times New Roman" w:hAnsi="Times New Roman" w:cs="Times New Roman"/>
                <w:sz w:val="20"/>
                <w:szCs w:val="20"/>
              </w:rPr>
            </w:pPr>
            <w:proofErr w:type="spellStart"/>
            <w:r>
              <w:rPr>
                <w:rFonts w:ascii="Times New Roman" w:hAnsi="Times New Roman" w:cs="Times New Roman"/>
                <w:sz w:val="20"/>
                <w:szCs w:val="20"/>
              </w:rPr>
              <w:t>Tebo</w:t>
            </w:r>
            <w:proofErr w:type="spellEnd"/>
          </w:p>
        </w:tc>
        <w:tc>
          <w:tcPr>
            <w:tcW w:w="1530" w:type="dxa"/>
            <w:tcBorders>
              <w:top w:val="single" w:sz="4" w:space="0" w:color="auto"/>
              <w:left w:val="single" w:sz="4" w:space="0" w:color="auto"/>
              <w:bottom w:val="single" w:sz="4" w:space="0" w:color="auto"/>
              <w:right w:val="single" w:sz="4" w:space="0" w:color="auto"/>
            </w:tcBorders>
            <w:hideMark/>
          </w:tcPr>
          <w:p w14:paraId="5F2B0089"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Indonesia</w:t>
            </w:r>
          </w:p>
        </w:tc>
        <w:tc>
          <w:tcPr>
            <w:tcW w:w="916" w:type="dxa"/>
            <w:tcBorders>
              <w:top w:val="single" w:sz="4" w:space="0" w:color="auto"/>
              <w:left w:val="single" w:sz="4" w:space="0" w:color="auto"/>
              <w:bottom w:val="single" w:sz="4" w:space="0" w:color="auto"/>
              <w:right w:val="single" w:sz="4" w:space="0" w:color="auto"/>
            </w:tcBorders>
            <w:hideMark/>
          </w:tcPr>
          <w:p w14:paraId="0FC0722C"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31</w:t>
            </w:r>
          </w:p>
        </w:tc>
        <w:tc>
          <w:tcPr>
            <w:tcW w:w="1916" w:type="dxa"/>
            <w:tcBorders>
              <w:top w:val="single" w:sz="4" w:space="0" w:color="auto"/>
              <w:left w:val="single" w:sz="4" w:space="0" w:color="auto"/>
              <w:bottom w:val="single" w:sz="4" w:space="0" w:color="auto"/>
              <w:right w:val="single" w:sz="4" w:space="0" w:color="auto"/>
            </w:tcBorders>
            <w:hideMark/>
          </w:tcPr>
          <w:p w14:paraId="64E8B2C3"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166.7</w:t>
            </w:r>
          </w:p>
        </w:tc>
        <w:tc>
          <w:tcPr>
            <w:tcW w:w="643" w:type="dxa"/>
            <w:tcBorders>
              <w:top w:val="single" w:sz="4" w:space="0" w:color="auto"/>
              <w:left w:val="single" w:sz="4" w:space="0" w:color="auto"/>
              <w:bottom w:val="single" w:sz="4" w:space="0" w:color="auto"/>
              <w:right w:val="single" w:sz="4" w:space="0" w:color="auto"/>
            </w:tcBorders>
            <w:hideMark/>
          </w:tcPr>
          <w:p w14:paraId="4E1EC632"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3.8</w:t>
            </w:r>
          </w:p>
        </w:tc>
        <w:tc>
          <w:tcPr>
            <w:tcW w:w="1343" w:type="dxa"/>
            <w:tcBorders>
              <w:top w:val="single" w:sz="4" w:space="0" w:color="auto"/>
              <w:left w:val="single" w:sz="4" w:space="0" w:color="auto"/>
              <w:bottom w:val="single" w:sz="4" w:space="0" w:color="auto"/>
              <w:right w:val="single" w:sz="4" w:space="0" w:color="auto"/>
            </w:tcBorders>
            <w:hideMark/>
          </w:tcPr>
          <w:p w14:paraId="0DA64076"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This study</w:t>
            </w:r>
          </w:p>
        </w:tc>
      </w:tr>
      <w:tr w:rsidR="00F272EB" w14:paraId="392C3604" w14:textId="77777777" w:rsidTr="00F272EB">
        <w:tc>
          <w:tcPr>
            <w:tcW w:w="1656" w:type="dxa"/>
            <w:tcBorders>
              <w:top w:val="single" w:sz="4" w:space="0" w:color="auto"/>
              <w:left w:val="single" w:sz="4" w:space="0" w:color="auto"/>
              <w:bottom w:val="single" w:sz="4" w:space="0" w:color="auto"/>
              <w:right w:val="single" w:sz="4" w:space="0" w:color="auto"/>
            </w:tcBorders>
            <w:hideMark/>
          </w:tcPr>
          <w:p w14:paraId="2E74A4C0"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Tam Hang</w:t>
            </w:r>
          </w:p>
        </w:tc>
        <w:tc>
          <w:tcPr>
            <w:tcW w:w="1530" w:type="dxa"/>
            <w:tcBorders>
              <w:top w:val="single" w:sz="4" w:space="0" w:color="auto"/>
              <w:left w:val="single" w:sz="4" w:space="0" w:color="auto"/>
              <w:bottom w:val="single" w:sz="4" w:space="0" w:color="auto"/>
              <w:right w:val="single" w:sz="4" w:space="0" w:color="auto"/>
            </w:tcBorders>
            <w:hideMark/>
          </w:tcPr>
          <w:p w14:paraId="4BE1329D"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Laos</w:t>
            </w:r>
          </w:p>
        </w:tc>
        <w:tc>
          <w:tcPr>
            <w:tcW w:w="916" w:type="dxa"/>
            <w:tcBorders>
              <w:top w:val="single" w:sz="4" w:space="0" w:color="auto"/>
              <w:left w:val="single" w:sz="4" w:space="0" w:color="auto"/>
              <w:bottom w:val="single" w:sz="4" w:space="0" w:color="auto"/>
              <w:right w:val="single" w:sz="4" w:space="0" w:color="auto"/>
            </w:tcBorders>
            <w:hideMark/>
          </w:tcPr>
          <w:p w14:paraId="195F9B36"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15.7</w:t>
            </w:r>
          </w:p>
        </w:tc>
        <w:tc>
          <w:tcPr>
            <w:tcW w:w="1916" w:type="dxa"/>
            <w:tcBorders>
              <w:top w:val="single" w:sz="4" w:space="0" w:color="auto"/>
              <w:left w:val="single" w:sz="4" w:space="0" w:color="auto"/>
              <w:bottom w:val="single" w:sz="4" w:space="0" w:color="auto"/>
              <w:right w:val="single" w:sz="4" w:space="0" w:color="auto"/>
            </w:tcBorders>
            <w:hideMark/>
          </w:tcPr>
          <w:p w14:paraId="03D228DC"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166.24 *</w:t>
            </w:r>
          </w:p>
        </w:tc>
        <w:tc>
          <w:tcPr>
            <w:tcW w:w="643" w:type="dxa"/>
            <w:tcBorders>
              <w:top w:val="single" w:sz="4" w:space="0" w:color="auto"/>
              <w:left w:val="single" w:sz="4" w:space="0" w:color="auto"/>
              <w:bottom w:val="single" w:sz="4" w:space="0" w:color="auto"/>
              <w:right w:val="single" w:sz="4" w:space="0" w:color="auto"/>
            </w:tcBorders>
            <w:hideMark/>
          </w:tcPr>
          <w:p w14:paraId="307622EA"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3.8</w:t>
            </w:r>
          </w:p>
        </w:tc>
        <w:tc>
          <w:tcPr>
            <w:tcW w:w="1343" w:type="dxa"/>
            <w:tcBorders>
              <w:top w:val="single" w:sz="4" w:space="0" w:color="auto"/>
              <w:left w:val="single" w:sz="4" w:space="0" w:color="auto"/>
              <w:bottom w:val="single" w:sz="4" w:space="0" w:color="auto"/>
              <w:right w:val="single" w:sz="4" w:space="0" w:color="auto"/>
            </w:tcBorders>
            <w:hideMark/>
          </w:tcPr>
          <w:p w14:paraId="3F263E2E"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58</w:t>
            </w:r>
          </w:p>
        </w:tc>
      </w:tr>
      <w:tr w:rsidR="00F272EB" w14:paraId="33F91C43" w14:textId="77777777" w:rsidTr="00F272EB">
        <w:tc>
          <w:tcPr>
            <w:tcW w:w="1656" w:type="dxa"/>
            <w:tcBorders>
              <w:top w:val="single" w:sz="4" w:space="0" w:color="auto"/>
              <w:left w:val="single" w:sz="4" w:space="0" w:color="auto"/>
              <w:bottom w:val="single" w:sz="4" w:space="0" w:color="auto"/>
              <w:right w:val="single" w:sz="4" w:space="0" w:color="auto"/>
            </w:tcBorders>
            <w:hideMark/>
          </w:tcPr>
          <w:p w14:paraId="7020FFFB" w14:textId="77777777" w:rsidR="00F272EB" w:rsidRDefault="00F272EB">
            <w:pPr>
              <w:spacing w:line="240" w:lineRule="auto"/>
              <w:jc w:val="both"/>
              <w:rPr>
                <w:rFonts w:ascii="Times New Roman" w:hAnsi="Times New Roman" w:cs="Times New Roman"/>
                <w:sz w:val="20"/>
                <w:szCs w:val="20"/>
              </w:rPr>
            </w:pPr>
            <w:proofErr w:type="spellStart"/>
            <w:r>
              <w:rPr>
                <w:rFonts w:ascii="Times New Roman" w:hAnsi="Times New Roman" w:cs="Times New Roman"/>
                <w:sz w:val="20"/>
                <w:szCs w:val="20"/>
              </w:rPr>
              <w:t>Huiyaotian</w:t>
            </w:r>
            <w:proofErr w:type="spellEnd"/>
          </w:p>
        </w:tc>
        <w:tc>
          <w:tcPr>
            <w:tcW w:w="1530" w:type="dxa"/>
            <w:tcBorders>
              <w:top w:val="single" w:sz="4" w:space="0" w:color="auto"/>
              <w:left w:val="single" w:sz="4" w:space="0" w:color="auto"/>
              <w:bottom w:val="single" w:sz="4" w:space="0" w:color="auto"/>
              <w:right w:val="single" w:sz="4" w:space="0" w:color="auto"/>
            </w:tcBorders>
            <w:hideMark/>
          </w:tcPr>
          <w:p w14:paraId="3D0939CB"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South China</w:t>
            </w:r>
          </w:p>
        </w:tc>
        <w:tc>
          <w:tcPr>
            <w:tcW w:w="916" w:type="dxa"/>
            <w:tcBorders>
              <w:top w:val="single" w:sz="4" w:space="0" w:color="auto"/>
              <w:left w:val="single" w:sz="4" w:space="0" w:color="auto"/>
              <w:bottom w:val="single" w:sz="4" w:space="0" w:color="auto"/>
              <w:right w:val="single" w:sz="4" w:space="0" w:color="auto"/>
            </w:tcBorders>
            <w:hideMark/>
          </w:tcPr>
          <w:p w14:paraId="25FAF318"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9-7</w:t>
            </w:r>
          </w:p>
        </w:tc>
        <w:tc>
          <w:tcPr>
            <w:tcW w:w="1916" w:type="dxa"/>
            <w:tcBorders>
              <w:top w:val="single" w:sz="4" w:space="0" w:color="auto"/>
              <w:left w:val="single" w:sz="4" w:space="0" w:color="auto"/>
              <w:bottom w:val="single" w:sz="4" w:space="0" w:color="auto"/>
              <w:right w:val="single" w:sz="4" w:space="0" w:color="auto"/>
            </w:tcBorders>
            <w:hideMark/>
          </w:tcPr>
          <w:p w14:paraId="274CAB19"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167.6</w:t>
            </w:r>
          </w:p>
        </w:tc>
        <w:tc>
          <w:tcPr>
            <w:tcW w:w="643" w:type="dxa"/>
            <w:tcBorders>
              <w:top w:val="single" w:sz="4" w:space="0" w:color="auto"/>
              <w:left w:val="single" w:sz="4" w:space="0" w:color="auto"/>
              <w:bottom w:val="single" w:sz="4" w:space="0" w:color="auto"/>
              <w:right w:val="single" w:sz="4" w:space="0" w:color="auto"/>
            </w:tcBorders>
            <w:hideMark/>
          </w:tcPr>
          <w:p w14:paraId="434CAD95"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2.3</w:t>
            </w:r>
          </w:p>
        </w:tc>
        <w:tc>
          <w:tcPr>
            <w:tcW w:w="1343" w:type="dxa"/>
            <w:tcBorders>
              <w:top w:val="single" w:sz="4" w:space="0" w:color="auto"/>
              <w:left w:val="single" w:sz="4" w:space="0" w:color="auto"/>
              <w:bottom w:val="single" w:sz="4" w:space="0" w:color="auto"/>
              <w:right w:val="single" w:sz="4" w:space="0" w:color="auto"/>
            </w:tcBorders>
            <w:hideMark/>
          </w:tcPr>
          <w:p w14:paraId="6FABFC40"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59</w:t>
            </w:r>
          </w:p>
        </w:tc>
      </w:tr>
      <w:tr w:rsidR="00F272EB" w14:paraId="3312C866" w14:textId="77777777" w:rsidTr="00F272EB">
        <w:tc>
          <w:tcPr>
            <w:tcW w:w="1656" w:type="dxa"/>
            <w:tcBorders>
              <w:top w:val="single" w:sz="4" w:space="0" w:color="auto"/>
              <w:left w:val="single" w:sz="4" w:space="0" w:color="auto"/>
              <w:bottom w:val="single" w:sz="4" w:space="0" w:color="auto"/>
              <w:right w:val="single" w:sz="4" w:space="0" w:color="auto"/>
            </w:tcBorders>
            <w:hideMark/>
          </w:tcPr>
          <w:p w14:paraId="76BDF74D" w14:textId="77777777" w:rsidR="00F272EB" w:rsidRDefault="00F272EB">
            <w:pPr>
              <w:spacing w:line="240" w:lineRule="auto"/>
              <w:jc w:val="both"/>
              <w:rPr>
                <w:rFonts w:ascii="Times New Roman" w:hAnsi="Times New Roman" w:cs="Times New Roman"/>
                <w:sz w:val="20"/>
                <w:szCs w:val="20"/>
              </w:rPr>
            </w:pPr>
            <w:proofErr w:type="spellStart"/>
            <w:r>
              <w:rPr>
                <w:rFonts w:ascii="Times New Roman" w:hAnsi="Times New Roman" w:cs="Times New Roman"/>
                <w:sz w:val="20"/>
                <w:szCs w:val="20"/>
              </w:rPr>
              <w:t>Liyupo</w:t>
            </w:r>
            <w:proofErr w:type="spellEnd"/>
          </w:p>
        </w:tc>
        <w:tc>
          <w:tcPr>
            <w:tcW w:w="1530" w:type="dxa"/>
            <w:tcBorders>
              <w:top w:val="single" w:sz="4" w:space="0" w:color="auto"/>
              <w:left w:val="single" w:sz="4" w:space="0" w:color="auto"/>
              <w:bottom w:val="single" w:sz="4" w:space="0" w:color="auto"/>
              <w:right w:val="single" w:sz="4" w:space="0" w:color="auto"/>
            </w:tcBorders>
            <w:hideMark/>
          </w:tcPr>
          <w:p w14:paraId="70C53151"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South China</w:t>
            </w:r>
          </w:p>
        </w:tc>
        <w:tc>
          <w:tcPr>
            <w:tcW w:w="916" w:type="dxa"/>
            <w:tcBorders>
              <w:top w:val="single" w:sz="4" w:space="0" w:color="auto"/>
              <w:left w:val="single" w:sz="4" w:space="0" w:color="auto"/>
              <w:bottom w:val="single" w:sz="4" w:space="0" w:color="auto"/>
              <w:right w:val="single" w:sz="4" w:space="0" w:color="auto"/>
            </w:tcBorders>
            <w:hideMark/>
          </w:tcPr>
          <w:p w14:paraId="5801E371"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9-7</w:t>
            </w:r>
          </w:p>
        </w:tc>
        <w:tc>
          <w:tcPr>
            <w:tcW w:w="1916" w:type="dxa"/>
            <w:tcBorders>
              <w:top w:val="single" w:sz="4" w:space="0" w:color="auto"/>
              <w:left w:val="single" w:sz="4" w:space="0" w:color="auto"/>
              <w:bottom w:val="single" w:sz="4" w:space="0" w:color="auto"/>
              <w:right w:val="single" w:sz="4" w:space="0" w:color="auto"/>
            </w:tcBorders>
            <w:hideMark/>
          </w:tcPr>
          <w:p w14:paraId="5B7F38FF"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163.3</w:t>
            </w:r>
          </w:p>
        </w:tc>
        <w:tc>
          <w:tcPr>
            <w:tcW w:w="643" w:type="dxa"/>
            <w:tcBorders>
              <w:top w:val="single" w:sz="4" w:space="0" w:color="auto"/>
              <w:left w:val="single" w:sz="4" w:space="0" w:color="auto"/>
              <w:bottom w:val="single" w:sz="4" w:space="0" w:color="auto"/>
              <w:right w:val="single" w:sz="4" w:space="0" w:color="auto"/>
            </w:tcBorders>
            <w:hideMark/>
          </w:tcPr>
          <w:p w14:paraId="3ABA6B66"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5.2</w:t>
            </w:r>
          </w:p>
        </w:tc>
        <w:tc>
          <w:tcPr>
            <w:tcW w:w="1343" w:type="dxa"/>
            <w:tcBorders>
              <w:top w:val="single" w:sz="4" w:space="0" w:color="auto"/>
              <w:left w:val="single" w:sz="4" w:space="0" w:color="auto"/>
              <w:bottom w:val="single" w:sz="4" w:space="0" w:color="auto"/>
              <w:right w:val="single" w:sz="4" w:space="0" w:color="auto"/>
            </w:tcBorders>
            <w:hideMark/>
          </w:tcPr>
          <w:p w14:paraId="1CB6FCF3"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60</w:t>
            </w:r>
          </w:p>
        </w:tc>
      </w:tr>
      <w:tr w:rsidR="00F272EB" w14:paraId="0FA79D87" w14:textId="77777777" w:rsidTr="00F272EB">
        <w:tc>
          <w:tcPr>
            <w:tcW w:w="1656" w:type="dxa"/>
            <w:tcBorders>
              <w:top w:val="single" w:sz="4" w:space="0" w:color="auto"/>
              <w:left w:val="single" w:sz="4" w:space="0" w:color="auto"/>
              <w:bottom w:val="single" w:sz="4" w:space="0" w:color="auto"/>
              <w:right w:val="single" w:sz="4" w:space="0" w:color="auto"/>
            </w:tcBorders>
            <w:hideMark/>
          </w:tcPr>
          <w:p w14:paraId="729ECDE3" w14:textId="77777777" w:rsidR="00F272EB" w:rsidRDefault="00F272EB">
            <w:pPr>
              <w:spacing w:line="240" w:lineRule="auto"/>
              <w:jc w:val="both"/>
              <w:rPr>
                <w:rFonts w:ascii="Times New Roman" w:hAnsi="Times New Roman" w:cs="Times New Roman"/>
                <w:sz w:val="20"/>
                <w:szCs w:val="20"/>
              </w:rPr>
            </w:pPr>
            <w:proofErr w:type="spellStart"/>
            <w:r>
              <w:rPr>
                <w:rFonts w:ascii="Times New Roman" w:hAnsi="Times New Roman" w:cs="Times New Roman"/>
                <w:sz w:val="20"/>
                <w:szCs w:val="20"/>
              </w:rPr>
              <w:t>Zengpiyan</w:t>
            </w:r>
            <w:proofErr w:type="spellEnd"/>
          </w:p>
        </w:tc>
        <w:tc>
          <w:tcPr>
            <w:tcW w:w="1530" w:type="dxa"/>
            <w:tcBorders>
              <w:top w:val="single" w:sz="4" w:space="0" w:color="auto"/>
              <w:left w:val="single" w:sz="4" w:space="0" w:color="auto"/>
              <w:bottom w:val="single" w:sz="4" w:space="0" w:color="auto"/>
              <w:right w:val="single" w:sz="4" w:space="0" w:color="auto"/>
            </w:tcBorders>
            <w:hideMark/>
          </w:tcPr>
          <w:p w14:paraId="514D7FB1"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South China</w:t>
            </w:r>
          </w:p>
        </w:tc>
        <w:tc>
          <w:tcPr>
            <w:tcW w:w="916" w:type="dxa"/>
            <w:tcBorders>
              <w:top w:val="single" w:sz="4" w:space="0" w:color="auto"/>
              <w:left w:val="single" w:sz="4" w:space="0" w:color="auto"/>
              <w:bottom w:val="single" w:sz="4" w:space="0" w:color="auto"/>
              <w:right w:val="single" w:sz="4" w:space="0" w:color="auto"/>
            </w:tcBorders>
            <w:hideMark/>
          </w:tcPr>
          <w:p w14:paraId="25287774"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9-7.5</w:t>
            </w:r>
          </w:p>
        </w:tc>
        <w:tc>
          <w:tcPr>
            <w:tcW w:w="1916" w:type="dxa"/>
            <w:tcBorders>
              <w:top w:val="single" w:sz="4" w:space="0" w:color="auto"/>
              <w:left w:val="single" w:sz="4" w:space="0" w:color="auto"/>
              <w:bottom w:val="single" w:sz="4" w:space="0" w:color="auto"/>
              <w:right w:val="single" w:sz="4" w:space="0" w:color="auto"/>
            </w:tcBorders>
            <w:hideMark/>
          </w:tcPr>
          <w:p w14:paraId="1C7B61ED"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164.7</w:t>
            </w:r>
          </w:p>
        </w:tc>
        <w:tc>
          <w:tcPr>
            <w:tcW w:w="643" w:type="dxa"/>
            <w:tcBorders>
              <w:top w:val="single" w:sz="4" w:space="0" w:color="auto"/>
              <w:left w:val="single" w:sz="4" w:space="0" w:color="auto"/>
              <w:bottom w:val="single" w:sz="4" w:space="0" w:color="auto"/>
              <w:right w:val="single" w:sz="4" w:space="0" w:color="auto"/>
            </w:tcBorders>
            <w:hideMark/>
          </w:tcPr>
          <w:p w14:paraId="44689132"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3.2</w:t>
            </w:r>
          </w:p>
        </w:tc>
        <w:tc>
          <w:tcPr>
            <w:tcW w:w="1343" w:type="dxa"/>
            <w:tcBorders>
              <w:top w:val="single" w:sz="4" w:space="0" w:color="auto"/>
              <w:left w:val="single" w:sz="4" w:space="0" w:color="auto"/>
              <w:bottom w:val="single" w:sz="4" w:space="0" w:color="auto"/>
              <w:right w:val="single" w:sz="4" w:space="0" w:color="auto"/>
            </w:tcBorders>
            <w:hideMark/>
          </w:tcPr>
          <w:p w14:paraId="7A970BAB" w14:textId="77777777" w:rsidR="00F272EB" w:rsidRDefault="00F272EB">
            <w:pPr>
              <w:autoSpaceDE w:val="0"/>
              <w:autoSpaceDN w:val="0"/>
              <w:adjustRightInd w:val="0"/>
              <w:spacing w:line="240" w:lineRule="auto"/>
              <w:jc w:val="both"/>
              <w:rPr>
                <w:rFonts w:ascii="Times New Roman" w:hAnsi="Times New Roman" w:cs="Times New Roman"/>
                <w:sz w:val="20"/>
                <w:szCs w:val="20"/>
              </w:rPr>
            </w:pPr>
            <w:r>
              <w:rPr>
                <w:rFonts w:ascii="Times New Roman" w:hAnsi="Times New Roman" w:cs="Times New Roman"/>
                <w:sz w:val="20"/>
                <w:szCs w:val="20"/>
              </w:rPr>
              <w:t>60</w:t>
            </w:r>
          </w:p>
        </w:tc>
      </w:tr>
      <w:tr w:rsidR="00F272EB" w14:paraId="42F76637" w14:textId="77777777" w:rsidTr="00F272EB">
        <w:tc>
          <w:tcPr>
            <w:tcW w:w="1656" w:type="dxa"/>
            <w:tcBorders>
              <w:top w:val="single" w:sz="4" w:space="0" w:color="auto"/>
              <w:left w:val="single" w:sz="4" w:space="0" w:color="auto"/>
              <w:bottom w:val="single" w:sz="4" w:space="0" w:color="auto"/>
              <w:right w:val="single" w:sz="4" w:space="0" w:color="auto"/>
            </w:tcBorders>
            <w:hideMark/>
          </w:tcPr>
          <w:p w14:paraId="2C530801" w14:textId="77777777" w:rsidR="00F272EB" w:rsidRDefault="00F272EB">
            <w:pPr>
              <w:spacing w:line="240" w:lineRule="auto"/>
              <w:jc w:val="both"/>
              <w:rPr>
                <w:rFonts w:ascii="Times New Roman" w:hAnsi="Times New Roman" w:cs="Times New Roman"/>
                <w:sz w:val="20"/>
                <w:szCs w:val="20"/>
              </w:rPr>
            </w:pPr>
            <w:proofErr w:type="spellStart"/>
            <w:r>
              <w:rPr>
                <w:rFonts w:ascii="Times New Roman" w:hAnsi="Times New Roman" w:cs="Times New Roman"/>
                <w:sz w:val="20"/>
                <w:szCs w:val="20"/>
              </w:rPr>
              <w:t>Pha</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Phen</w:t>
            </w:r>
            <w:proofErr w:type="spellEnd"/>
          </w:p>
        </w:tc>
        <w:tc>
          <w:tcPr>
            <w:tcW w:w="1530" w:type="dxa"/>
            <w:tcBorders>
              <w:top w:val="single" w:sz="4" w:space="0" w:color="auto"/>
              <w:left w:val="single" w:sz="4" w:space="0" w:color="auto"/>
              <w:bottom w:val="single" w:sz="4" w:space="0" w:color="auto"/>
              <w:right w:val="single" w:sz="4" w:space="0" w:color="auto"/>
            </w:tcBorders>
            <w:hideMark/>
          </w:tcPr>
          <w:p w14:paraId="0866DE8A"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Laos</w:t>
            </w:r>
          </w:p>
        </w:tc>
        <w:tc>
          <w:tcPr>
            <w:tcW w:w="916" w:type="dxa"/>
            <w:tcBorders>
              <w:top w:val="single" w:sz="4" w:space="0" w:color="auto"/>
              <w:left w:val="single" w:sz="4" w:space="0" w:color="auto"/>
              <w:bottom w:val="single" w:sz="4" w:space="0" w:color="auto"/>
              <w:right w:val="single" w:sz="4" w:space="0" w:color="auto"/>
            </w:tcBorders>
            <w:hideMark/>
          </w:tcPr>
          <w:p w14:paraId="6D74153E"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7</w:t>
            </w:r>
          </w:p>
        </w:tc>
        <w:tc>
          <w:tcPr>
            <w:tcW w:w="1916" w:type="dxa"/>
            <w:tcBorders>
              <w:top w:val="single" w:sz="4" w:space="0" w:color="auto"/>
              <w:left w:val="single" w:sz="4" w:space="0" w:color="auto"/>
              <w:bottom w:val="single" w:sz="4" w:space="0" w:color="auto"/>
              <w:right w:val="single" w:sz="4" w:space="0" w:color="auto"/>
            </w:tcBorders>
            <w:hideMark/>
          </w:tcPr>
          <w:p w14:paraId="195FE5CF"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175.27 *</w:t>
            </w:r>
          </w:p>
        </w:tc>
        <w:tc>
          <w:tcPr>
            <w:tcW w:w="643" w:type="dxa"/>
            <w:tcBorders>
              <w:top w:val="single" w:sz="4" w:space="0" w:color="auto"/>
              <w:left w:val="single" w:sz="4" w:space="0" w:color="auto"/>
              <w:bottom w:val="single" w:sz="4" w:space="0" w:color="auto"/>
              <w:right w:val="single" w:sz="4" w:space="0" w:color="auto"/>
            </w:tcBorders>
            <w:hideMark/>
          </w:tcPr>
          <w:p w14:paraId="0EFFFA76"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3.8</w:t>
            </w:r>
          </w:p>
        </w:tc>
        <w:tc>
          <w:tcPr>
            <w:tcW w:w="1343" w:type="dxa"/>
            <w:tcBorders>
              <w:top w:val="single" w:sz="4" w:space="0" w:color="auto"/>
              <w:left w:val="single" w:sz="4" w:space="0" w:color="auto"/>
              <w:bottom w:val="single" w:sz="4" w:space="0" w:color="auto"/>
              <w:right w:val="single" w:sz="4" w:space="0" w:color="auto"/>
            </w:tcBorders>
            <w:hideMark/>
          </w:tcPr>
          <w:p w14:paraId="0D38468E"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58</w:t>
            </w:r>
          </w:p>
        </w:tc>
      </w:tr>
      <w:tr w:rsidR="00F272EB" w14:paraId="255410A4" w14:textId="77777777" w:rsidTr="00F272EB">
        <w:tc>
          <w:tcPr>
            <w:tcW w:w="1656" w:type="dxa"/>
            <w:tcBorders>
              <w:top w:val="single" w:sz="4" w:space="0" w:color="auto"/>
              <w:left w:val="single" w:sz="4" w:space="0" w:color="auto"/>
              <w:bottom w:val="single" w:sz="4" w:space="0" w:color="auto"/>
              <w:right w:val="single" w:sz="4" w:space="0" w:color="auto"/>
            </w:tcBorders>
            <w:hideMark/>
          </w:tcPr>
          <w:p w14:paraId="28192167"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 xml:space="preserve">Con Co </w:t>
            </w:r>
            <w:proofErr w:type="spellStart"/>
            <w:r>
              <w:rPr>
                <w:rFonts w:ascii="Times New Roman" w:hAnsi="Times New Roman" w:cs="Times New Roman"/>
                <w:sz w:val="20"/>
                <w:szCs w:val="20"/>
              </w:rPr>
              <w:t>Ngua</w:t>
            </w:r>
            <w:proofErr w:type="spellEnd"/>
          </w:p>
        </w:tc>
        <w:tc>
          <w:tcPr>
            <w:tcW w:w="1530" w:type="dxa"/>
            <w:tcBorders>
              <w:top w:val="single" w:sz="4" w:space="0" w:color="auto"/>
              <w:left w:val="single" w:sz="4" w:space="0" w:color="auto"/>
              <w:bottom w:val="single" w:sz="4" w:space="0" w:color="auto"/>
              <w:right w:val="single" w:sz="4" w:space="0" w:color="auto"/>
            </w:tcBorders>
            <w:hideMark/>
          </w:tcPr>
          <w:p w14:paraId="67232297"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Vietnam</w:t>
            </w:r>
          </w:p>
        </w:tc>
        <w:tc>
          <w:tcPr>
            <w:tcW w:w="916" w:type="dxa"/>
            <w:tcBorders>
              <w:top w:val="single" w:sz="4" w:space="0" w:color="auto"/>
              <w:left w:val="single" w:sz="4" w:space="0" w:color="auto"/>
              <w:bottom w:val="single" w:sz="4" w:space="0" w:color="auto"/>
              <w:right w:val="single" w:sz="4" w:space="0" w:color="auto"/>
            </w:tcBorders>
            <w:hideMark/>
          </w:tcPr>
          <w:p w14:paraId="49F2E135"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7-6.2</w:t>
            </w:r>
          </w:p>
        </w:tc>
        <w:tc>
          <w:tcPr>
            <w:tcW w:w="1916" w:type="dxa"/>
            <w:tcBorders>
              <w:top w:val="single" w:sz="4" w:space="0" w:color="auto"/>
              <w:left w:val="single" w:sz="4" w:space="0" w:color="auto"/>
              <w:bottom w:val="single" w:sz="4" w:space="0" w:color="auto"/>
              <w:right w:val="single" w:sz="4" w:space="0" w:color="auto"/>
            </w:tcBorders>
            <w:hideMark/>
          </w:tcPr>
          <w:p w14:paraId="05B68CBE"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165.15-176.18 *</w:t>
            </w:r>
          </w:p>
        </w:tc>
        <w:tc>
          <w:tcPr>
            <w:tcW w:w="643" w:type="dxa"/>
            <w:tcBorders>
              <w:top w:val="single" w:sz="4" w:space="0" w:color="auto"/>
              <w:left w:val="single" w:sz="4" w:space="0" w:color="auto"/>
              <w:bottom w:val="single" w:sz="4" w:space="0" w:color="auto"/>
              <w:right w:val="single" w:sz="4" w:space="0" w:color="auto"/>
            </w:tcBorders>
            <w:hideMark/>
          </w:tcPr>
          <w:p w14:paraId="47420A5F"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w:t>
            </w:r>
          </w:p>
        </w:tc>
        <w:tc>
          <w:tcPr>
            <w:tcW w:w="1343" w:type="dxa"/>
            <w:tcBorders>
              <w:top w:val="single" w:sz="4" w:space="0" w:color="auto"/>
              <w:left w:val="single" w:sz="4" w:space="0" w:color="auto"/>
              <w:bottom w:val="single" w:sz="4" w:space="0" w:color="auto"/>
              <w:right w:val="single" w:sz="4" w:space="0" w:color="auto"/>
            </w:tcBorders>
            <w:hideMark/>
          </w:tcPr>
          <w:p w14:paraId="4B94C4F0"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58</w:t>
            </w:r>
          </w:p>
        </w:tc>
      </w:tr>
      <w:tr w:rsidR="00F272EB" w14:paraId="6C5F730F" w14:textId="77777777" w:rsidTr="00F272EB">
        <w:trPr>
          <w:trHeight w:val="204"/>
        </w:trPr>
        <w:tc>
          <w:tcPr>
            <w:tcW w:w="1656" w:type="dxa"/>
            <w:tcBorders>
              <w:top w:val="single" w:sz="4" w:space="0" w:color="auto"/>
              <w:left w:val="single" w:sz="4" w:space="0" w:color="auto"/>
              <w:bottom w:val="single" w:sz="4" w:space="0" w:color="auto"/>
              <w:right w:val="single" w:sz="4" w:space="0" w:color="auto"/>
            </w:tcBorders>
            <w:hideMark/>
          </w:tcPr>
          <w:p w14:paraId="250F3B2C"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Man Bac</w:t>
            </w:r>
          </w:p>
        </w:tc>
        <w:tc>
          <w:tcPr>
            <w:tcW w:w="1530" w:type="dxa"/>
            <w:tcBorders>
              <w:top w:val="single" w:sz="4" w:space="0" w:color="auto"/>
              <w:left w:val="single" w:sz="4" w:space="0" w:color="auto"/>
              <w:bottom w:val="single" w:sz="4" w:space="0" w:color="auto"/>
              <w:right w:val="single" w:sz="4" w:space="0" w:color="auto"/>
            </w:tcBorders>
            <w:hideMark/>
          </w:tcPr>
          <w:p w14:paraId="545DC76C"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Vietnam</w:t>
            </w:r>
          </w:p>
        </w:tc>
        <w:tc>
          <w:tcPr>
            <w:tcW w:w="916" w:type="dxa"/>
            <w:tcBorders>
              <w:top w:val="single" w:sz="4" w:space="0" w:color="auto"/>
              <w:left w:val="single" w:sz="4" w:space="0" w:color="auto"/>
              <w:bottom w:val="single" w:sz="4" w:space="0" w:color="auto"/>
              <w:right w:val="single" w:sz="4" w:space="0" w:color="auto"/>
            </w:tcBorders>
            <w:hideMark/>
          </w:tcPr>
          <w:p w14:paraId="2CB85C2B"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3.5-4</w:t>
            </w:r>
          </w:p>
        </w:tc>
        <w:tc>
          <w:tcPr>
            <w:tcW w:w="1916" w:type="dxa"/>
            <w:tcBorders>
              <w:top w:val="single" w:sz="4" w:space="0" w:color="auto"/>
              <w:left w:val="single" w:sz="4" w:space="0" w:color="auto"/>
              <w:bottom w:val="single" w:sz="4" w:space="0" w:color="auto"/>
              <w:right w:val="single" w:sz="4" w:space="0" w:color="auto"/>
            </w:tcBorders>
            <w:hideMark/>
          </w:tcPr>
          <w:p w14:paraId="37B4A09C"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163.2</w:t>
            </w:r>
          </w:p>
        </w:tc>
        <w:tc>
          <w:tcPr>
            <w:tcW w:w="643" w:type="dxa"/>
            <w:tcBorders>
              <w:top w:val="single" w:sz="4" w:space="0" w:color="auto"/>
              <w:left w:val="single" w:sz="4" w:space="0" w:color="auto"/>
              <w:bottom w:val="single" w:sz="4" w:space="0" w:color="auto"/>
              <w:right w:val="single" w:sz="4" w:space="0" w:color="auto"/>
            </w:tcBorders>
            <w:hideMark/>
          </w:tcPr>
          <w:p w14:paraId="278242FC"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6.6</w:t>
            </w:r>
          </w:p>
        </w:tc>
        <w:tc>
          <w:tcPr>
            <w:tcW w:w="1343" w:type="dxa"/>
            <w:tcBorders>
              <w:top w:val="single" w:sz="4" w:space="0" w:color="auto"/>
              <w:left w:val="single" w:sz="4" w:space="0" w:color="auto"/>
              <w:bottom w:val="single" w:sz="4" w:space="0" w:color="auto"/>
              <w:right w:val="single" w:sz="4" w:space="0" w:color="auto"/>
            </w:tcBorders>
            <w:hideMark/>
          </w:tcPr>
          <w:p w14:paraId="4B508DDF"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61</w:t>
            </w:r>
          </w:p>
        </w:tc>
      </w:tr>
    </w:tbl>
    <w:p w14:paraId="24CDF87E" w14:textId="77777777" w:rsidR="00F272EB" w:rsidRDefault="00F272EB" w:rsidP="00F272EB">
      <w:pPr>
        <w:spacing w:after="0" w:line="480" w:lineRule="auto"/>
        <w:jc w:val="both"/>
        <w:rPr>
          <w:rFonts w:ascii="Times New Roman" w:hAnsi="Times New Roman" w:cs="Times New Roman"/>
          <w:b/>
          <w:sz w:val="24"/>
          <w:szCs w:val="24"/>
        </w:rPr>
      </w:pPr>
    </w:p>
    <w:p w14:paraId="0CC2BEF0" w14:textId="77777777" w:rsidR="00F272EB" w:rsidRDefault="00F272EB" w:rsidP="00F272EB">
      <w:pPr>
        <w:spacing w:after="0" w:line="480" w:lineRule="auto"/>
        <w:jc w:val="both"/>
        <w:rPr>
          <w:rFonts w:ascii="Times New Roman" w:hAnsi="Times New Roman" w:cs="Times New Roman"/>
          <w:b/>
          <w:sz w:val="24"/>
          <w:szCs w:val="24"/>
        </w:rPr>
      </w:pPr>
    </w:p>
    <w:p w14:paraId="2623A367" w14:textId="77777777" w:rsidR="00F272EB" w:rsidRDefault="00F272EB" w:rsidP="00F272EB">
      <w:pPr>
        <w:spacing w:after="0" w:line="480" w:lineRule="auto"/>
        <w:jc w:val="both"/>
        <w:rPr>
          <w:rFonts w:ascii="Times New Roman" w:hAnsi="Times New Roman" w:cs="Times New Roman"/>
          <w:sz w:val="24"/>
          <w:szCs w:val="24"/>
        </w:rPr>
      </w:pPr>
    </w:p>
    <w:p w14:paraId="40407252" w14:textId="77777777" w:rsidR="00F272EB" w:rsidRDefault="00F272EB" w:rsidP="00F272EB">
      <w:pPr>
        <w:spacing w:after="0" w:line="480" w:lineRule="auto"/>
        <w:jc w:val="both"/>
        <w:rPr>
          <w:rFonts w:ascii="Times New Roman" w:hAnsi="Times New Roman" w:cs="Times New Roman"/>
          <w:sz w:val="24"/>
          <w:szCs w:val="24"/>
        </w:rPr>
      </w:pPr>
    </w:p>
    <w:p w14:paraId="036E8DB5" w14:textId="77777777" w:rsidR="00F272EB" w:rsidRDefault="00F272EB" w:rsidP="00F272EB">
      <w:pPr>
        <w:spacing w:after="0" w:line="480" w:lineRule="auto"/>
        <w:jc w:val="both"/>
        <w:rPr>
          <w:rFonts w:ascii="Times New Roman" w:hAnsi="Times New Roman" w:cs="Times New Roman"/>
          <w:sz w:val="24"/>
          <w:szCs w:val="24"/>
        </w:rPr>
      </w:pPr>
      <w:r>
        <w:rPr>
          <w:rFonts w:ascii="Times New Roman" w:hAnsi="Times New Roman" w:cs="Times New Roman"/>
          <w:sz w:val="24"/>
          <w:szCs w:val="24"/>
        </w:rPr>
        <w:t>*Calculated using raw max length estimates. US Asian standards applied.</w:t>
      </w:r>
    </w:p>
    <w:p w14:paraId="433F0B08" w14:textId="77777777" w:rsidR="00F272EB" w:rsidRDefault="00F272EB" w:rsidP="00F272EB">
      <w:pPr>
        <w:spacing w:after="0" w:line="480" w:lineRule="auto"/>
        <w:jc w:val="both"/>
        <w:rPr>
          <w:rFonts w:ascii="Times New Roman" w:hAnsi="Times New Roman" w:cs="Times New Roman"/>
          <w:b/>
          <w:sz w:val="24"/>
          <w:szCs w:val="24"/>
        </w:rPr>
      </w:pPr>
    </w:p>
    <w:p w14:paraId="6497072C" w14:textId="77777777" w:rsidR="00F272EB" w:rsidRDefault="00F272EB" w:rsidP="00F272EB">
      <w:pPr>
        <w:spacing w:after="0" w:line="480" w:lineRule="auto"/>
        <w:jc w:val="both"/>
        <w:rPr>
          <w:rFonts w:ascii="Times New Roman" w:hAnsi="Times New Roman" w:cs="Times New Roman"/>
          <w:b/>
          <w:sz w:val="24"/>
          <w:szCs w:val="24"/>
        </w:rPr>
      </w:pPr>
    </w:p>
    <w:p w14:paraId="10FB17F3" w14:textId="77777777" w:rsidR="00F272EB" w:rsidRDefault="00F272EB" w:rsidP="00F272EB">
      <w:pPr>
        <w:spacing w:after="0" w:line="480" w:lineRule="auto"/>
        <w:jc w:val="both"/>
        <w:rPr>
          <w:rFonts w:ascii="Times New Roman" w:hAnsi="Times New Roman" w:cs="Times New Roman"/>
          <w:b/>
          <w:sz w:val="24"/>
          <w:szCs w:val="24"/>
        </w:rPr>
      </w:pPr>
    </w:p>
    <w:p w14:paraId="0BD28D83" w14:textId="77777777" w:rsidR="00F272EB" w:rsidRDefault="00F272EB" w:rsidP="00F272EB">
      <w:pPr>
        <w:spacing w:after="0" w:line="480" w:lineRule="auto"/>
        <w:jc w:val="both"/>
        <w:rPr>
          <w:rFonts w:ascii="Times New Roman" w:hAnsi="Times New Roman" w:cs="Times New Roman"/>
          <w:b/>
          <w:sz w:val="24"/>
          <w:szCs w:val="24"/>
        </w:rPr>
      </w:pPr>
    </w:p>
    <w:p w14:paraId="278B91F7" w14:textId="77777777" w:rsidR="00F272EB" w:rsidRDefault="00F272EB" w:rsidP="00F272EB">
      <w:pPr>
        <w:spacing w:after="0" w:line="480" w:lineRule="auto"/>
        <w:jc w:val="both"/>
        <w:rPr>
          <w:rFonts w:ascii="Times New Roman" w:hAnsi="Times New Roman" w:cs="Times New Roman"/>
          <w:b/>
          <w:sz w:val="24"/>
          <w:szCs w:val="24"/>
        </w:rPr>
      </w:pPr>
    </w:p>
    <w:p w14:paraId="306B6D20" w14:textId="77777777" w:rsidR="00F272EB" w:rsidRDefault="00F272EB" w:rsidP="00F272EB">
      <w:pPr>
        <w:spacing w:after="0" w:line="480" w:lineRule="auto"/>
        <w:jc w:val="both"/>
        <w:rPr>
          <w:rFonts w:ascii="Times New Roman" w:hAnsi="Times New Roman" w:cs="Times New Roman"/>
          <w:b/>
          <w:sz w:val="24"/>
          <w:szCs w:val="24"/>
        </w:rPr>
      </w:pPr>
    </w:p>
    <w:p w14:paraId="2446278A" w14:textId="77777777" w:rsidR="00F272EB" w:rsidRDefault="00F272EB" w:rsidP="00F272EB">
      <w:pPr>
        <w:spacing w:after="0" w:line="480" w:lineRule="auto"/>
        <w:jc w:val="both"/>
        <w:rPr>
          <w:rFonts w:ascii="Times New Roman" w:hAnsi="Times New Roman" w:cs="Times New Roman"/>
          <w:b/>
          <w:sz w:val="24"/>
          <w:szCs w:val="24"/>
        </w:rPr>
      </w:pPr>
    </w:p>
    <w:p w14:paraId="3267947A" w14:textId="77777777" w:rsidR="00F272EB" w:rsidRDefault="00F272EB" w:rsidP="00F272EB">
      <w:pPr>
        <w:spacing w:after="0" w:line="480" w:lineRule="auto"/>
        <w:jc w:val="both"/>
        <w:rPr>
          <w:rFonts w:ascii="Times New Roman" w:hAnsi="Times New Roman" w:cs="Times New Roman"/>
          <w:b/>
          <w:sz w:val="24"/>
          <w:szCs w:val="24"/>
        </w:rPr>
      </w:pPr>
    </w:p>
    <w:p w14:paraId="4AB7E0C4" w14:textId="77777777" w:rsidR="00F272EB" w:rsidRDefault="00F272EB" w:rsidP="00F272EB">
      <w:pPr>
        <w:spacing w:after="0" w:line="480" w:lineRule="auto"/>
        <w:jc w:val="both"/>
        <w:rPr>
          <w:rFonts w:ascii="Times New Roman" w:hAnsi="Times New Roman" w:cs="Times New Roman"/>
          <w:b/>
          <w:sz w:val="24"/>
          <w:szCs w:val="24"/>
        </w:rPr>
      </w:pPr>
    </w:p>
    <w:p w14:paraId="0B368DE2" w14:textId="77777777" w:rsidR="00F272EB" w:rsidRDefault="00F272EB" w:rsidP="00F272EB">
      <w:pPr>
        <w:spacing w:after="0" w:line="480" w:lineRule="auto"/>
        <w:jc w:val="both"/>
        <w:rPr>
          <w:rFonts w:ascii="Times New Roman" w:hAnsi="Times New Roman" w:cs="Times New Roman"/>
          <w:b/>
          <w:sz w:val="24"/>
          <w:szCs w:val="24"/>
        </w:rPr>
      </w:pPr>
    </w:p>
    <w:p w14:paraId="46EDBFF0" w14:textId="77777777" w:rsidR="00F272EB" w:rsidRDefault="00F272EB" w:rsidP="00F272EB">
      <w:pPr>
        <w:spacing w:after="0" w:line="480" w:lineRule="auto"/>
        <w:jc w:val="both"/>
        <w:rPr>
          <w:rFonts w:ascii="Times New Roman" w:hAnsi="Times New Roman" w:cs="Times New Roman"/>
          <w:b/>
          <w:sz w:val="24"/>
          <w:szCs w:val="24"/>
        </w:rPr>
      </w:pPr>
    </w:p>
    <w:p w14:paraId="29E933CE" w14:textId="77777777" w:rsidR="00F272EB" w:rsidRDefault="00F272EB" w:rsidP="00F272EB">
      <w:pPr>
        <w:spacing w:after="0" w:line="480" w:lineRule="auto"/>
        <w:jc w:val="both"/>
        <w:rPr>
          <w:rFonts w:ascii="Times New Roman" w:hAnsi="Times New Roman" w:cs="Times New Roman"/>
          <w:b/>
          <w:sz w:val="24"/>
          <w:szCs w:val="24"/>
        </w:rPr>
      </w:pPr>
    </w:p>
    <w:p w14:paraId="7275229A" w14:textId="77777777" w:rsidR="00F272EB" w:rsidRDefault="00F272EB" w:rsidP="00F272EB">
      <w:pPr>
        <w:spacing w:after="0" w:line="480" w:lineRule="auto"/>
        <w:jc w:val="both"/>
        <w:rPr>
          <w:rFonts w:ascii="Times New Roman" w:hAnsi="Times New Roman" w:cs="Times New Roman"/>
          <w:b/>
          <w:sz w:val="24"/>
          <w:szCs w:val="24"/>
        </w:rPr>
      </w:pPr>
    </w:p>
    <w:p w14:paraId="12BD53B3" w14:textId="77777777" w:rsidR="00F272EB" w:rsidRDefault="00F272EB" w:rsidP="00F272EB">
      <w:pPr>
        <w:spacing w:after="0" w:line="480" w:lineRule="auto"/>
        <w:jc w:val="both"/>
        <w:rPr>
          <w:rFonts w:ascii="Times New Roman" w:hAnsi="Times New Roman" w:cs="Times New Roman"/>
          <w:b/>
          <w:sz w:val="24"/>
          <w:szCs w:val="24"/>
        </w:rPr>
      </w:pPr>
    </w:p>
    <w:p w14:paraId="0440C748" w14:textId="77777777" w:rsidR="00F272EB" w:rsidRDefault="00F272EB" w:rsidP="00F272EB">
      <w:pPr>
        <w:spacing w:after="0" w:line="480" w:lineRule="auto"/>
        <w:jc w:val="both"/>
        <w:rPr>
          <w:rFonts w:ascii="Times New Roman" w:hAnsi="Times New Roman" w:cs="Times New Roman"/>
          <w:b/>
          <w:sz w:val="24"/>
          <w:szCs w:val="24"/>
        </w:rPr>
      </w:pPr>
    </w:p>
    <w:p w14:paraId="4429D30C" w14:textId="77777777" w:rsidR="00F272EB" w:rsidRDefault="00F272EB" w:rsidP="00F272EB">
      <w:pPr>
        <w:spacing w:after="0" w:line="360" w:lineRule="auto"/>
        <w:jc w:val="both"/>
        <w:rPr>
          <w:rFonts w:ascii="Times New Roman" w:hAnsi="Times New Roman" w:cs="Times New Roman"/>
          <w:b/>
          <w:bCs/>
          <w:sz w:val="24"/>
          <w:szCs w:val="24"/>
        </w:rPr>
      </w:pPr>
      <w:r>
        <w:rPr>
          <w:rFonts w:ascii="Times New Roman" w:hAnsi="Times New Roman" w:cs="Times New Roman"/>
          <w:b/>
          <w:sz w:val="24"/>
          <w:szCs w:val="24"/>
        </w:rPr>
        <w:t>Extended Data</w:t>
      </w:r>
      <w:r>
        <w:rPr>
          <w:rFonts w:ascii="Times New Roman" w:hAnsi="Times New Roman" w:cs="Times New Roman"/>
          <w:b/>
          <w:bCs/>
          <w:sz w:val="24"/>
          <w:szCs w:val="24"/>
        </w:rPr>
        <w:t xml:space="preserve"> Table 2.  Liang </w:t>
      </w:r>
      <w:proofErr w:type="spellStart"/>
      <w:r>
        <w:rPr>
          <w:rFonts w:ascii="Times New Roman" w:hAnsi="Times New Roman" w:cs="Times New Roman"/>
          <w:b/>
          <w:bCs/>
          <w:sz w:val="24"/>
          <w:szCs w:val="24"/>
        </w:rPr>
        <w:t>Tebo</w:t>
      </w:r>
      <w:proofErr w:type="spellEnd"/>
      <w:r>
        <w:rPr>
          <w:rFonts w:ascii="Times New Roman" w:hAnsi="Times New Roman" w:cs="Times New Roman"/>
          <w:b/>
          <w:bCs/>
          <w:sz w:val="24"/>
          <w:szCs w:val="24"/>
        </w:rPr>
        <w:t xml:space="preserve"> radiocarbon chronology. </w:t>
      </w:r>
      <w:r>
        <w:rPr>
          <w:rFonts w:ascii="Times New Roman" w:hAnsi="Times New Roman" w:cs="Times New Roman"/>
          <w:sz w:val="24"/>
          <w:szCs w:val="24"/>
        </w:rPr>
        <w:t xml:space="preserve">Charcoal samples calibrated using </w:t>
      </w:r>
      <w:proofErr w:type="spellStart"/>
      <w:r>
        <w:rPr>
          <w:rFonts w:ascii="Times New Roman" w:hAnsi="Times New Roman" w:cs="Times New Roman"/>
          <w:sz w:val="24"/>
          <w:szCs w:val="24"/>
        </w:rPr>
        <w:t>OxCal</w:t>
      </w:r>
      <w:proofErr w:type="spellEnd"/>
      <w:r>
        <w:rPr>
          <w:rFonts w:ascii="Times New Roman" w:hAnsi="Times New Roman" w:cs="Times New Roman"/>
          <w:sz w:val="24"/>
          <w:szCs w:val="24"/>
        </w:rPr>
        <w:t xml:space="preserve"> v. 4.4, with the Northern Hemisphere Atmospheric curve [IntCal20]</w:t>
      </w:r>
      <w:r>
        <w:rPr>
          <w:rFonts w:ascii="Times New Roman" w:hAnsi="Times New Roman" w:cs="Times New Roman"/>
          <w:sz w:val="24"/>
          <w:szCs w:val="24"/>
          <w:vertAlign w:val="superscript"/>
        </w:rPr>
        <w:t>62</w:t>
      </w:r>
      <w:r>
        <w:rPr>
          <w:rFonts w:ascii="Times New Roman" w:hAnsi="Times New Roman" w:cs="Times New Roman"/>
          <w:sz w:val="24"/>
          <w:szCs w:val="24"/>
        </w:rPr>
        <w:t xml:space="preserve">. </w:t>
      </w:r>
    </w:p>
    <w:tbl>
      <w:tblPr>
        <w:tblStyle w:val="TableGrid"/>
        <w:tblW w:w="0" w:type="dxa"/>
        <w:tblInd w:w="0" w:type="dxa"/>
        <w:tblLayout w:type="fixed"/>
        <w:tblLook w:val="04A0" w:firstRow="1" w:lastRow="0" w:firstColumn="1" w:lastColumn="0" w:noHBand="0" w:noVBand="1"/>
      </w:tblPr>
      <w:tblGrid>
        <w:gridCol w:w="1413"/>
        <w:gridCol w:w="1276"/>
        <w:gridCol w:w="1275"/>
        <w:gridCol w:w="709"/>
        <w:gridCol w:w="992"/>
        <w:gridCol w:w="1276"/>
        <w:gridCol w:w="1134"/>
        <w:gridCol w:w="1985"/>
      </w:tblGrid>
      <w:tr w:rsidR="00F272EB" w14:paraId="1F202EA9" w14:textId="77777777" w:rsidTr="00F272EB">
        <w:trPr>
          <w:trHeight w:val="95"/>
        </w:trPr>
        <w:tc>
          <w:tcPr>
            <w:tcW w:w="1413" w:type="dxa"/>
            <w:tcBorders>
              <w:top w:val="single" w:sz="4" w:space="0" w:color="auto"/>
              <w:left w:val="single" w:sz="4" w:space="0" w:color="auto"/>
              <w:bottom w:val="single" w:sz="4" w:space="0" w:color="auto"/>
              <w:right w:val="single" w:sz="4" w:space="0" w:color="auto"/>
            </w:tcBorders>
            <w:hideMark/>
          </w:tcPr>
          <w:p w14:paraId="13924E8D"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Code</w:t>
            </w:r>
          </w:p>
        </w:tc>
        <w:tc>
          <w:tcPr>
            <w:tcW w:w="1276" w:type="dxa"/>
            <w:tcBorders>
              <w:top w:val="single" w:sz="4" w:space="0" w:color="auto"/>
              <w:left w:val="single" w:sz="4" w:space="0" w:color="auto"/>
              <w:bottom w:val="single" w:sz="4" w:space="0" w:color="auto"/>
              <w:right w:val="single" w:sz="4" w:space="0" w:color="auto"/>
            </w:tcBorders>
            <w:hideMark/>
          </w:tcPr>
          <w:p w14:paraId="6EDC2CDE"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Lab</w:t>
            </w:r>
          </w:p>
        </w:tc>
        <w:tc>
          <w:tcPr>
            <w:tcW w:w="1275" w:type="dxa"/>
            <w:tcBorders>
              <w:top w:val="single" w:sz="4" w:space="0" w:color="auto"/>
              <w:left w:val="single" w:sz="4" w:space="0" w:color="auto"/>
              <w:bottom w:val="single" w:sz="4" w:space="0" w:color="auto"/>
              <w:right w:val="single" w:sz="4" w:space="0" w:color="auto"/>
            </w:tcBorders>
            <w:hideMark/>
          </w:tcPr>
          <w:p w14:paraId="0FB242F4"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SQ/XU</w:t>
            </w:r>
          </w:p>
        </w:tc>
        <w:tc>
          <w:tcPr>
            <w:tcW w:w="709" w:type="dxa"/>
            <w:tcBorders>
              <w:top w:val="single" w:sz="4" w:space="0" w:color="auto"/>
              <w:left w:val="single" w:sz="4" w:space="0" w:color="auto"/>
              <w:bottom w:val="single" w:sz="4" w:space="0" w:color="auto"/>
              <w:right w:val="single" w:sz="4" w:space="0" w:color="auto"/>
            </w:tcBorders>
            <w:hideMark/>
          </w:tcPr>
          <w:p w14:paraId="44BF3952"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SU</w:t>
            </w:r>
          </w:p>
        </w:tc>
        <w:tc>
          <w:tcPr>
            <w:tcW w:w="992" w:type="dxa"/>
            <w:tcBorders>
              <w:top w:val="single" w:sz="4" w:space="0" w:color="auto"/>
              <w:left w:val="single" w:sz="4" w:space="0" w:color="auto"/>
              <w:bottom w:val="single" w:sz="4" w:space="0" w:color="auto"/>
              <w:right w:val="single" w:sz="4" w:space="0" w:color="auto"/>
            </w:tcBorders>
            <w:hideMark/>
          </w:tcPr>
          <w:p w14:paraId="7706DED8"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Sample</w:t>
            </w:r>
          </w:p>
        </w:tc>
        <w:tc>
          <w:tcPr>
            <w:tcW w:w="1276" w:type="dxa"/>
            <w:tcBorders>
              <w:top w:val="single" w:sz="4" w:space="0" w:color="auto"/>
              <w:left w:val="single" w:sz="4" w:space="0" w:color="auto"/>
              <w:bottom w:val="single" w:sz="4" w:space="0" w:color="auto"/>
              <w:right w:val="single" w:sz="4" w:space="0" w:color="auto"/>
            </w:tcBorders>
            <w:hideMark/>
          </w:tcPr>
          <w:p w14:paraId="5D9FFF6D"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Radiocarbon age</w:t>
            </w:r>
          </w:p>
        </w:tc>
        <w:tc>
          <w:tcPr>
            <w:tcW w:w="1134" w:type="dxa"/>
            <w:tcBorders>
              <w:top w:val="single" w:sz="4" w:space="0" w:color="auto"/>
              <w:left w:val="single" w:sz="4" w:space="0" w:color="auto"/>
              <w:bottom w:val="single" w:sz="4" w:space="0" w:color="auto"/>
              <w:right w:val="single" w:sz="4" w:space="0" w:color="auto"/>
            </w:tcBorders>
            <w:hideMark/>
          </w:tcPr>
          <w:p w14:paraId="5E16D548" w14:textId="77777777" w:rsidR="00F272EB" w:rsidRDefault="00F272EB">
            <w:pPr>
              <w:spacing w:line="240" w:lineRule="auto"/>
              <w:jc w:val="both"/>
              <w:rPr>
                <w:rFonts w:ascii="Times New Roman" w:hAnsi="Times New Roman" w:cs="Times New Roman"/>
                <w:sz w:val="20"/>
                <w:szCs w:val="20"/>
              </w:rPr>
            </w:pPr>
            <w:proofErr w:type="spellStart"/>
            <w:r>
              <w:rPr>
                <w:rFonts w:ascii="Times New Roman" w:hAnsi="Times New Roman" w:cs="Times New Roman"/>
                <w:sz w:val="20"/>
                <w:szCs w:val="20"/>
              </w:rPr>
              <w:t>pMC</w:t>
            </w:r>
            <w:proofErr w:type="spellEnd"/>
            <w:r>
              <w:rPr>
                <w:rFonts w:ascii="Times New Roman" w:hAnsi="Times New Roman" w:cs="Times New Roman"/>
                <w:sz w:val="20"/>
                <w:szCs w:val="20"/>
              </w:rPr>
              <w:t xml:space="preserve"> 1</w:t>
            </w:r>
            <w:r>
              <w:rPr>
                <w:rFonts w:ascii="Times New Roman" w:hAnsi="Times New Roman" w:cs="Times New Roman"/>
                <w:bCs/>
                <w:sz w:val="20"/>
                <w:szCs w:val="20"/>
                <w:vertAlign w:val="subscript"/>
              </w:rPr>
              <w:t>δ</w:t>
            </w:r>
          </w:p>
        </w:tc>
        <w:tc>
          <w:tcPr>
            <w:tcW w:w="1985" w:type="dxa"/>
            <w:tcBorders>
              <w:top w:val="single" w:sz="4" w:space="0" w:color="auto"/>
              <w:left w:val="single" w:sz="4" w:space="0" w:color="auto"/>
              <w:bottom w:val="single" w:sz="4" w:space="0" w:color="auto"/>
              <w:right w:val="single" w:sz="4" w:space="0" w:color="auto"/>
            </w:tcBorders>
            <w:hideMark/>
          </w:tcPr>
          <w:p w14:paraId="2D011F72"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 xml:space="preserve">95.4% </w:t>
            </w:r>
            <w:proofErr w:type="spellStart"/>
            <w:r>
              <w:rPr>
                <w:rFonts w:ascii="Times New Roman" w:hAnsi="Times New Roman" w:cs="Times New Roman"/>
                <w:sz w:val="20"/>
                <w:szCs w:val="20"/>
              </w:rPr>
              <w:t>cal</w:t>
            </w:r>
            <w:proofErr w:type="spellEnd"/>
            <w:r>
              <w:rPr>
                <w:rFonts w:ascii="Times New Roman" w:hAnsi="Times New Roman" w:cs="Times New Roman"/>
                <w:sz w:val="20"/>
                <w:szCs w:val="20"/>
              </w:rPr>
              <w:t xml:space="preserve"> BP</w:t>
            </w:r>
          </w:p>
        </w:tc>
      </w:tr>
      <w:tr w:rsidR="00F272EB" w14:paraId="6CE92D2E" w14:textId="77777777" w:rsidTr="00F272EB">
        <w:trPr>
          <w:trHeight w:val="221"/>
        </w:trPr>
        <w:tc>
          <w:tcPr>
            <w:tcW w:w="1413" w:type="dxa"/>
            <w:tcBorders>
              <w:top w:val="single" w:sz="4" w:space="0" w:color="auto"/>
              <w:left w:val="single" w:sz="4" w:space="0" w:color="auto"/>
              <w:bottom w:val="single" w:sz="4" w:space="0" w:color="auto"/>
              <w:right w:val="single" w:sz="4" w:space="0" w:color="auto"/>
            </w:tcBorders>
            <w:hideMark/>
          </w:tcPr>
          <w:p w14:paraId="30AABF7E" w14:textId="77777777" w:rsidR="00F272EB" w:rsidRDefault="00F272EB">
            <w:pPr>
              <w:autoSpaceDE w:val="0"/>
              <w:autoSpaceDN w:val="0"/>
              <w:adjustRightInd w:val="0"/>
              <w:spacing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DAMS043256</w:t>
            </w:r>
          </w:p>
        </w:tc>
        <w:tc>
          <w:tcPr>
            <w:tcW w:w="1276" w:type="dxa"/>
            <w:tcBorders>
              <w:top w:val="single" w:sz="4" w:space="0" w:color="auto"/>
              <w:left w:val="single" w:sz="4" w:space="0" w:color="auto"/>
              <w:bottom w:val="single" w:sz="4" w:space="0" w:color="auto"/>
              <w:right w:val="single" w:sz="4" w:space="0" w:color="auto"/>
            </w:tcBorders>
            <w:hideMark/>
          </w:tcPr>
          <w:p w14:paraId="21812429" w14:textId="77777777" w:rsidR="00F272EB" w:rsidRDefault="00F272EB">
            <w:pPr>
              <w:spacing w:line="240" w:lineRule="auto"/>
              <w:jc w:val="both"/>
              <w:rPr>
                <w:rFonts w:ascii="Times New Roman" w:hAnsi="Times New Roman" w:cs="Times New Roman"/>
                <w:sz w:val="20"/>
                <w:szCs w:val="20"/>
              </w:rPr>
            </w:pPr>
            <w:proofErr w:type="spellStart"/>
            <w:r>
              <w:rPr>
                <w:rFonts w:ascii="Times New Roman" w:hAnsi="Times New Roman" w:cs="Times New Roman"/>
                <w:sz w:val="20"/>
                <w:szCs w:val="20"/>
              </w:rPr>
              <w:t>DirectAMS</w:t>
            </w:r>
            <w:proofErr w:type="spellEnd"/>
          </w:p>
        </w:tc>
        <w:tc>
          <w:tcPr>
            <w:tcW w:w="1275" w:type="dxa"/>
            <w:tcBorders>
              <w:top w:val="single" w:sz="4" w:space="0" w:color="auto"/>
              <w:left w:val="single" w:sz="4" w:space="0" w:color="auto"/>
              <w:bottom w:val="single" w:sz="4" w:space="0" w:color="auto"/>
              <w:right w:val="single" w:sz="4" w:space="0" w:color="auto"/>
            </w:tcBorders>
            <w:hideMark/>
          </w:tcPr>
          <w:p w14:paraId="7254F522"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A/XU3#1</w:t>
            </w:r>
          </w:p>
        </w:tc>
        <w:tc>
          <w:tcPr>
            <w:tcW w:w="709" w:type="dxa"/>
            <w:tcBorders>
              <w:top w:val="single" w:sz="4" w:space="0" w:color="auto"/>
              <w:left w:val="single" w:sz="4" w:space="0" w:color="auto"/>
              <w:bottom w:val="single" w:sz="4" w:space="0" w:color="auto"/>
              <w:right w:val="single" w:sz="4" w:space="0" w:color="auto"/>
            </w:tcBorders>
            <w:hideMark/>
          </w:tcPr>
          <w:p w14:paraId="404D1B0E"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SU2</w:t>
            </w:r>
          </w:p>
        </w:tc>
        <w:tc>
          <w:tcPr>
            <w:tcW w:w="992" w:type="dxa"/>
            <w:tcBorders>
              <w:top w:val="single" w:sz="4" w:space="0" w:color="auto"/>
              <w:left w:val="single" w:sz="4" w:space="0" w:color="auto"/>
              <w:bottom w:val="single" w:sz="4" w:space="0" w:color="auto"/>
              <w:right w:val="single" w:sz="4" w:space="0" w:color="auto"/>
            </w:tcBorders>
            <w:hideMark/>
          </w:tcPr>
          <w:p w14:paraId="6913ABBE"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Charcoal</w:t>
            </w:r>
          </w:p>
        </w:tc>
        <w:tc>
          <w:tcPr>
            <w:tcW w:w="1276" w:type="dxa"/>
            <w:tcBorders>
              <w:top w:val="single" w:sz="4" w:space="0" w:color="auto"/>
              <w:left w:val="single" w:sz="4" w:space="0" w:color="auto"/>
              <w:bottom w:val="single" w:sz="4" w:space="0" w:color="auto"/>
              <w:right w:val="single" w:sz="4" w:space="0" w:color="auto"/>
            </w:tcBorders>
            <w:hideMark/>
          </w:tcPr>
          <w:p w14:paraId="32B0990D"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2,902±27</w:t>
            </w:r>
          </w:p>
        </w:tc>
        <w:tc>
          <w:tcPr>
            <w:tcW w:w="1134" w:type="dxa"/>
            <w:tcBorders>
              <w:top w:val="single" w:sz="4" w:space="0" w:color="auto"/>
              <w:left w:val="single" w:sz="4" w:space="0" w:color="auto"/>
              <w:bottom w:val="single" w:sz="4" w:space="0" w:color="auto"/>
              <w:right w:val="single" w:sz="4" w:space="0" w:color="auto"/>
            </w:tcBorders>
            <w:hideMark/>
          </w:tcPr>
          <w:p w14:paraId="3BEC5952"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69.68±0.23</w:t>
            </w:r>
          </w:p>
        </w:tc>
        <w:tc>
          <w:tcPr>
            <w:tcW w:w="1985" w:type="dxa"/>
            <w:tcBorders>
              <w:top w:val="single" w:sz="4" w:space="0" w:color="auto"/>
              <w:left w:val="single" w:sz="4" w:space="0" w:color="auto"/>
              <w:bottom w:val="single" w:sz="4" w:space="0" w:color="auto"/>
              <w:right w:val="single" w:sz="4" w:space="0" w:color="auto"/>
            </w:tcBorders>
            <w:hideMark/>
          </w:tcPr>
          <w:p w14:paraId="752B7135"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3,153 - 3,090 (17.9%)</w:t>
            </w:r>
          </w:p>
          <w:p w14:paraId="1EA2F6F7"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3,083 - 2,957 (77.6%)</w:t>
            </w:r>
          </w:p>
        </w:tc>
      </w:tr>
      <w:tr w:rsidR="00F272EB" w14:paraId="72BF5A22" w14:textId="77777777" w:rsidTr="00F272EB">
        <w:trPr>
          <w:trHeight w:val="221"/>
        </w:trPr>
        <w:tc>
          <w:tcPr>
            <w:tcW w:w="1413" w:type="dxa"/>
            <w:tcBorders>
              <w:top w:val="single" w:sz="4" w:space="0" w:color="auto"/>
              <w:left w:val="single" w:sz="4" w:space="0" w:color="auto"/>
              <w:bottom w:val="single" w:sz="4" w:space="0" w:color="auto"/>
              <w:right w:val="single" w:sz="4" w:space="0" w:color="auto"/>
            </w:tcBorders>
            <w:hideMark/>
          </w:tcPr>
          <w:p w14:paraId="48773A8B"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DAMS043258</w:t>
            </w:r>
          </w:p>
        </w:tc>
        <w:tc>
          <w:tcPr>
            <w:tcW w:w="1276" w:type="dxa"/>
            <w:tcBorders>
              <w:top w:val="single" w:sz="4" w:space="0" w:color="auto"/>
              <w:left w:val="single" w:sz="4" w:space="0" w:color="auto"/>
              <w:bottom w:val="single" w:sz="4" w:space="0" w:color="auto"/>
              <w:right w:val="single" w:sz="4" w:space="0" w:color="auto"/>
            </w:tcBorders>
            <w:hideMark/>
          </w:tcPr>
          <w:p w14:paraId="210DB1A7" w14:textId="77777777" w:rsidR="00F272EB" w:rsidRDefault="00F272EB">
            <w:pPr>
              <w:spacing w:line="240" w:lineRule="auto"/>
              <w:jc w:val="both"/>
              <w:rPr>
                <w:rFonts w:ascii="Times New Roman" w:hAnsi="Times New Roman" w:cs="Times New Roman"/>
                <w:sz w:val="20"/>
                <w:szCs w:val="20"/>
              </w:rPr>
            </w:pPr>
            <w:proofErr w:type="spellStart"/>
            <w:r>
              <w:rPr>
                <w:rFonts w:ascii="Times New Roman" w:hAnsi="Times New Roman" w:cs="Times New Roman"/>
                <w:sz w:val="20"/>
                <w:szCs w:val="20"/>
              </w:rPr>
              <w:t>DirectAMS</w:t>
            </w:r>
            <w:proofErr w:type="spellEnd"/>
          </w:p>
        </w:tc>
        <w:tc>
          <w:tcPr>
            <w:tcW w:w="1275" w:type="dxa"/>
            <w:tcBorders>
              <w:top w:val="single" w:sz="4" w:space="0" w:color="auto"/>
              <w:left w:val="single" w:sz="4" w:space="0" w:color="auto"/>
              <w:bottom w:val="single" w:sz="4" w:space="0" w:color="auto"/>
              <w:right w:val="single" w:sz="4" w:space="0" w:color="auto"/>
            </w:tcBorders>
            <w:hideMark/>
          </w:tcPr>
          <w:p w14:paraId="25650E44"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D/XU4#1</w:t>
            </w:r>
          </w:p>
        </w:tc>
        <w:tc>
          <w:tcPr>
            <w:tcW w:w="709" w:type="dxa"/>
            <w:tcBorders>
              <w:top w:val="single" w:sz="4" w:space="0" w:color="auto"/>
              <w:left w:val="single" w:sz="4" w:space="0" w:color="auto"/>
              <w:bottom w:val="single" w:sz="4" w:space="0" w:color="auto"/>
              <w:right w:val="single" w:sz="4" w:space="0" w:color="auto"/>
            </w:tcBorders>
            <w:hideMark/>
          </w:tcPr>
          <w:p w14:paraId="30E0FBD4"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SU2</w:t>
            </w:r>
          </w:p>
        </w:tc>
        <w:tc>
          <w:tcPr>
            <w:tcW w:w="992" w:type="dxa"/>
            <w:tcBorders>
              <w:top w:val="single" w:sz="4" w:space="0" w:color="auto"/>
              <w:left w:val="single" w:sz="4" w:space="0" w:color="auto"/>
              <w:bottom w:val="single" w:sz="4" w:space="0" w:color="auto"/>
              <w:right w:val="single" w:sz="4" w:space="0" w:color="auto"/>
            </w:tcBorders>
            <w:hideMark/>
          </w:tcPr>
          <w:p w14:paraId="4229C58A"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Charcoal</w:t>
            </w:r>
          </w:p>
        </w:tc>
        <w:tc>
          <w:tcPr>
            <w:tcW w:w="1276" w:type="dxa"/>
            <w:tcBorders>
              <w:top w:val="single" w:sz="4" w:space="0" w:color="auto"/>
              <w:left w:val="single" w:sz="4" w:space="0" w:color="auto"/>
              <w:bottom w:val="single" w:sz="4" w:space="0" w:color="auto"/>
              <w:right w:val="single" w:sz="4" w:space="0" w:color="auto"/>
            </w:tcBorders>
            <w:hideMark/>
          </w:tcPr>
          <w:p w14:paraId="578C0A96"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2,920±24</w:t>
            </w:r>
          </w:p>
        </w:tc>
        <w:tc>
          <w:tcPr>
            <w:tcW w:w="1134" w:type="dxa"/>
            <w:tcBorders>
              <w:top w:val="single" w:sz="4" w:space="0" w:color="auto"/>
              <w:left w:val="single" w:sz="4" w:space="0" w:color="auto"/>
              <w:bottom w:val="single" w:sz="4" w:space="0" w:color="auto"/>
              <w:right w:val="single" w:sz="4" w:space="0" w:color="auto"/>
            </w:tcBorders>
            <w:hideMark/>
          </w:tcPr>
          <w:p w14:paraId="327EF2F6"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69.52±0.21</w:t>
            </w:r>
          </w:p>
        </w:tc>
        <w:tc>
          <w:tcPr>
            <w:tcW w:w="1985" w:type="dxa"/>
            <w:tcBorders>
              <w:top w:val="single" w:sz="4" w:space="0" w:color="auto"/>
              <w:left w:val="single" w:sz="4" w:space="0" w:color="auto"/>
              <w:bottom w:val="single" w:sz="4" w:space="0" w:color="auto"/>
              <w:right w:val="single" w:sz="4" w:space="0" w:color="auto"/>
            </w:tcBorders>
            <w:hideMark/>
          </w:tcPr>
          <w:p w14:paraId="4B3B925F"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3,160 - 2,994 (92.1%)</w:t>
            </w:r>
          </w:p>
          <w:p w14:paraId="476B1988"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2,980 - 2,968 (3.4%)</w:t>
            </w:r>
          </w:p>
        </w:tc>
      </w:tr>
      <w:tr w:rsidR="00F272EB" w14:paraId="77DE1DED" w14:textId="77777777" w:rsidTr="00F272EB">
        <w:trPr>
          <w:trHeight w:val="221"/>
        </w:trPr>
        <w:tc>
          <w:tcPr>
            <w:tcW w:w="1413" w:type="dxa"/>
            <w:tcBorders>
              <w:top w:val="single" w:sz="4" w:space="0" w:color="auto"/>
              <w:left w:val="single" w:sz="4" w:space="0" w:color="auto"/>
              <w:bottom w:val="single" w:sz="4" w:space="0" w:color="auto"/>
              <w:right w:val="single" w:sz="4" w:space="0" w:color="auto"/>
            </w:tcBorders>
            <w:hideMark/>
          </w:tcPr>
          <w:p w14:paraId="31F1C17D"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DAMS38330</w:t>
            </w:r>
          </w:p>
        </w:tc>
        <w:tc>
          <w:tcPr>
            <w:tcW w:w="1276" w:type="dxa"/>
            <w:tcBorders>
              <w:top w:val="single" w:sz="4" w:space="0" w:color="auto"/>
              <w:left w:val="single" w:sz="4" w:space="0" w:color="auto"/>
              <w:bottom w:val="single" w:sz="4" w:space="0" w:color="auto"/>
              <w:right w:val="single" w:sz="4" w:space="0" w:color="auto"/>
            </w:tcBorders>
            <w:hideMark/>
          </w:tcPr>
          <w:p w14:paraId="2298AB0F" w14:textId="77777777" w:rsidR="00F272EB" w:rsidRDefault="00F272EB">
            <w:pPr>
              <w:spacing w:line="240" w:lineRule="auto"/>
              <w:jc w:val="both"/>
              <w:rPr>
                <w:rFonts w:ascii="Times New Roman" w:hAnsi="Times New Roman" w:cs="Times New Roman"/>
                <w:sz w:val="20"/>
                <w:szCs w:val="20"/>
              </w:rPr>
            </w:pPr>
            <w:proofErr w:type="spellStart"/>
            <w:r>
              <w:rPr>
                <w:rFonts w:ascii="Times New Roman" w:hAnsi="Times New Roman" w:cs="Times New Roman"/>
                <w:sz w:val="20"/>
                <w:szCs w:val="20"/>
              </w:rPr>
              <w:t>DirectAMS</w:t>
            </w:r>
            <w:proofErr w:type="spellEnd"/>
          </w:p>
        </w:tc>
        <w:tc>
          <w:tcPr>
            <w:tcW w:w="1275" w:type="dxa"/>
            <w:tcBorders>
              <w:top w:val="single" w:sz="4" w:space="0" w:color="auto"/>
              <w:left w:val="single" w:sz="4" w:space="0" w:color="auto"/>
              <w:bottom w:val="single" w:sz="4" w:space="0" w:color="auto"/>
              <w:right w:val="single" w:sz="4" w:space="0" w:color="auto"/>
            </w:tcBorders>
            <w:hideMark/>
          </w:tcPr>
          <w:p w14:paraId="55E71F56"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A/XU4 #2</w:t>
            </w:r>
          </w:p>
        </w:tc>
        <w:tc>
          <w:tcPr>
            <w:tcW w:w="709" w:type="dxa"/>
            <w:tcBorders>
              <w:top w:val="single" w:sz="4" w:space="0" w:color="auto"/>
              <w:left w:val="single" w:sz="4" w:space="0" w:color="auto"/>
              <w:bottom w:val="single" w:sz="4" w:space="0" w:color="auto"/>
              <w:right w:val="single" w:sz="4" w:space="0" w:color="auto"/>
            </w:tcBorders>
            <w:hideMark/>
          </w:tcPr>
          <w:p w14:paraId="1EAA0B9F"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SU2</w:t>
            </w:r>
          </w:p>
        </w:tc>
        <w:tc>
          <w:tcPr>
            <w:tcW w:w="992" w:type="dxa"/>
            <w:tcBorders>
              <w:top w:val="single" w:sz="4" w:space="0" w:color="auto"/>
              <w:left w:val="single" w:sz="4" w:space="0" w:color="auto"/>
              <w:bottom w:val="single" w:sz="4" w:space="0" w:color="auto"/>
              <w:right w:val="single" w:sz="4" w:space="0" w:color="auto"/>
            </w:tcBorders>
            <w:hideMark/>
          </w:tcPr>
          <w:p w14:paraId="7C8CA362"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Charcoal</w:t>
            </w:r>
          </w:p>
        </w:tc>
        <w:tc>
          <w:tcPr>
            <w:tcW w:w="1276" w:type="dxa"/>
            <w:tcBorders>
              <w:top w:val="single" w:sz="4" w:space="0" w:color="auto"/>
              <w:left w:val="single" w:sz="4" w:space="0" w:color="auto"/>
              <w:bottom w:val="single" w:sz="4" w:space="0" w:color="auto"/>
              <w:right w:val="single" w:sz="4" w:space="0" w:color="auto"/>
            </w:tcBorders>
            <w:hideMark/>
          </w:tcPr>
          <w:p w14:paraId="3A64D186"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2,926±28</w:t>
            </w:r>
          </w:p>
        </w:tc>
        <w:tc>
          <w:tcPr>
            <w:tcW w:w="1134" w:type="dxa"/>
            <w:tcBorders>
              <w:top w:val="single" w:sz="4" w:space="0" w:color="auto"/>
              <w:left w:val="single" w:sz="4" w:space="0" w:color="auto"/>
              <w:bottom w:val="single" w:sz="4" w:space="0" w:color="auto"/>
              <w:right w:val="single" w:sz="4" w:space="0" w:color="auto"/>
            </w:tcBorders>
            <w:hideMark/>
          </w:tcPr>
          <w:p w14:paraId="48C6E350"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69.47±0.24</w:t>
            </w:r>
          </w:p>
        </w:tc>
        <w:tc>
          <w:tcPr>
            <w:tcW w:w="1985" w:type="dxa"/>
            <w:tcBorders>
              <w:top w:val="single" w:sz="4" w:space="0" w:color="auto"/>
              <w:left w:val="single" w:sz="4" w:space="0" w:color="auto"/>
              <w:bottom w:val="single" w:sz="4" w:space="0" w:color="auto"/>
              <w:right w:val="single" w:sz="4" w:space="0" w:color="auto"/>
            </w:tcBorders>
            <w:hideMark/>
          </w:tcPr>
          <w:p w14:paraId="110B418B"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3,167 - 2,966</w:t>
            </w:r>
          </w:p>
        </w:tc>
      </w:tr>
      <w:tr w:rsidR="00F272EB" w14:paraId="71D62163" w14:textId="77777777" w:rsidTr="00F272EB">
        <w:trPr>
          <w:trHeight w:val="221"/>
        </w:trPr>
        <w:tc>
          <w:tcPr>
            <w:tcW w:w="1413" w:type="dxa"/>
            <w:tcBorders>
              <w:top w:val="single" w:sz="4" w:space="0" w:color="auto"/>
              <w:left w:val="single" w:sz="4" w:space="0" w:color="auto"/>
              <w:bottom w:val="single" w:sz="4" w:space="0" w:color="auto"/>
              <w:right w:val="single" w:sz="4" w:space="0" w:color="auto"/>
            </w:tcBorders>
            <w:hideMark/>
          </w:tcPr>
          <w:p w14:paraId="1F2F024A"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 xml:space="preserve">DAMS043257 </w:t>
            </w:r>
          </w:p>
        </w:tc>
        <w:tc>
          <w:tcPr>
            <w:tcW w:w="1276" w:type="dxa"/>
            <w:tcBorders>
              <w:top w:val="single" w:sz="4" w:space="0" w:color="auto"/>
              <w:left w:val="single" w:sz="4" w:space="0" w:color="auto"/>
              <w:bottom w:val="single" w:sz="4" w:space="0" w:color="auto"/>
              <w:right w:val="single" w:sz="4" w:space="0" w:color="auto"/>
            </w:tcBorders>
            <w:hideMark/>
          </w:tcPr>
          <w:p w14:paraId="697787A7" w14:textId="77777777" w:rsidR="00F272EB" w:rsidRDefault="00F272EB">
            <w:pPr>
              <w:spacing w:line="240" w:lineRule="auto"/>
              <w:jc w:val="both"/>
              <w:rPr>
                <w:rFonts w:ascii="Times New Roman" w:hAnsi="Times New Roman" w:cs="Times New Roman"/>
                <w:sz w:val="20"/>
                <w:szCs w:val="20"/>
              </w:rPr>
            </w:pPr>
            <w:proofErr w:type="spellStart"/>
            <w:r>
              <w:rPr>
                <w:rFonts w:ascii="Times New Roman" w:hAnsi="Times New Roman" w:cs="Times New Roman"/>
                <w:sz w:val="20"/>
                <w:szCs w:val="20"/>
              </w:rPr>
              <w:t>DirectAMS</w:t>
            </w:r>
            <w:proofErr w:type="spellEnd"/>
          </w:p>
        </w:tc>
        <w:tc>
          <w:tcPr>
            <w:tcW w:w="1275" w:type="dxa"/>
            <w:tcBorders>
              <w:top w:val="single" w:sz="4" w:space="0" w:color="auto"/>
              <w:left w:val="single" w:sz="4" w:space="0" w:color="auto"/>
              <w:bottom w:val="single" w:sz="4" w:space="0" w:color="auto"/>
              <w:right w:val="single" w:sz="4" w:space="0" w:color="auto"/>
            </w:tcBorders>
            <w:hideMark/>
          </w:tcPr>
          <w:p w14:paraId="299C0968"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A/XU5#1</w:t>
            </w:r>
          </w:p>
        </w:tc>
        <w:tc>
          <w:tcPr>
            <w:tcW w:w="709" w:type="dxa"/>
            <w:tcBorders>
              <w:top w:val="single" w:sz="4" w:space="0" w:color="auto"/>
              <w:left w:val="single" w:sz="4" w:space="0" w:color="auto"/>
              <w:bottom w:val="single" w:sz="4" w:space="0" w:color="auto"/>
              <w:right w:val="single" w:sz="4" w:space="0" w:color="auto"/>
            </w:tcBorders>
            <w:hideMark/>
          </w:tcPr>
          <w:p w14:paraId="6221984C"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SU3</w:t>
            </w:r>
          </w:p>
        </w:tc>
        <w:tc>
          <w:tcPr>
            <w:tcW w:w="992" w:type="dxa"/>
            <w:tcBorders>
              <w:top w:val="single" w:sz="4" w:space="0" w:color="auto"/>
              <w:left w:val="single" w:sz="4" w:space="0" w:color="auto"/>
              <w:bottom w:val="single" w:sz="4" w:space="0" w:color="auto"/>
              <w:right w:val="single" w:sz="4" w:space="0" w:color="auto"/>
            </w:tcBorders>
            <w:hideMark/>
          </w:tcPr>
          <w:p w14:paraId="3DDC7A52"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Charcoal</w:t>
            </w:r>
          </w:p>
        </w:tc>
        <w:tc>
          <w:tcPr>
            <w:tcW w:w="1276" w:type="dxa"/>
            <w:tcBorders>
              <w:top w:val="single" w:sz="4" w:space="0" w:color="auto"/>
              <w:left w:val="single" w:sz="4" w:space="0" w:color="auto"/>
              <w:bottom w:val="single" w:sz="4" w:space="0" w:color="auto"/>
              <w:right w:val="single" w:sz="4" w:space="0" w:color="auto"/>
            </w:tcBorders>
            <w:hideMark/>
          </w:tcPr>
          <w:p w14:paraId="4E4D660B"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6,951±32</w:t>
            </w:r>
          </w:p>
        </w:tc>
        <w:tc>
          <w:tcPr>
            <w:tcW w:w="1134" w:type="dxa"/>
            <w:tcBorders>
              <w:top w:val="single" w:sz="4" w:space="0" w:color="auto"/>
              <w:left w:val="single" w:sz="4" w:space="0" w:color="auto"/>
              <w:bottom w:val="single" w:sz="4" w:space="0" w:color="auto"/>
              <w:right w:val="single" w:sz="4" w:space="0" w:color="auto"/>
            </w:tcBorders>
            <w:hideMark/>
          </w:tcPr>
          <w:p w14:paraId="0A508E10"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42.09±0.17</w:t>
            </w:r>
          </w:p>
        </w:tc>
        <w:tc>
          <w:tcPr>
            <w:tcW w:w="1985" w:type="dxa"/>
            <w:tcBorders>
              <w:top w:val="single" w:sz="4" w:space="0" w:color="auto"/>
              <w:left w:val="single" w:sz="4" w:space="0" w:color="auto"/>
              <w:bottom w:val="single" w:sz="4" w:space="0" w:color="auto"/>
              <w:right w:val="single" w:sz="4" w:space="0" w:color="auto"/>
            </w:tcBorders>
            <w:hideMark/>
          </w:tcPr>
          <w:p w14:paraId="4F66BC07"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7,917 - 7,902 (2.8%)</w:t>
            </w:r>
          </w:p>
          <w:p w14:paraId="33482592"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7,855 - 7,686 (92.7%)</w:t>
            </w:r>
          </w:p>
        </w:tc>
      </w:tr>
      <w:tr w:rsidR="00F272EB" w14:paraId="3A5C4AB8" w14:textId="77777777" w:rsidTr="00F272EB">
        <w:trPr>
          <w:trHeight w:val="221"/>
        </w:trPr>
        <w:tc>
          <w:tcPr>
            <w:tcW w:w="1413" w:type="dxa"/>
            <w:tcBorders>
              <w:top w:val="single" w:sz="4" w:space="0" w:color="auto"/>
              <w:left w:val="single" w:sz="4" w:space="0" w:color="auto"/>
              <w:bottom w:val="single" w:sz="4" w:space="0" w:color="auto"/>
              <w:right w:val="single" w:sz="4" w:space="0" w:color="auto"/>
            </w:tcBorders>
            <w:hideMark/>
          </w:tcPr>
          <w:p w14:paraId="3ECBBA84"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DAMS38331</w:t>
            </w:r>
          </w:p>
        </w:tc>
        <w:tc>
          <w:tcPr>
            <w:tcW w:w="1276" w:type="dxa"/>
            <w:tcBorders>
              <w:top w:val="single" w:sz="4" w:space="0" w:color="auto"/>
              <w:left w:val="single" w:sz="4" w:space="0" w:color="auto"/>
              <w:bottom w:val="single" w:sz="4" w:space="0" w:color="auto"/>
              <w:right w:val="single" w:sz="4" w:space="0" w:color="auto"/>
            </w:tcBorders>
            <w:hideMark/>
          </w:tcPr>
          <w:p w14:paraId="28BF34FE" w14:textId="77777777" w:rsidR="00F272EB" w:rsidRDefault="00F272EB">
            <w:pPr>
              <w:spacing w:line="240" w:lineRule="auto"/>
              <w:jc w:val="both"/>
              <w:rPr>
                <w:rFonts w:ascii="Times New Roman" w:hAnsi="Times New Roman" w:cs="Times New Roman"/>
                <w:sz w:val="20"/>
                <w:szCs w:val="20"/>
              </w:rPr>
            </w:pPr>
            <w:proofErr w:type="spellStart"/>
            <w:r>
              <w:rPr>
                <w:rFonts w:ascii="Times New Roman" w:hAnsi="Times New Roman" w:cs="Times New Roman"/>
                <w:sz w:val="20"/>
                <w:szCs w:val="20"/>
              </w:rPr>
              <w:t>DirectAMS</w:t>
            </w:r>
            <w:proofErr w:type="spellEnd"/>
          </w:p>
        </w:tc>
        <w:tc>
          <w:tcPr>
            <w:tcW w:w="1275" w:type="dxa"/>
            <w:tcBorders>
              <w:top w:val="single" w:sz="4" w:space="0" w:color="auto"/>
              <w:left w:val="single" w:sz="4" w:space="0" w:color="auto"/>
              <w:bottom w:val="single" w:sz="4" w:space="0" w:color="auto"/>
              <w:right w:val="single" w:sz="4" w:space="0" w:color="auto"/>
            </w:tcBorders>
            <w:hideMark/>
          </w:tcPr>
          <w:p w14:paraId="4A60C259"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A/XU11#1</w:t>
            </w:r>
          </w:p>
        </w:tc>
        <w:tc>
          <w:tcPr>
            <w:tcW w:w="709" w:type="dxa"/>
            <w:tcBorders>
              <w:top w:val="single" w:sz="4" w:space="0" w:color="auto"/>
              <w:left w:val="single" w:sz="4" w:space="0" w:color="auto"/>
              <w:bottom w:val="single" w:sz="4" w:space="0" w:color="auto"/>
              <w:right w:val="single" w:sz="4" w:space="0" w:color="auto"/>
            </w:tcBorders>
            <w:hideMark/>
          </w:tcPr>
          <w:p w14:paraId="7D0CB482"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SU5</w:t>
            </w:r>
          </w:p>
        </w:tc>
        <w:tc>
          <w:tcPr>
            <w:tcW w:w="992" w:type="dxa"/>
            <w:tcBorders>
              <w:top w:val="single" w:sz="4" w:space="0" w:color="auto"/>
              <w:left w:val="single" w:sz="4" w:space="0" w:color="auto"/>
              <w:bottom w:val="single" w:sz="4" w:space="0" w:color="auto"/>
              <w:right w:val="single" w:sz="4" w:space="0" w:color="auto"/>
            </w:tcBorders>
            <w:hideMark/>
          </w:tcPr>
          <w:p w14:paraId="6B75D9CF"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Charcoal</w:t>
            </w:r>
          </w:p>
        </w:tc>
        <w:tc>
          <w:tcPr>
            <w:tcW w:w="1276" w:type="dxa"/>
            <w:tcBorders>
              <w:top w:val="single" w:sz="4" w:space="0" w:color="auto"/>
              <w:left w:val="single" w:sz="4" w:space="0" w:color="auto"/>
              <w:bottom w:val="single" w:sz="4" w:space="0" w:color="auto"/>
              <w:right w:val="single" w:sz="4" w:space="0" w:color="auto"/>
            </w:tcBorders>
            <w:hideMark/>
          </w:tcPr>
          <w:p w14:paraId="2331BA56"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13,775±49</w:t>
            </w:r>
          </w:p>
        </w:tc>
        <w:tc>
          <w:tcPr>
            <w:tcW w:w="1134" w:type="dxa"/>
            <w:tcBorders>
              <w:top w:val="single" w:sz="4" w:space="0" w:color="auto"/>
              <w:left w:val="single" w:sz="4" w:space="0" w:color="auto"/>
              <w:bottom w:val="single" w:sz="4" w:space="0" w:color="auto"/>
              <w:right w:val="single" w:sz="4" w:space="0" w:color="auto"/>
            </w:tcBorders>
            <w:hideMark/>
          </w:tcPr>
          <w:p w14:paraId="45C62A84"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18±0.11</w:t>
            </w:r>
          </w:p>
        </w:tc>
        <w:tc>
          <w:tcPr>
            <w:tcW w:w="1985" w:type="dxa"/>
            <w:tcBorders>
              <w:top w:val="single" w:sz="4" w:space="0" w:color="auto"/>
              <w:left w:val="single" w:sz="4" w:space="0" w:color="auto"/>
              <w:bottom w:val="single" w:sz="4" w:space="0" w:color="auto"/>
              <w:right w:val="single" w:sz="4" w:space="0" w:color="auto"/>
            </w:tcBorders>
            <w:hideMark/>
          </w:tcPr>
          <w:p w14:paraId="5E59E969"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16,940 - 16,505</w:t>
            </w:r>
          </w:p>
        </w:tc>
      </w:tr>
      <w:tr w:rsidR="00F272EB" w14:paraId="0EF399C9" w14:textId="77777777" w:rsidTr="00F272EB">
        <w:trPr>
          <w:trHeight w:val="221"/>
        </w:trPr>
        <w:tc>
          <w:tcPr>
            <w:tcW w:w="1413" w:type="dxa"/>
            <w:tcBorders>
              <w:top w:val="single" w:sz="4" w:space="0" w:color="auto"/>
              <w:left w:val="single" w:sz="4" w:space="0" w:color="auto"/>
              <w:bottom w:val="single" w:sz="4" w:space="0" w:color="auto"/>
              <w:right w:val="single" w:sz="4" w:space="0" w:color="auto"/>
            </w:tcBorders>
            <w:hideMark/>
          </w:tcPr>
          <w:p w14:paraId="01AB4C10"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DAMS38334</w:t>
            </w:r>
          </w:p>
        </w:tc>
        <w:tc>
          <w:tcPr>
            <w:tcW w:w="1276" w:type="dxa"/>
            <w:tcBorders>
              <w:top w:val="single" w:sz="4" w:space="0" w:color="auto"/>
              <w:left w:val="single" w:sz="4" w:space="0" w:color="auto"/>
              <w:bottom w:val="single" w:sz="4" w:space="0" w:color="auto"/>
              <w:right w:val="single" w:sz="4" w:space="0" w:color="auto"/>
            </w:tcBorders>
            <w:hideMark/>
          </w:tcPr>
          <w:p w14:paraId="2391C5C6" w14:textId="77777777" w:rsidR="00F272EB" w:rsidRDefault="00F272EB">
            <w:pPr>
              <w:spacing w:line="240" w:lineRule="auto"/>
              <w:jc w:val="both"/>
              <w:rPr>
                <w:rFonts w:ascii="Times New Roman" w:hAnsi="Times New Roman" w:cs="Times New Roman"/>
                <w:sz w:val="20"/>
                <w:szCs w:val="20"/>
              </w:rPr>
            </w:pPr>
            <w:proofErr w:type="spellStart"/>
            <w:r>
              <w:rPr>
                <w:rFonts w:ascii="Times New Roman" w:hAnsi="Times New Roman" w:cs="Times New Roman"/>
                <w:sz w:val="20"/>
                <w:szCs w:val="20"/>
              </w:rPr>
              <w:t>DirectAMS</w:t>
            </w:r>
            <w:proofErr w:type="spellEnd"/>
          </w:p>
        </w:tc>
        <w:tc>
          <w:tcPr>
            <w:tcW w:w="1275" w:type="dxa"/>
            <w:tcBorders>
              <w:top w:val="single" w:sz="4" w:space="0" w:color="auto"/>
              <w:left w:val="single" w:sz="4" w:space="0" w:color="auto"/>
              <w:bottom w:val="single" w:sz="4" w:space="0" w:color="auto"/>
              <w:right w:val="single" w:sz="4" w:space="0" w:color="auto"/>
            </w:tcBorders>
            <w:hideMark/>
          </w:tcPr>
          <w:p w14:paraId="2A5D0D1B"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D/XU12#1</w:t>
            </w:r>
          </w:p>
        </w:tc>
        <w:tc>
          <w:tcPr>
            <w:tcW w:w="709" w:type="dxa"/>
            <w:tcBorders>
              <w:top w:val="single" w:sz="4" w:space="0" w:color="auto"/>
              <w:left w:val="single" w:sz="4" w:space="0" w:color="auto"/>
              <w:bottom w:val="single" w:sz="4" w:space="0" w:color="auto"/>
              <w:right w:val="single" w:sz="4" w:space="0" w:color="auto"/>
            </w:tcBorders>
            <w:hideMark/>
          </w:tcPr>
          <w:p w14:paraId="4ECC9CEC"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SU6</w:t>
            </w:r>
          </w:p>
        </w:tc>
        <w:tc>
          <w:tcPr>
            <w:tcW w:w="992" w:type="dxa"/>
            <w:tcBorders>
              <w:top w:val="single" w:sz="4" w:space="0" w:color="auto"/>
              <w:left w:val="single" w:sz="4" w:space="0" w:color="auto"/>
              <w:bottom w:val="single" w:sz="4" w:space="0" w:color="auto"/>
              <w:right w:val="single" w:sz="4" w:space="0" w:color="auto"/>
            </w:tcBorders>
            <w:hideMark/>
          </w:tcPr>
          <w:p w14:paraId="1AACFAF4"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Charcoal</w:t>
            </w:r>
          </w:p>
        </w:tc>
        <w:tc>
          <w:tcPr>
            <w:tcW w:w="1276" w:type="dxa"/>
            <w:tcBorders>
              <w:top w:val="single" w:sz="4" w:space="0" w:color="auto"/>
              <w:left w:val="single" w:sz="4" w:space="0" w:color="auto"/>
              <w:bottom w:val="single" w:sz="4" w:space="0" w:color="auto"/>
              <w:right w:val="single" w:sz="4" w:space="0" w:color="auto"/>
            </w:tcBorders>
            <w:hideMark/>
          </w:tcPr>
          <w:p w14:paraId="792427B9"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13,797±49</w:t>
            </w:r>
          </w:p>
        </w:tc>
        <w:tc>
          <w:tcPr>
            <w:tcW w:w="1134" w:type="dxa"/>
            <w:tcBorders>
              <w:top w:val="single" w:sz="4" w:space="0" w:color="auto"/>
              <w:left w:val="single" w:sz="4" w:space="0" w:color="auto"/>
              <w:bottom w:val="single" w:sz="4" w:space="0" w:color="auto"/>
              <w:right w:val="single" w:sz="4" w:space="0" w:color="auto"/>
            </w:tcBorders>
            <w:hideMark/>
          </w:tcPr>
          <w:p w14:paraId="7B14D02D"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17.95±0.11</w:t>
            </w:r>
          </w:p>
        </w:tc>
        <w:tc>
          <w:tcPr>
            <w:tcW w:w="1985" w:type="dxa"/>
            <w:tcBorders>
              <w:top w:val="single" w:sz="4" w:space="0" w:color="auto"/>
              <w:left w:val="single" w:sz="4" w:space="0" w:color="auto"/>
              <w:bottom w:val="single" w:sz="4" w:space="0" w:color="auto"/>
              <w:right w:val="single" w:sz="4" w:space="0" w:color="auto"/>
            </w:tcBorders>
            <w:hideMark/>
          </w:tcPr>
          <w:p w14:paraId="688344CF"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16,961 - 16,546</w:t>
            </w:r>
          </w:p>
        </w:tc>
      </w:tr>
      <w:tr w:rsidR="00F272EB" w14:paraId="28B0FC79" w14:textId="77777777" w:rsidTr="00F272EB">
        <w:trPr>
          <w:trHeight w:val="221"/>
        </w:trPr>
        <w:tc>
          <w:tcPr>
            <w:tcW w:w="1413" w:type="dxa"/>
            <w:tcBorders>
              <w:top w:val="single" w:sz="4" w:space="0" w:color="auto"/>
              <w:left w:val="single" w:sz="4" w:space="0" w:color="auto"/>
              <w:bottom w:val="single" w:sz="4" w:space="0" w:color="auto"/>
              <w:right w:val="single" w:sz="4" w:space="0" w:color="auto"/>
            </w:tcBorders>
            <w:hideMark/>
          </w:tcPr>
          <w:p w14:paraId="325F6CAB"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DAMS38336</w:t>
            </w:r>
          </w:p>
        </w:tc>
        <w:tc>
          <w:tcPr>
            <w:tcW w:w="1276" w:type="dxa"/>
            <w:tcBorders>
              <w:top w:val="single" w:sz="4" w:space="0" w:color="auto"/>
              <w:left w:val="single" w:sz="4" w:space="0" w:color="auto"/>
              <w:bottom w:val="single" w:sz="4" w:space="0" w:color="auto"/>
              <w:right w:val="single" w:sz="4" w:space="0" w:color="auto"/>
            </w:tcBorders>
            <w:hideMark/>
          </w:tcPr>
          <w:p w14:paraId="11D89BE3" w14:textId="77777777" w:rsidR="00F272EB" w:rsidRDefault="00F272EB">
            <w:pPr>
              <w:spacing w:line="240" w:lineRule="auto"/>
              <w:jc w:val="both"/>
              <w:rPr>
                <w:rFonts w:ascii="Times New Roman" w:hAnsi="Times New Roman" w:cs="Times New Roman"/>
                <w:sz w:val="20"/>
                <w:szCs w:val="20"/>
              </w:rPr>
            </w:pPr>
            <w:proofErr w:type="spellStart"/>
            <w:r>
              <w:rPr>
                <w:rFonts w:ascii="Times New Roman" w:hAnsi="Times New Roman" w:cs="Times New Roman"/>
                <w:sz w:val="20"/>
                <w:szCs w:val="20"/>
              </w:rPr>
              <w:t>DirectAMS</w:t>
            </w:r>
            <w:proofErr w:type="spellEnd"/>
          </w:p>
        </w:tc>
        <w:tc>
          <w:tcPr>
            <w:tcW w:w="1275" w:type="dxa"/>
            <w:tcBorders>
              <w:top w:val="single" w:sz="4" w:space="0" w:color="auto"/>
              <w:left w:val="single" w:sz="4" w:space="0" w:color="auto"/>
              <w:bottom w:val="single" w:sz="4" w:space="0" w:color="auto"/>
              <w:right w:val="single" w:sz="4" w:space="0" w:color="auto"/>
            </w:tcBorders>
            <w:hideMark/>
          </w:tcPr>
          <w:p w14:paraId="3DE11D0B"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D/XU18#1</w:t>
            </w:r>
          </w:p>
        </w:tc>
        <w:tc>
          <w:tcPr>
            <w:tcW w:w="709" w:type="dxa"/>
            <w:tcBorders>
              <w:top w:val="single" w:sz="4" w:space="0" w:color="auto"/>
              <w:left w:val="single" w:sz="4" w:space="0" w:color="auto"/>
              <w:bottom w:val="single" w:sz="4" w:space="0" w:color="auto"/>
              <w:right w:val="single" w:sz="4" w:space="0" w:color="auto"/>
            </w:tcBorders>
            <w:hideMark/>
          </w:tcPr>
          <w:p w14:paraId="00241713"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SU7</w:t>
            </w:r>
          </w:p>
        </w:tc>
        <w:tc>
          <w:tcPr>
            <w:tcW w:w="992" w:type="dxa"/>
            <w:tcBorders>
              <w:top w:val="single" w:sz="4" w:space="0" w:color="auto"/>
              <w:left w:val="single" w:sz="4" w:space="0" w:color="auto"/>
              <w:bottom w:val="single" w:sz="4" w:space="0" w:color="auto"/>
              <w:right w:val="single" w:sz="4" w:space="0" w:color="auto"/>
            </w:tcBorders>
            <w:hideMark/>
          </w:tcPr>
          <w:p w14:paraId="0395F2D9"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Charcoal</w:t>
            </w:r>
          </w:p>
        </w:tc>
        <w:tc>
          <w:tcPr>
            <w:tcW w:w="1276" w:type="dxa"/>
            <w:tcBorders>
              <w:top w:val="single" w:sz="4" w:space="0" w:color="auto"/>
              <w:left w:val="single" w:sz="4" w:space="0" w:color="auto"/>
              <w:bottom w:val="single" w:sz="4" w:space="0" w:color="auto"/>
              <w:right w:val="single" w:sz="4" w:space="0" w:color="auto"/>
            </w:tcBorders>
            <w:hideMark/>
          </w:tcPr>
          <w:p w14:paraId="2A921220"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23,406±104</w:t>
            </w:r>
          </w:p>
        </w:tc>
        <w:tc>
          <w:tcPr>
            <w:tcW w:w="1134" w:type="dxa"/>
            <w:tcBorders>
              <w:top w:val="single" w:sz="4" w:space="0" w:color="auto"/>
              <w:left w:val="single" w:sz="4" w:space="0" w:color="auto"/>
              <w:bottom w:val="single" w:sz="4" w:space="0" w:color="auto"/>
              <w:right w:val="single" w:sz="4" w:space="0" w:color="auto"/>
            </w:tcBorders>
            <w:hideMark/>
          </w:tcPr>
          <w:p w14:paraId="40CE2CAE"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5.43±0.07</w:t>
            </w:r>
          </w:p>
        </w:tc>
        <w:tc>
          <w:tcPr>
            <w:tcW w:w="1985" w:type="dxa"/>
            <w:tcBorders>
              <w:top w:val="single" w:sz="4" w:space="0" w:color="auto"/>
              <w:left w:val="single" w:sz="4" w:space="0" w:color="auto"/>
              <w:bottom w:val="single" w:sz="4" w:space="0" w:color="auto"/>
              <w:right w:val="single" w:sz="4" w:space="0" w:color="auto"/>
            </w:tcBorders>
            <w:hideMark/>
          </w:tcPr>
          <w:p w14:paraId="4094D4B5"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27,785 - 27,360</w:t>
            </w:r>
          </w:p>
        </w:tc>
      </w:tr>
      <w:tr w:rsidR="00F272EB" w14:paraId="78C36CC3" w14:textId="77777777" w:rsidTr="00F272EB">
        <w:trPr>
          <w:trHeight w:val="221"/>
        </w:trPr>
        <w:tc>
          <w:tcPr>
            <w:tcW w:w="1413" w:type="dxa"/>
            <w:tcBorders>
              <w:top w:val="single" w:sz="4" w:space="0" w:color="auto"/>
              <w:left w:val="single" w:sz="4" w:space="0" w:color="auto"/>
              <w:bottom w:val="single" w:sz="4" w:space="0" w:color="auto"/>
              <w:right w:val="single" w:sz="4" w:space="0" w:color="auto"/>
            </w:tcBorders>
            <w:hideMark/>
          </w:tcPr>
          <w:p w14:paraId="28D263D5"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DAMS38332</w:t>
            </w:r>
          </w:p>
        </w:tc>
        <w:tc>
          <w:tcPr>
            <w:tcW w:w="1276" w:type="dxa"/>
            <w:tcBorders>
              <w:top w:val="single" w:sz="4" w:space="0" w:color="auto"/>
              <w:left w:val="single" w:sz="4" w:space="0" w:color="auto"/>
              <w:bottom w:val="single" w:sz="4" w:space="0" w:color="auto"/>
              <w:right w:val="single" w:sz="4" w:space="0" w:color="auto"/>
            </w:tcBorders>
            <w:hideMark/>
          </w:tcPr>
          <w:p w14:paraId="2A4CACDC" w14:textId="77777777" w:rsidR="00F272EB" w:rsidRDefault="00F272EB">
            <w:pPr>
              <w:spacing w:line="240" w:lineRule="auto"/>
              <w:jc w:val="both"/>
              <w:rPr>
                <w:rFonts w:ascii="Times New Roman" w:hAnsi="Times New Roman" w:cs="Times New Roman"/>
                <w:sz w:val="20"/>
                <w:szCs w:val="20"/>
              </w:rPr>
            </w:pPr>
            <w:proofErr w:type="spellStart"/>
            <w:r>
              <w:rPr>
                <w:rFonts w:ascii="Times New Roman" w:hAnsi="Times New Roman" w:cs="Times New Roman"/>
                <w:sz w:val="20"/>
                <w:szCs w:val="20"/>
              </w:rPr>
              <w:t>DirectAMS</w:t>
            </w:r>
            <w:proofErr w:type="spellEnd"/>
          </w:p>
        </w:tc>
        <w:tc>
          <w:tcPr>
            <w:tcW w:w="1275" w:type="dxa"/>
            <w:tcBorders>
              <w:top w:val="single" w:sz="4" w:space="0" w:color="auto"/>
              <w:left w:val="single" w:sz="4" w:space="0" w:color="auto"/>
              <w:bottom w:val="single" w:sz="4" w:space="0" w:color="auto"/>
              <w:right w:val="single" w:sz="4" w:space="0" w:color="auto"/>
            </w:tcBorders>
            <w:hideMark/>
          </w:tcPr>
          <w:p w14:paraId="5A903C87"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A/XU20#1</w:t>
            </w:r>
          </w:p>
        </w:tc>
        <w:tc>
          <w:tcPr>
            <w:tcW w:w="709" w:type="dxa"/>
            <w:tcBorders>
              <w:top w:val="single" w:sz="4" w:space="0" w:color="auto"/>
              <w:left w:val="single" w:sz="4" w:space="0" w:color="auto"/>
              <w:bottom w:val="single" w:sz="4" w:space="0" w:color="auto"/>
              <w:right w:val="single" w:sz="4" w:space="0" w:color="auto"/>
            </w:tcBorders>
            <w:hideMark/>
          </w:tcPr>
          <w:p w14:paraId="6A6EE141"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SU7</w:t>
            </w:r>
          </w:p>
        </w:tc>
        <w:tc>
          <w:tcPr>
            <w:tcW w:w="992" w:type="dxa"/>
            <w:tcBorders>
              <w:top w:val="single" w:sz="4" w:space="0" w:color="auto"/>
              <w:left w:val="single" w:sz="4" w:space="0" w:color="auto"/>
              <w:bottom w:val="single" w:sz="4" w:space="0" w:color="auto"/>
              <w:right w:val="single" w:sz="4" w:space="0" w:color="auto"/>
            </w:tcBorders>
            <w:hideMark/>
          </w:tcPr>
          <w:p w14:paraId="3AC46F21"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Charcoal</w:t>
            </w:r>
          </w:p>
        </w:tc>
        <w:tc>
          <w:tcPr>
            <w:tcW w:w="1276" w:type="dxa"/>
            <w:tcBorders>
              <w:top w:val="single" w:sz="4" w:space="0" w:color="auto"/>
              <w:left w:val="single" w:sz="4" w:space="0" w:color="auto"/>
              <w:bottom w:val="single" w:sz="4" w:space="0" w:color="auto"/>
              <w:right w:val="single" w:sz="4" w:space="0" w:color="auto"/>
            </w:tcBorders>
            <w:hideMark/>
          </w:tcPr>
          <w:p w14:paraId="1CE809C6"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26,633±113</w:t>
            </w:r>
          </w:p>
        </w:tc>
        <w:tc>
          <w:tcPr>
            <w:tcW w:w="1134" w:type="dxa"/>
            <w:tcBorders>
              <w:top w:val="single" w:sz="4" w:space="0" w:color="auto"/>
              <w:left w:val="single" w:sz="4" w:space="0" w:color="auto"/>
              <w:bottom w:val="single" w:sz="4" w:space="0" w:color="auto"/>
              <w:right w:val="single" w:sz="4" w:space="0" w:color="auto"/>
            </w:tcBorders>
            <w:hideMark/>
          </w:tcPr>
          <w:p w14:paraId="0CCBC108"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3.62±0.051</w:t>
            </w:r>
          </w:p>
        </w:tc>
        <w:tc>
          <w:tcPr>
            <w:tcW w:w="1985" w:type="dxa"/>
            <w:tcBorders>
              <w:top w:val="single" w:sz="4" w:space="0" w:color="auto"/>
              <w:left w:val="single" w:sz="4" w:space="0" w:color="auto"/>
              <w:bottom w:val="single" w:sz="4" w:space="0" w:color="auto"/>
              <w:right w:val="single" w:sz="4" w:space="0" w:color="auto"/>
            </w:tcBorders>
            <w:hideMark/>
          </w:tcPr>
          <w:p w14:paraId="7FB90A0C"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31,133 - 30,437</w:t>
            </w:r>
          </w:p>
        </w:tc>
      </w:tr>
      <w:tr w:rsidR="00F272EB" w14:paraId="6D46F874" w14:textId="77777777" w:rsidTr="00F272EB">
        <w:trPr>
          <w:trHeight w:val="221"/>
        </w:trPr>
        <w:tc>
          <w:tcPr>
            <w:tcW w:w="1413" w:type="dxa"/>
            <w:tcBorders>
              <w:top w:val="single" w:sz="4" w:space="0" w:color="auto"/>
              <w:left w:val="single" w:sz="4" w:space="0" w:color="auto"/>
              <w:bottom w:val="single" w:sz="4" w:space="0" w:color="auto"/>
              <w:right w:val="single" w:sz="4" w:space="0" w:color="auto"/>
            </w:tcBorders>
            <w:hideMark/>
          </w:tcPr>
          <w:p w14:paraId="7C305F29"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DAMS38337</w:t>
            </w:r>
          </w:p>
        </w:tc>
        <w:tc>
          <w:tcPr>
            <w:tcW w:w="1276" w:type="dxa"/>
            <w:tcBorders>
              <w:top w:val="single" w:sz="4" w:space="0" w:color="auto"/>
              <w:left w:val="single" w:sz="4" w:space="0" w:color="auto"/>
              <w:bottom w:val="single" w:sz="4" w:space="0" w:color="auto"/>
              <w:right w:val="single" w:sz="4" w:space="0" w:color="auto"/>
            </w:tcBorders>
            <w:hideMark/>
          </w:tcPr>
          <w:p w14:paraId="66BF9E81" w14:textId="77777777" w:rsidR="00F272EB" w:rsidRDefault="00F272EB">
            <w:pPr>
              <w:spacing w:line="240" w:lineRule="auto"/>
              <w:jc w:val="both"/>
              <w:rPr>
                <w:rFonts w:ascii="Times New Roman" w:hAnsi="Times New Roman" w:cs="Times New Roman"/>
                <w:sz w:val="20"/>
                <w:szCs w:val="20"/>
              </w:rPr>
            </w:pPr>
            <w:proofErr w:type="spellStart"/>
            <w:r>
              <w:rPr>
                <w:rFonts w:ascii="Times New Roman" w:hAnsi="Times New Roman" w:cs="Times New Roman"/>
                <w:sz w:val="20"/>
                <w:szCs w:val="20"/>
              </w:rPr>
              <w:t>DirectAMS</w:t>
            </w:r>
            <w:proofErr w:type="spellEnd"/>
          </w:p>
        </w:tc>
        <w:tc>
          <w:tcPr>
            <w:tcW w:w="1275" w:type="dxa"/>
            <w:tcBorders>
              <w:top w:val="single" w:sz="4" w:space="0" w:color="auto"/>
              <w:left w:val="single" w:sz="4" w:space="0" w:color="auto"/>
              <w:bottom w:val="single" w:sz="4" w:space="0" w:color="auto"/>
              <w:right w:val="single" w:sz="4" w:space="0" w:color="auto"/>
            </w:tcBorders>
            <w:hideMark/>
          </w:tcPr>
          <w:p w14:paraId="6030A962"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D/XU19BF1</w:t>
            </w:r>
          </w:p>
        </w:tc>
        <w:tc>
          <w:tcPr>
            <w:tcW w:w="709" w:type="dxa"/>
            <w:tcBorders>
              <w:top w:val="single" w:sz="4" w:space="0" w:color="auto"/>
              <w:left w:val="single" w:sz="4" w:space="0" w:color="auto"/>
              <w:bottom w:val="single" w:sz="4" w:space="0" w:color="auto"/>
              <w:right w:val="single" w:sz="4" w:space="0" w:color="auto"/>
            </w:tcBorders>
            <w:hideMark/>
          </w:tcPr>
          <w:p w14:paraId="45DEEB5E"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19BF</w:t>
            </w:r>
          </w:p>
        </w:tc>
        <w:tc>
          <w:tcPr>
            <w:tcW w:w="992" w:type="dxa"/>
            <w:tcBorders>
              <w:top w:val="single" w:sz="4" w:space="0" w:color="auto"/>
              <w:left w:val="single" w:sz="4" w:space="0" w:color="auto"/>
              <w:bottom w:val="single" w:sz="4" w:space="0" w:color="auto"/>
              <w:right w:val="single" w:sz="4" w:space="0" w:color="auto"/>
            </w:tcBorders>
            <w:hideMark/>
          </w:tcPr>
          <w:p w14:paraId="13F85C07"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Charcoal</w:t>
            </w:r>
          </w:p>
        </w:tc>
        <w:tc>
          <w:tcPr>
            <w:tcW w:w="1276" w:type="dxa"/>
            <w:tcBorders>
              <w:top w:val="single" w:sz="4" w:space="0" w:color="auto"/>
              <w:left w:val="single" w:sz="4" w:space="0" w:color="auto"/>
              <w:bottom w:val="single" w:sz="4" w:space="0" w:color="auto"/>
              <w:right w:val="single" w:sz="4" w:space="0" w:color="auto"/>
            </w:tcBorders>
            <w:hideMark/>
          </w:tcPr>
          <w:p w14:paraId="39EF3B14"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26,591±110</w:t>
            </w:r>
          </w:p>
        </w:tc>
        <w:tc>
          <w:tcPr>
            <w:tcW w:w="1134" w:type="dxa"/>
            <w:tcBorders>
              <w:top w:val="single" w:sz="4" w:space="0" w:color="auto"/>
              <w:left w:val="single" w:sz="4" w:space="0" w:color="auto"/>
              <w:bottom w:val="single" w:sz="4" w:space="0" w:color="auto"/>
              <w:right w:val="single" w:sz="4" w:space="0" w:color="auto"/>
            </w:tcBorders>
            <w:hideMark/>
          </w:tcPr>
          <w:p w14:paraId="29BA537F"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3.65±0.05</w:t>
            </w:r>
          </w:p>
        </w:tc>
        <w:tc>
          <w:tcPr>
            <w:tcW w:w="1985" w:type="dxa"/>
            <w:tcBorders>
              <w:top w:val="single" w:sz="4" w:space="0" w:color="auto"/>
              <w:left w:val="single" w:sz="4" w:space="0" w:color="auto"/>
              <w:bottom w:val="single" w:sz="4" w:space="0" w:color="auto"/>
              <w:right w:val="single" w:sz="4" w:space="0" w:color="auto"/>
            </w:tcBorders>
            <w:hideMark/>
          </w:tcPr>
          <w:p w14:paraId="6C21F1D2"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31,110 - 30,437</w:t>
            </w:r>
          </w:p>
        </w:tc>
      </w:tr>
      <w:tr w:rsidR="00F272EB" w14:paraId="22006B33" w14:textId="77777777" w:rsidTr="00F272EB">
        <w:trPr>
          <w:trHeight w:val="203"/>
        </w:trPr>
        <w:tc>
          <w:tcPr>
            <w:tcW w:w="1413" w:type="dxa"/>
            <w:tcBorders>
              <w:top w:val="single" w:sz="4" w:space="0" w:color="auto"/>
              <w:left w:val="single" w:sz="4" w:space="0" w:color="auto"/>
              <w:bottom w:val="single" w:sz="4" w:space="0" w:color="auto"/>
              <w:right w:val="single" w:sz="4" w:space="0" w:color="auto"/>
            </w:tcBorders>
            <w:hideMark/>
          </w:tcPr>
          <w:p w14:paraId="56B65B06"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DAMS38338</w:t>
            </w:r>
          </w:p>
        </w:tc>
        <w:tc>
          <w:tcPr>
            <w:tcW w:w="1276" w:type="dxa"/>
            <w:tcBorders>
              <w:top w:val="single" w:sz="4" w:space="0" w:color="auto"/>
              <w:left w:val="single" w:sz="4" w:space="0" w:color="auto"/>
              <w:bottom w:val="single" w:sz="4" w:space="0" w:color="auto"/>
              <w:right w:val="single" w:sz="4" w:space="0" w:color="auto"/>
            </w:tcBorders>
            <w:hideMark/>
          </w:tcPr>
          <w:p w14:paraId="2CCEC9C6" w14:textId="77777777" w:rsidR="00F272EB" w:rsidRDefault="00F272EB">
            <w:pPr>
              <w:spacing w:line="240" w:lineRule="auto"/>
              <w:jc w:val="both"/>
              <w:rPr>
                <w:rFonts w:ascii="Times New Roman" w:hAnsi="Times New Roman" w:cs="Times New Roman"/>
                <w:sz w:val="20"/>
                <w:szCs w:val="20"/>
              </w:rPr>
            </w:pPr>
            <w:proofErr w:type="spellStart"/>
            <w:r>
              <w:rPr>
                <w:rFonts w:ascii="Times New Roman" w:hAnsi="Times New Roman" w:cs="Times New Roman"/>
                <w:sz w:val="20"/>
                <w:szCs w:val="20"/>
              </w:rPr>
              <w:t>DirectAMS</w:t>
            </w:r>
            <w:proofErr w:type="spellEnd"/>
          </w:p>
        </w:tc>
        <w:tc>
          <w:tcPr>
            <w:tcW w:w="1275" w:type="dxa"/>
            <w:tcBorders>
              <w:top w:val="single" w:sz="4" w:space="0" w:color="auto"/>
              <w:left w:val="single" w:sz="4" w:space="0" w:color="auto"/>
              <w:bottom w:val="single" w:sz="4" w:space="0" w:color="auto"/>
              <w:right w:val="single" w:sz="4" w:space="0" w:color="auto"/>
            </w:tcBorders>
            <w:hideMark/>
          </w:tcPr>
          <w:p w14:paraId="141F8D8B"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C/XU19#1</w:t>
            </w:r>
          </w:p>
        </w:tc>
        <w:tc>
          <w:tcPr>
            <w:tcW w:w="709" w:type="dxa"/>
            <w:tcBorders>
              <w:top w:val="single" w:sz="4" w:space="0" w:color="auto"/>
              <w:left w:val="single" w:sz="4" w:space="0" w:color="auto"/>
              <w:bottom w:val="single" w:sz="4" w:space="0" w:color="auto"/>
              <w:right w:val="single" w:sz="4" w:space="0" w:color="auto"/>
            </w:tcBorders>
            <w:hideMark/>
          </w:tcPr>
          <w:p w14:paraId="1985D475"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SU9</w:t>
            </w:r>
          </w:p>
        </w:tc>
        <w:tc>
          <w:tcPr>
            <w:tcW w:w="992" w:type="dxa"/>
            <w:tcBorders>
              <w:top w:val="single" w:sz="4" w:space="0" w:color="auto"/>
              <w:left w:val="single" w:sz="4" w:space="0" w:color="auto"/>
              <w:bottom w:val="single" w:sz="4" w:space="0" w:color="auto"/>
              <w:right w:val="single" w:sz="4" w:space="0" w:color="auto"/>
            </w:tcBorders>
            <w:hideMark/>
          </w:tcPr>
          <w:p w14:paraId="3E344081"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Charcoal</w:t>
            </w:r>
          </w:p>
        </w:tc>
        <w:tc>
          <w:tcPr>
            <w:tcW w:w="1276" w:type="dxa"/>
            <w:tcBorders>
              <w:top w:val="single" w:sz="4" w:space="0" w:color="auto"/>
              <w:left w:val="single" w:sz="4" w:space="0" w:color="auto"/>
              <w:bottom w:val="single" w:sz="4" w:space="0" w:color="auto"/>
              <w:right w:val="single" w:sz="4" w:space="0" w:color="auto"/>
            </w:tcBorders>
            <w:hideMark/>
          </w:tcPr>
          <w:p w14:paraId="759B70F2"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27,163±135</w:t>
            </w:r>
          </w:p>
        </w:tc>
        <w:tc>
          <w:tcPr>
            <w:tcW w:w="1134" w:type="dxa"/>
            <w:tcBorders>
              <w:top w:val="single" w:sz="4" w:space="0" w:color="auto"/>
              <w:left w:val="single" w:sz="4" w:space="0" w:color="auto"/>
              <w:bottom w:val="single" w:sz="4" w:space="0" w:color="auto"/>
              <w:right w:val="single" w:sz="4" w:space="0" w:color="auto"/>
            </w:tcBorders>
            <w:hideMark/>
          </w:tcPr>
          <w:p w14:paraId="6748FD2E"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3.4±0.057</w:t>
            </w:r>
          </w:p>
        </w:tc>
        <w:tc>
          <w:tcPr>
            <w:tcW w:w="1985" w:type="dxa"/>
            <w:tcBorders>
              <w:top w:val="single" w:sz="4" w:space="0" w:color="auto"/>
              <w:left w:val="single" w:sz="4" w:space="0" w:color="auto"/>
              <w:bottom w:val="single" w:sz="4" w:space="0" w:color="auto"/>
              <w:right w:val="single" w:sz="4" w:space="0" w:color="auto"/>
            </w:tcBorders>
            <w:hideMark/>
          </w:tcPr>
          <w:p w14:paraId="7625C4EB"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31,519 - 31,054</w:t>
            </w:r>
          </w:p>
        </w:tc>
      </w:tr>
    </w:tbl>
    <w:p w14:paraId="051D58E0" w14:textId="77777777" w:rsidR="00F272EB" w:rsidRDefault="00F272EB" w:rsidP="00F272EB">
      <w:pPr>
        <w:spacing w:after="0" w:line="360" w:lineRule="auto"/>
        <w:jc w:val="both"/>
        <w:rPr>
          <w:rFonts w:ascii="Times New Roman" w:hAnsi="Times New Roman" w:cs="Times New Roman"/>
          <w:b/>
          <w:sz w:val="24"/>
          <w:szCs w:val="24"/>
        </w:rPr>
      </w:pPr>
    </w:p>
    <w:p w14:paraId="51E73894" w14:textId="77777777" w:rsidR="00F272EB" w:rsidRDefault="00F272EB" w:rsidP="00F272EB">
      <w:pPr>
        <w:spacing w:after="0" w:line="360" w:lineRule="auto"/>
        <w:jc w:val="both"/>
        <w:rPr>
          <w:rFonts w:ascii="Times New Roman" w:hAnsi="Times New Roman" w:cs="Times New Roman"/>
          <w:b/>
          <w:sz w:val="24"/>
          <w:szCs w:val="24"/>
        </w:rPr>
      </w:pPr>
    </w:p>
    <w:p w14:paraId="2E72703D" w14:textId="77777777" w:rsidR="00F272EB" w:rsidRDefault="00F272EB" w:rsidP="00F272EB">
      <w:pPr>
        <w:spacing w:after="0" w:line="480" w:lineRule="auto"/>
        <w:jc w:val="both"/>
        <w:rPr>
          <w:rFonts w:ascii="Times New Roman" w:hAnsi="Times New Roman" w:cs="Times New Roman"/>
          <w:b/>
          <w:sz w:val="24"/>
          <w:szCs w:val="24"/>
        </w:rPr>
      </w:pPr>
    </w:p>
    <w:p w14:paraId="7748B244" w14:textId="77777777" w:rsidR="00F272EB" w:rsidRDefault="00F272EB" w:rsidP="00F272EB">
      <w:pPr>
        <w:spacing w:after="0" w:line="480" w:lineRule="auto"/>
        <w:jc w:val="both"/>
        <w:rPr>
          <w:rFonts w:ascii="Times New Roman" w:hAnsi="Times New Roman" w:cs="Times New Roman"/>
          <w:b/>
          <w:sz w:val="24"/>
          <w:szCs w:val="24"/>
        </w:rPr>
      </w:pPr>
    </w:p>
    <w:p w14:paraId="3AEBE04D" w14:textId="77777777" w:rsidR="00F272EB" w:rsidRDefault="00F272EB" w:rsidP="00F272EB">
      <w:pPr>
        <w:spacing w:after="0" w:line="480" w:lineRule="auto"/>
        <w:jc w:val="both"/>
        <w:rPr>
          <w:rFonts w:ascii="Times New Roman" w:hAnsi="Times New Roman" w:cs="Times New Roman"/>
          <w:b/>
          <w:sz w:val="24"/>
          <w:szCs w:val="24"/>
        </w:rPr>
      </w:pPr>
    </w:p>
    <w:p w14:paraId="0608BEB8" w14:textId="77777777" w:rsidR="00F272EB" w:rsidRDefault="00F272EB" w:rsidP="00F272EB">
      <w:pPr>
        <w:spacing w:after="0" w:line="480" w:lineRule="auto"/>
        <w:jc w:val="both"/>
        <w:rPr>
          <w:rFonts w:ascii="Times New Roman" w:hAnsi="Times New Roman" w:cs="Times New Roman"/>
          <w:b/>
          <w:sz w:val="24"/>
          <w:szCs w:val="24"/>
        </w:rPr>
      </w:pPr>
    </w:p>
    <w:p w14:paraId="18895D08" w14:textId="77777777" w:rsidR="00F272EB" w:rsidRDefault="00F272EB" w:rsidP="00F272EB">
      <w:pPr>
        <w:spacing w:after="0" w:line="480" w:lineRule="auto"/>
        <w:jc w:val="both"/>
        <w:rPr>
          <w:rFonts w:ascii="Times New Roman" w:hAnsi="Times New Roman" w:cs="Times New Roman"/>
          <w:b/>
          <w:sz w:val="24"/>
          <w:szCs w:val="24"/>
        </w:rPr>
      </w:pPr>
    </w:p>
    <w:p w14:paraId="68C2BA9E" w14:textId="77777777" w:rsidR="00F272EB" w:rsidRDefault="00F272EB" w:rsidP="00F272EB">
      <w:pPr>
        <w:spacing w:after="0" w:line="480" w:lineRule="auto"/>
        <w:jc w:val="both"/>
        <w:rPr>
          <w:rFonts w:ascii="Times New Roman" w:hAnsi="Times New Roman" w:cs="Times New Roman"/>
          <w:b/>
          <w:sz w:val="24"/>
          <w:szCs w:val="24"/>
        </w:rPr>
      </w:pPr>
    </w:p>
    <w:p w14:paraId="117E40E1" w14:textId="77777777" w:rsidR="00F272EB" w:rsidRDefault="00F272EB" w:rsidP="00F272EB">
      <w:pPr>
        <w:spacing w:after="0" w:line="480" w:lineRule="auto"/>
        <w:jc w:val="both"/>
        <w:rPr>
          <w:rFonts w:ascii="Times New Roman" w:hAnsi="Times New Roman" w:cs="Times New Roman"/>
          <w:b/>
          <w:sz w:val="24"/>
          <w:szCs w:val="24"/>
        </w:rPr>
      </w:pPr>
    </w:p>
    <w:p w14:paraId="338BA66B" w14:textId="77777777" w:rsidR="00F272EB" w:rsidRDefault="00F272EB" w:rsidP="00F272EB">
      <w:pPr>
        <w:spacing w:after="0" w:line="480" w:lineRule="auto"/>
        <w:jc w:val="both"/>
        <w:rPr>
          <w:rFonts w:ascii="Times New Roman" w:hAnsi="Times New Roman" w:cs="Times New Roman"/>
          <w:b/>
          <w:sz w:val="24"/>
          <w:szCs w:val="24"/>
        </w:rPr>
      </w:pPr>
    </w:p>
    <w:p w14:paraId="0F7C36EF" w14:textId="77777777" w:rsidR="00F272EB" w:rsidRDefault="00F272EB" w:rsidP="00F272EB">
      <w:pPr>
        <w:spacing w:after="0" w:line="480" w:lineRule="auto"/>
        <w:jc w:val="both"/>
        <w:rPr>
          <w:rFonts w:ascii="Times New Roman" w:hAnsi="Times New Roman" w:cs="Times New Roman"/>
          <w:b/>
          <w:sz w:val="24"/>
          <w:szCs w:val="24"/>
        </w:rPr>
      </w:pPr>
    </w:p>
    <w:p w14:paraId="2B541D0E" w14:textId="77777777" w:rsidR="00F272EB" w:rsidRDefault="00F272EB" w:rsidP="00F272EB">
      <w:pPr>
        <w:spacing w:after="0" w:line="480" w:lineRule="auto"/>
        <w:jc w:val="both"/>
        <w:rPr>
          <w:rFonts w:ascii="Times New Roman" w:hAnsi="Times New Roman" w:cs="Times New Roman"/>
          <w:b/>
          <w:sz w:val="24"/>
          <w:szCs w:val="24"/>
        </w:rPr>
      </w:pPr>
    </w:p>
    <w:p w14:paraId="54EB7EB2" w14:textId="77777777" w:rsidR="00F272EB" w:rsidRDefault="00F272EB" w:rsidP="00F272EB">
      <w:pPr>
        <w:spacing w:after="0" w:line="480" w:lineRule="auto"/>
        <w:jc w:val="both"/>
        <w:rPr>
          <w:rFonts w:ascii="Times New Roman" w:hAnsi="Times New Roman" w:cs="Times New Roman"/>
          <w:b/>
          <w:sz w:val="24"/>
          <w:szCs w:val="24"/>
        </w:rPr>
      </w:pPr>
    </w:p>
    <w:p w14:paraId="69685FFB" w14:textId="77777777" w:rsidR="00F272EB" w:rsidRDefault="00F272EB" w:rsidP="00F272EB">
      <w:pPr>
        <w:spacing w:after="0" w:line="480" w:lineRule="auto"/>
        <w:jc w:val="both"/>
        <w:rPr>
          <w:rFonts w:ascii="Times New Roman" w:hAnsi="Times New Roman" w:cs="Times New Roman"/>
          <w:b/>
          <w:sz w:val="24"/>
          <w:szCs w:val="24"/>
        </w:rPr>
      </w:pPr>
    </w:p>
    <w:p w14:paraId="643720E9" w14:textId="77777777" w:rsidR="00F272EB" w:rsidRDefault="00F272EB" w:rsidP="00F272EB">
      <w:pPr>
        <w:spacing w:after="0" w:line="480" w:lineRule="auto"/>
        <w:jc w:val="both"/>
        <w:rPr>
          <w:rFonts w:ascii="Times New Roman" w:hAnsi="Times New Roman" w:cs="Times New Roman"/>
          <w:b/>
          <w:sz w:val="24"/>
          <w:szCs w:val="24"/>
        </w:rPr>
      </w:pPr>
    </w:p>
    <w:p w14:paraId="31F666BC" w14:textId="77777777" w:rsidR="00F272EB" w:rsidRDefault="00F272EB" w:rsidP="00F272EB">
      <w:pPr>
        <w:spacing w:after="0" w:line="480" w:lineRule="auto"/>
        <w:jc w:val="both"/>
        <w:rPr>
          <w:rFonts w:ascii="Times New Roman" w:hAnsi="Times New Roman" w:cs="Times New Roman"/>
          <w:b/>
          <w:sz w:val="24"/>
          <w:szCs w:val="24"/>
        </w:rPr>
      </w:pPr>
    </w:p>
    <w:p w14:paraId="54CFF6D7" w14:textId="77777777" w:rsidR="00F272EB" w:rsidRDefault="00F272EB" w:rsidP="00F272EB">
      <w:pPr>
        <w:spacing w:after="0" w:line="480" w:lineRule="auto"/>
        <w:jc w:val="both"/>
        <w:rPr>
          <w:rFonts w:ascii="Times New Roman" w:hAnsi="Times New Roman" w:cs="Times New Roman"/>
          <w:b/>
          <w:sz w:val="24"/>
          <w:szCs w:val="24"/>
        </w:rPr>
      </w:pPr>
    </w:p>
    <w:p w14:paraId="493D66F4" w14:textId="77777777" w:rsidR="00F272EB" w:rsidRDefault="00F272EB" w:rsidP="00F272EB">
      <w:pPr>
        <w:spacing w:after="0" w:line="480" w:lineRule="auto"/>
        <w:jc w:val="both"/>
        <w:rPr>
          <w:rFonts w:ascii="Times New Roman" w:hAnsi="Times New Roman" w:cs="Times New Roman"/>
          <w:b/>
          <w:sz w:val="24"/>
          <w:szCs w:val="24"/>
        </w:rPr>
      </w:pPr>
    </w:p>
    <w:p w14:paraId="53A3781B" w14:textId="77777777" w:rsidR="00F272EB" w:rsidRDefault="00F272EB" w:rsidP="00F272EB">
      <w:pPr>
        <w:spacing w:after="0" w:line="480" w:lineRule="auto"/>
        <w:jc w:val="both"/>
        <w:rPr>
          <w:rFonts w:ascii="Times New Roman" w:hAnsi="Times New Roman" w:cs="Times New Roman"/>
          <w:sz w:val="24"/>
          <w:szCs w:val="24"/>
        </w:rPr>
      </w:pPr>
      <w:r>
        <w:rPr>
          <w:rFonts w:ascii="Times New Roman" w:hAnsi="Times New Roman" w:cs="Times New Roman"/>
          <w:b/>
          <w:sz w:val="24"/>
          <w:szCs w:val="24"/>
        </w:rPr>
        <w:t xml:space="preserve">Extended Data Table 3. Linear Enamel Hypoplasia (LEH) in TB1 skeleton. </w:t>
      </w:r>
    </w:p>
    <w:tbl>
      <w:tblPr>
        <w:tblStyle w:val="TableGrid"/>
        <w:tblW w:w="9039" w:type="dxa"/>
        <w:tblInd w:w="-5" w:type="dxa"/>
        <w:tblLook w:val="04A0" w:firstRow="1" w:lastRow="0" w:firstColumn="1" w:lastColumn="0" w:noHBand="0" w:noVBand="1"/>
      </w:tblPr>
      <w:tblGrid>
        <w:gridCol w:w="1796"/>
        <w:gridCol w:w="936"/>
        <w:gridCol w:w="949"/>
        <w:gridCol w:w="1611"/>
        <w:gridCol w:w="3747"/>
      </w:tblGrid>
      <w:tr w:rsidR="00F272EB" w14:paraId="21B8A3E2" w14:textId="77777777" w:rsidTr="00F272EB">
        <w:tc>
          <w:tcPr>
            <w:tcW w:w="1796" w:type="dxa"/>
            <w:tcBorders>
              <w:top w:val="single" w:sz="4" w:space="0" w:color="auto"/>
              <w:left w:val="single" w:sz="4" w:space="0" w:color="auto"/>
              <w:bottom w:val="single" w:sz="4" w:space="0" w:color="auto"/>
              <w:right w:val="single" w:sz="4" w:space="0" w:color="auto"/>
            </w:tcBorders>
            <w:hideMark/>
          </w:tcPr>
          <w:p w14:paraId="41437901"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 xml:space="preserve">Dental Arcade Quadrant </w:t>
            </w:r>
          </w:p>
        </w:tc>
        <w:tc>
          <w:tcPr>
            <w:tcW w:w="936" w:type="dxa"/>
            <w:tcBorders>
              <w:top w:val="single" w:sz="4" w:space="0" w:color="auto"/>
              <w:left w:val="single" w:sz="4" w:space="0" w:color="auto"/>
              <w:bottom w:val="single" w:sz="4" w:space="0" w:color="auto"/>
              <w:right w:val="single" w:sz="4" w:space="0" w:color="auto"/>
            </w:tcBorders>
            <w:hideMark/>
          </w:tcPr>
          <w:p w14:paraId="5485E2FE"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 xml:space="preserve">Tooth </w:t>
            </w:r>
          </w:p>
        </w:tc>
        <w:tc>
          <w:tcPr>
            <w:tcW w:w="949" w:type="dxa"/>
            <w:tcBorders>
              <w:top w:val="single" w:sz="4" w:space="0" w:color="auto"/>
              <w:left w:val="single" w:sz="4" w:space="0" w:color="auto"/>
              <w:bottom w:val="single" w:sz="4" w:space="0" w:color="auto"/>
              <w:right w:val="single" w:sz="4" w:space="0" w:color="auto"/>
            </w:tcBorders>
            <w:hideMark/>
          </w:tcPr>
          <w:p w14:paraId="2F621CFD"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LEH Defects</w:t>
            </w:r>
          </w:p>
        </w:tc>
        <w:tc>
          <w:tcPr>
            <w:tcW w:w="1611" w:type="dxa"/>
            <w:tcBorders>
              <w:top w:val="single" w:sz="4" w:space="0" w:color="auto"/>
              <w:left w:val="single" w:sz="4" w:space="0" w:color="auto"/>
              <w:bottom w:val="single" w:sz="4" w:space="0" w:color="auto"/>
              <w:right w:val="single" w:sz="4" w:space="0" w:color="auto"/>
            </w:tcBorders>
            <w:hideMark/>
          </w:tcPr>
          <w:p w14:paraId="61FEF345"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 xml:space="preserve">Defect Length </w:t>
            </w:r>
          </w:p>
          <w:p w14:paraId="0CC78459"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(mm)</w:t>
            </w:r>
          </w:p>
        </w:tc>
        <w:tc>
          <w:tcPr>
            <w:tcW w:w="3747" w:type="dxa"/>
            <w:tcBorders>
              <w:top w:val="single" w:sz="4" w:space="0" w:color="auto"/>
              <w:left w:val="single" w:sz="4" w:space="0" w:color="auto"/>
              <w:bottom w:val="single" w:sz="4" w:space="0" w:color="auto"/>
              <w:right w:val="single" w:sz="4" w:space="0" w:color="auto"/>
            </w:tcBorders>
            <w:hideMark/>
          </w:tcPr>
          <w:p w14:paraId="5D2CFB7C" w14:textId="77777777" w:rsidR="00F272EB" w:rsidRDefault="00F272EB">
            <w:pPr>
              <w:spacing w:line="240" w:lineRule="auto"/>
              <w:rPr>
                <w:rFonts w:ascii="Times New Roman" w:hAnsi="Times New Roman" w:cs="Times New Roman"/>
                <w:sz w:val="20"/>
                <w:szCs w:val="20"/>
                <w:vertAlign w:val="superscript"/>
              </w:rPr>
            </w:pPr>
            <w:r>
              <w:rPr>
                <w:rFonts w:ascii="Times New Roman" w:hAnsi="Times New Roman" w:cs="Times New Roman"/>
                <w:sz w:val="20"/>
                <w:szCs w:val="20"/>
              </w:rPr>
              <w:t>Approximate age (years)</w:t>
            </w:r>
            <w:r>
              <w:rPr>
                <w:rFonts w:ascii="Times New Roman" w:hAnsi="Times New Roman" w:cs="Times New Roman"/>
                <w:sz w:val="20"/>
                <w:szCs w:val="20"/>
                <w:vertAlign w:val="superscript"/>
              </w:rPr>
              <w:t>*</w:t>
            </w:r>
          </w:p>
        </w:tc>
      </w:tr>
      <w:tr w:rsidR="00F272EB" w14:paraId="42DD3BCB" w14:textId="77777777" w:rsidTr="00F272EB">
        <w:tc>
          <w:tcPr>
            <w:tcW w:w="1796" w:type="dxa"/>
            <w:vMerge w:val="restart"/>
            <w:tcBorders>
              <w:top w:val="single" w:sz="4" w:space="0" w:color="auto"/>
              <w:left w:val="single" w:sz="4" w:space="0" w:color="auto"/>
              <w:bottom w:val="single" w:sz="4" w:space="0" w:color="auto"/>
              <w:right w:val="single" w:sz="4" w:space="0" w:color="auto"/>
            </w:tcBorders>
            <w:hideMark/>
          </w:tcPr>
          <w:p w14:paraId="4373D4CA"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Right Maxilla</w:t>
            </w:r>
          </w:p>
        </w:tc>
        <w:tc>
          <w:tcPr>
            <w:tcW w:w="936" w:type="dxa"/>
            <w:tcBorders>
              <w:top w:val="single" w:sz="4" w:space="0" w:color="auto"/>
              <w:left w:val="single" w:sz="4" w:space="0" w:color="auto"/>
              <w:bottom w:val="single" w:sz="4" w:space="0" w:color="auto"/>
              <w:right w:val="single" w:sz="4" w:space="0" w:color="auto"/>
            </w:tcBorders>
            <w:hideMark/>
          </w:tcPr>
          <w:p w14:paraId="4DB7325B" w14:textId="77777777" w:rsidR="00F272EB" w:rsidRDefault="00F272EB">
            <w:pPr>
              <w:spacing w:line="240" w:lineRule="auto"/>
              <w:rPr>
                <w:rFonts w:ascii="Times New Roman" w:hAnsi="Times New Roman" w:cs="Times New Roman"/>
                <w:sz w:val="20"/>
                <w:szCs w:val="20"/>
              </w:rPr>
            </w:pPr>
            <w:r>
              <w:rPr>
                <w:rFonts w:ascii="Times New Roman" w:hAnsi="Times New Roman" w:cs="Times New Roman"/>
                <w:sz w:val="20"/>
                <w:szCs w:val="20"/>
              </w:rPr>
              <w:t>Central Incisor</w:t>
            </w:r>
          </w:p>
        </w:tc>
        <w:tc>
          <w:tcPr>
            <w:tcW w:w="949" w:type="dxa"/>
            <w:tcBorders>
              <w:top w:val="single" w:sz="4" w:space="0" w:color="auto"/>
              <w:left w:val="single" w:sz="4" w:space="0" w:color="auto"/>
              <w:bottom w:val="single" w:sz="4" w:space="0" w:color="auto"/>
              <w:right w:val="single" w:sz="4" w:space="0" w:color="auto"/>
            </w:tcBorders>
            <w:hideMark/>
          </w:tcPr>
          <w:p w14:paraId="0813B942" w14:textId="77777777" w:rsidR="00F272EB" w:rsidRDefault="00F272EB">
            <w:pPr>
              <w:spacing w:line="240" w:lineRule="auto"/>
              <w:rPr>
                <w:rFonts w:ascii="Times New Roman" w:hAnsi="Times New Roman" w:cs="Times New Roman"/>
                <w:sz w:val="20"/>
                <w:szCs w:val="20"/>
              </w:rPr>
            </w:pPr>
            <w:r>
              <w:rPr>
                <w:rFonts w:ascii="Times New Roman" w:hAnsi="Times New Roman" w:cs="Times New Roman"/>
                <w:sz w:val="20"/>
                <w:szCs w:val="20"/>
              </w:rPr>
              <w:t>2</w:t>
            </w:r>
          </w:p>
        </w:tc>
        <w:tc>
          <w:tcPr>
            <w:tcW w:w="1611" w:type="dxa"/>
            <w:tcBorders>
              <w:top w:val="single" w:sz="4" w:space="0" w:color="auto"/>
              <w:left w:val="single" w:sz="4" w:space="0" w:color="auto"/>
              <w:bottom w:val="single" w:sz="4" w:space="0" w:color="auto"/>
              <w:right w:val="single" w:sz="4" w:space="0" w:color="auto"/>
            </w:tcBorders>
            <w:hideMark/>
          </w:tcPr>
          <w:p w14:paraId="77B6D78A" w14:textId="77777777" w:rsidR="00F272EB" w:rsidRDefault="00F272EB">
            <w:pPr>
              <w:spacing w:line="240" w:lineRule="auto"/>
              <w:rPr>
                <w:rFonts w:ascii="Times New Roman" w:hAnsi="Times New Roman" w:cs="Times New Roman"/>
                <w:sz w:val="20"/>
                <w:szCs w:val="20"/>
              </w:rPr>
            </w:pPr>
            <w:r>
              <w:rPr>
                <w:rFonts w:ascii="Times New Roman" w:hAnsi="Times New Roman" w:cs="Times New Roman"/>
                <w:sz w:val="20"/>
                <w:szCs w:val="20"/>
              </w:rPr>
              <w:t>5.91</w:t>
            </w:r>
          </w:p>
          <w:p w14:paraId="3C77BCAC" w14:textId="77777777" w:rsidR="00F272EB" w:rsidRDefault="00F272EB">
            <w:pPr>
              <w:spacing w:line="240" w:lineRule="auto"/>
              <w:rPr>
                <w:rFonts w:ascii="Times New Roman" w:hAnsi="Times New Roman" w:cs="Times New Roman"/>
                <w:sz w:val="20"/>
                <w:szCs w:val="20"/>
              </w:rPr>
            </w:pPr>
            <w:r>
              <w:rPr>
                <w:rFonts w:ascii="Times New Roman" w:hAnsi="Times New Roman" w:cs="Times New Roman"/>
                <w:sz w:val="20"/>
                <w:szCs w:val="20"/>
              </w:rPr>
              <w:t>7.62</w:t>
            </w:r>
          </w:p>
        </w:tc>
        <w:tc>
          <w:tcPr>
            <w:tcW w:w="3747" w:type="dxa"/>
            <w:tcBorders>
              <w:top w:val="single" w:sz="4" w:space="0" w:color="auto"/>
              <w:left w:val="single" w:sz="4" w:space="0" w:color="auto"/>
              <w:bottom w:val="single" w:sz="4" w:space="0" w:color="auto"/>
              <w:right w:val="single" w:sz="4" w:space="0" w:color="auto"/>
            </w:tcBorders>
            <w:hideMark/>
          </w:tcPr>
          <w:p w14:paraId="588DEFEB" w14:textId="77777777" w:rsidR="00F272EB" w:rsidRDefault="00F272EB">
            <w:pPr>
              <w:spacing w:line="240" w:lineRule="auto"/>
              <w:rPr>
                <w:rFonts w:ascii="Times New Roman" w:hAnsi="Times New Roman" w:cs="Times New Roman"/>
                <w:sz w:val="20"/>
                <w:szCs w:val="20"/>
                <w:vertAlign w:val="superscript"/>
              </w:rPr>
            </w:pPr>
            <w:r>
              <w:rPr>
                <w:rFonts w:ascii="Times New Roman" w:hAnsi="Times New Roman" w:cs="Times New Roman"/>
                <w:sz w:val="20"/>
                <w:szCs w:val="20"/>
              </w:rPr>
              <w:t>2.2-2.4</w:t>
            </w:r>
            <w:r>
              <w:rPr>
                <w:rFonts w:ascii="Times New Roman" w:hAnsi="Times New Roman" w:cs="Times New Roman"/>
                <w:sz w:val="20"/>
                <w:szCs w:val="20"/>
                <w:vertAlign w:val="superscript"/>
              </w:rPr>
              <w:t>1</w:t>
            </w:r>
          </w:p>
          <w:p w14:paraId="5839F79E" w14:textId="77777777" w:rsidR="00F272EB" w:rsidRDefault="00F272EB">
            <w:pPr>
              <w:spacing w:line="240" w:lineRule="auto"/>
              <w:rPr>
                <w:rFonts w:ascii="Times New Roman" w:hAnsi="Times New Roman" w:cs="Times New Roman"/>
                <w:sz w:val="20"/>
                <w:szCs w:val="20"/>
                <w:vertAlign w:val="superscript"/>
              </w:rPr>
            </w:pPr>
            <w:r>
              <w:rPr>
                <w:rFonts w:ascii="Times New Roman" w:hAnsi="Times New Roman" w:cs="Times New Roman"/>
                <w:sz w:val="20"/>
                <w:szCs w:val="20"/>
              </w:rPr>
              <w:t>2.9-3.4</w:t>
            </w:r>
            <w:r>
              <w:rPr>
                <w:rFonts w:ascii="Times New Roman" w:hAnsi="Times New Roman" w:cs="Times New Roman"/>
                <w:sz w:val="20"/>
                <w:szCs w:val="20"/>
                <w:vertAlign w:val="superscript"/>
              </w:rPr>
              <w:t>2</w:t>
            </w:r>
          </w:p>
        </w:tc>
      </w:tr>
      <w:tr w:rsidR="00F272EB" w14:paraId="1687C689" w14:textId="77777777" w:rsidTr="00F272EB">
        <w:tc>
          <w:tcPr>
            <w:tcW w:w="0" w:type="auto"/>
            <w:vMerge/>
            <w:tcBorders>
              <w:top w:val="single" w:sz="4" w:space="0" w:color="auto"/>
              <w:left w:val="single" w:sz="4" w:space="0" w:color="auto"/>
              <w:bottom w:val="single" w:sz="4" w:space="0" w:color="auto"/>
              <w:right w:val="single" w:sz="4" w:space="0" w:color="auto"/>
            </w:tcBorders>
            <w:vAlign w:val="center"/>
            <w:hideMark/>
          </w:tcPr>
          <w:p w14:paraId="3C4BBAF4" w14:textId="77777777" w:rsidR="00F272EB" w:rsidRDefault="00F272EB">
            <w:pPr>
              <w:spacing w:line="240" w:lineRule="auto"/>
              <w:rPr>
                <w:rFonts w:ascii="Times New Roman" w:hAnsi="Times New Roman" w:cs="Times New Roman"/>
                <w:sz w:val="20"/>
                <w:szCs w:val="20"/>
              </w:rPr>
            </w:pPr>
          </w:p>
        </w:tc>
        <w:tc>
          <w:tcPr>
            <w:tcW w:w="936" w:type="dxa"/>
            <w:tcBorders>
              <w:top w:val="single" w:sz="4" w:space="0" w:color="auto"/>
              <w:left w:val="single" w:sz="4" w:space="0" w:color="auto"/>
              <w:bottom w:val="single" w:sz="4" w:space="0" w:color="auto"/>
              <w:right w:val="single" w:sz="4" w:space="0" w:color="auto"/>
            </w:tcBorders>
            <w:hideMark/>
          </w:tcPr>
          <w:p w14:paraId="4050052C" w14:textId="77777777" w:rsidR="00F272EB" w:rsidRDefault="00F272EB">
            <w:pPr>
              <w:spacing w:line="240" w:lineRule="auto"/>
              <w:rPr>
                <w:rFonts w:ascii="Times New Roman" w:hAnsi="Times New Roman" w:cs="Times New Roman"/>
                <w:sz w:val="20"/>
                <w:szCs w:val="20"/>
              </w:rPr>
            </w:pPr>
            <w:r>
              <w:rPr>
                <w:rFonts w:ascii="Times New Roman" w:hAnsi="Times New Roman" w:cs="Times New Roman"/>
                <w:sz w:val="20"/>
                <w:szCs w:val="20"/>
              </w:rPr>
              <w:t>Lateral Incisor</w:t>
            </w:r>
          </w:p>
        </w:tc>
        <w:tc>
          <w:tcPr>
            <w:tcW w:w="949" w:type="dxa"/>
            <w:tcBorders>
              <w:top w:val="single" w:sz="4" w:space="0" w:color="auto"/>
              <w:left w:val="single" w:sz="4" w:space="0" w:color="auto"/>
              <w:bottom w:val="single" w:sz="4" w:space="0" w:color="auto"/>
              <w:right w:val="single" w:sz="4" w:space="0" w:color="auto"/>
            </w:tcBorders>
            <w:hideMark/>
          </w:tcPr>
          <w:p w14:paraId="58E33D5A" w14:textId="77777777" w:rsidR="00F272EB" w:rsidRDefault="00F272EB">
            <w:pPr>
              <w:spacing w:line="240" w:lineRule="auto"/>
              <w:rPr>
                <w:rFonts w:ascii="Times New Roman" w:hAnsi="Times New Roman" w:cs="Times New Roman"/>
                <w:sz w:val="20"/>
                <w:szCs w:val="20"/>
              </w:rPr>
            </w:pPr>
            <w:r>
              <w:rPr>
                <w:rFonts w:ascii="Times New Roman" w:hAnsi="Times New Roman" w:cs="Times New Roman"/>
                <w:sz w:val="20"/>
                <w:szCs w:val="20"/>
              </w:rPr>
              <w:t>3</w:t>
            </w:r>
          </w:p>
        </w:tc>
        <w:tc>
          <w:tcPr>
            <w:tcW w:w="1611" w:type="dxa"/>
            <w:tcBorders>
              <w:top w:val="single" w:sz="4" w:space="0" w:color="auto"/>
              <w:left w:val="single" w:sz="4" w:space="0" w:color="auto"/>
              <w:bottom w:val="single" w:sz="4" w:space="0" w:color="auto"/>
              <w:right w:val="single" w:sz="4" w:space="0" w:color="auto"/>
            </w:tcBorders>
            <w:hideMark/>
          </w:tcPr>
          <w:p w14:paraId="20B593C4" w14:textId="77777777" w:rsidR="00F272EB" w:rsidRDefault="00F272EB">
            <w:pPr>
              <w:spacing w:line="240" w:lineRule="auto"/>
              <w:rPr>
                <w:rFonts w:ascii="Times New Roman" w:hAnsi="Times New Roman" w:cs="Times New Roman"/>
                <w:sz w:val="20"/>
                <w:szCs w:val="20"/>
              </w:rPr>
            </w:pPr>
            <w:r>
              <w:rPr>
                <w:rFonts w:ascii="Times New Roman" w:hAnsi="Times New Roman" w:cs="Times New Roman"/>
                <w:sz w:val="20"/>
                <w:szCs w:val="20"/>
              </w:rPr>
              <w:t>4.9</w:t>
            </w:r>
          </w:p>
          <w:p w14:paraId="70F29985" w14:textId="77777777" w:rsidR="00F272EB" w:rsidRDefault="00F272EB">
            <w:pPr>
              <w:spacing w:line="240" w:lineRule="auto"/>
              <w:rPr>
                <w:rFonts w:ascii="Times New Roman" w:hAnsi="Times New Roman" w:cs="Times New Roman"/>
                <w:sz w:val="20"/>
                <w:szCs w:val="20"/>
              </w:rPr>
            </w:pPr>
            <w:r>
              <w:rPr>
                <w:rFonts w:ascii="Times New Roman" w:hAnsi="Times New Roman" w:cs="Times New Roman"/>
                <w:sz w:val="20"/>
                <w:szCs w:val="20"/>
              </w:rPr>
              <w:t>7.01</w:t>
            </w:r>
          </w:p>
          <w:p w14:paraId="25F882EC" w14:textId="77777777" w:rsidR="00F272EB" w:rsidRDefault="00F272EB">
            <w:pPr>
              <w:spacing w:line="240" w:lineRule="auto"/>
              <w:rPr>
                <w:rFonts w:ascii="Times New Roman" w:hAnsi="Times New Roman" w:cs="Times New Roman"/>
                <w:sz w:val="20"/>
                <w:szCs w:val="20"/>
              </w:rPr>
            </w:pPr>
            <w:r>
              <w:rPr>
                <w:rFonts w:ascii="Times New Roman" w:hAnsi="Times New Roman" w:cs="Times New Roman"/>
                <w:sz w:val="20"/>
                <w:szCs w:val="20"/>
              </w:rPr>
              <w:t>8.27</w:t>
            </w:r>
          </w:p>
        </w:tc>
        <w:tc>
          <w:tcPr>
            <w:tcW w:w="3747" w:type="dxa"/>
            <w:tcBorders>
              <w:top w:val="single" w:sz="4" w:space="0" w:color="auto"/>
              <w:left w:val="single" w:sz="4" w:space="0" w:color="auto"/>
              <w:bottom w:val="single" w:sz="4" w:space="0" w:color="auto"/>
              <w:right w:val="single" w:sz="4" w:space="0" w:color="auto"/>
            </w:tcBorders>
            <w:hideMark/>
          </w:tcPr>
          <w:p w14:paraId="49C35819" w14:textId="77777777" w:rsidR="00F272EB" w:rsidRDefault="00F272EB">
            <w:pPr>
              <w:spacing w:line="240" w:lineRule="auto"/>
              <w:rPr>
                <w:rFonts w:ascii="Times New Roman" w:hAnsi="Times New Roman" w:cs="Times New Roman"/>
                <w:sz w:val="20"/>
                <w:szCs w:val="20"/>
              </w:rPr>
            </w:pPr>
            <w:r>
              <w:rPr>
                <w:rFonts w:ascii="Times New Roman" w:hAnsi="Times New Roman" w:cs="Times New Roman"/>
                <w:sz w:val="20"/>
                <w:szCs w:val="20"/>
              </w:rPr>
              <w:t>2.92</w:t>
            </w:r>
          </w:p>
          <w:p w14:paraId="6617920B" w14:textId="77777777" w:rsidR="00F272EB" w:rsidRDefault="00F272EB">
            <w:pPr>
              <w:spacing w:line="240" w:lineRule="auto"/>
              <w:rPr>
                <w:rFonts w:ascii="Times New Roman" w:hAnsi="Times New Roman" w:cs="Times New Roman"/>
                <w:sz w:val="20"/>
                <w:szCs w:val="20"/>
              </w:rPr>
            </w:pPr>
            <w:r>
              <w:rPr>
                <w:rFonts w:ascii="Times New Roman" w:hAnsi="Times New Roman" w:cs="Times New Roman"/>
                <w:sz w:val="20"/>
                <w:szCs w:val="20"/>
              </w:rPr>
              <w:t>3.5-3.7 (min) 3.9-4.1 (max)</w:t>
            </w:r>
            <w:r>
              <w:rPr>
                <w:rFonts w:ascii="Times New Roman" w:hAnsi="Times New Roman" w:cs="Times New Roman"/>
                <w:sz w:val="20"/>
                <w:szCs w:val="20"/>
                <w:vertAlign w:val="superscript"/>
              </w:rPr>
              <w:t>3</w:t>
            </w:r>
          </w:p>
          <w:p w14:paraId="314A9D78" w14:textId="77777777" w:rsidR="00F272EB" w:rsidRDefault="00F272EB">
            <w:pPr>
              <w:spacing w:line="240" w:lineRule="auto"/>
              <w:rPr>
                <w:rFonts w:ascii="Times New Roman" w:hAnsi="Times New Roman" w:cs="Times New Roman"/>
                <w:sz w:val="20"/>
                <w:szCs w:val="20"/>
                <w:vertAlign w:val="superscript"/>
              </w:rPr>
            </w:pPr>
            <w:r>
              <w:rPr>
                <w:rFonts w:ascii="Times New Roman" w:hAnsi="Times New Roman" w:cs="Times New Roman"/>
                <w:sz w:val="20"/>
                <w:szCs w:val="20"/>
              </w:rPr>
              <w:t>4.4-4.64</w:t>
            </w:r>
          </w:p>
        </w:tc>
      </w:tr>
      <w:tr w:rsidR="00F272EB" w14:paraId="37CC7C9D" w14:textId="77777777" w:rsidTr="00F272EB">
        <w:tc>
          <w:tcPr>
            <w:tcW w:w="0" w:type="auto"/>
            <w:vMerge/>
            <w:tcBorders>
              <w:top w:val="single" w:sz="4" w:space="0" w:color="auto"/>
              <w:left w:val="single" w:sz="4" w:space="0" w:color="auto"/>
              <w:bottom w:val="single" w:sz="4" w:space="0" w:color="auto"/>
              <w:right w:val="single" w:sz="4" w:space="0" w:color="auto"/>
            </w:tcBorders>
            <w:vAlign w:val="center"/>
            <w:hideMark/>
          </w:tcPr>
          <w:p w14:paraId="71D82340" w14:textId="77777777" w:rsidR="00F272EB" w:rsidRDefault="00F272EB">
            <w:pPr>
              <w:spacing w:line="240" w:lineRule="auto"/>
              <w:rPr>
                <w:rFonts w:ascii="Times New Roman" w:hAnsi="Times New Roman" w:cs="Times New Roman"/>
                <w:sz w:val="20"/>
                <w:szCs w:val="20"/>
              </w:rPr>
            </w:pPr>
          </w:p>
        </w:tc>
        <w:tc>
          <w:tcPr>
            <w:tcW w:w="936" w:type="dxa"/>
            <w:tcBorders>
              <w:top w:val="single" w:sz="4" w:space="0" w:color="auto"/>
              <w:left w:val="single" w:sz="4" w:space="0" w:color="auto"/>
              <w:bottom w:val="single" w:sz="4" w:space="0" w:color="auto"/>
              <w:right w:val="single" w:sz="4" w:space="0" w:color="auto"/>
            </w:tcBorders>
            <w:hideMark/>
          </w:tcPr>
          <w:p w14:paraId="0BCD31E8" w14:textId="77777777" w:rsidR="00F272EB" w:rsidRDefault="00F272EB">
            <w:pPr>
              <w:spacing w:line="240" w:lineRule="auto"/>
              <w:rPr>
                <w:rFonts w:ascii="Times New Roman" w:hAnsi="Times New Roman" w:cs="Times New Roman"/>
                <w:sz w:val="20"/>
                <w:szCs w:val="20"/>
              </w:rPr>
            </w:pPr>
            <w:r>
              <w:rPr>
                <w:rFonts w:ascii="Times New Roman" w:hAnsi="Times New Roman" w:cs="Times New Roman"/>
                <w:sz w:val="20"/>
                <w:szCs w:val="20"/>
              </w:rPr>
              <w:t>Canine</w:t>
            </w:r>
          </w:p>
        </w:tc>
        <w:tc>
          <w:tcPr>
            <w:tcW w:w="949" w:type="dxa"/>
            <w:tcBorders>
              <w:top w:val="single" w:sz="4" w:space="0" w:color="auto"/>
              <w:left w:val="single" w:sz="4" w:space="0" w:color="auto"/>
              <w:bottom w:val="single" w:sz="4" w:space="0" w:color="auto"/>
              <w:right w:val="single" w:sz="4" w:space="0" w:color="auto"/>
            </w:tcBorders>
            <w:hideMark/>
          </w:tcPr>
          <w:p w14:paraId="5A005B3C" w14:textId="77777777" w:rsidR="00F272EB" w:rsidRDefault="00F272EB">
            <w:pPr>
              <w:spacing w:line="240" w:lineRule="auto"/>
              <w:rPr>
                <w:rFonts w:ascii="Times New Roman" w:hAnsi="Times New Roman" w:cs="Times New Roman"/>
                <w:sz w:val="20"/>
                <w:szCs w:val="20"/>
              </w:rPr>
            </w:pPr>
            <w:r>
              <w:rPr>
                <w:rFonts w:ascii="Times New Roman" w:hAnsi="Times New Roman" w:cs="Times New Roman"/>
                <w:sz w:val="20"/>
                <w:szCs w:val="20"/>
              </w:rPr>
              <w:t>2</w:t>
            </w:r>
          </w:p>
        </w:tc>
        <w:tc>
          <w:tcPr>
            <w:tcW w:w="1611" w:type="dxa"/>
            <w:tcBorders>
              <w:top w:val="single" w:sz="4" w:space="0" w:color="auto"/>
              <w:left w:val="single" w:sz="4" w:space="0" w:color="auto"/>
              <w:bottom w:val="single" w:sz="4" w:space="0" w:color="auto"/>
              <w:right w:val="single" w:sz="4" w:space="0" w:color="auto"/>
            </w:tcBorders>
            <w:hideMark/>
          </w:tcPr>
          <w:p w14:paraId="5AB8F159" w14:textId="77777777" w:rsidR="00F272EB" w:rsidRDefault="00F272EB">
            <w:pPr>
              <w:spacing w:line="240" w:lineRule="auto"/>
              <w:rPr>
                <w:rFonts w:ascii="Times New Roman" w:hAnsi="Times New Roman" w:cs="Times New Roman"/>
                <w:sz w:val="20"/>
                <w:szCs w:val="20"/>
              </w:rPr>
            </w:pPr>
            <w:r>
              <w:rPr>
                <w:rFonts w:ascii="Times New Roman" w:hAnsi="Times New Roman" w:cs="Times New Roman"/>
                <w:sz w:val="20"/>
                <w:szCs w:val="20"/>
              </w:rPr>
              <w:t>4.56</w:t>
            </w:r>
          </w:p>
          <w:p w14:paraId="040FDA66" w14:textId="77777777" w:rsidR="00F272EB" w:rsidRDefault="00F272EB">
            <w:pPr>
              <w:spacing w:line="240" w:lineRule="auto"/>
              <w:rPr>
                <w:rFonts w:ascii="Times New Roman" w:hAnsi="Times New Roman" w:cs="Times New Roman"/>
                <w:sz w:val="20"/>
                <w:szCs w:val="20"/>
              </w:rPr>
            </w:pPr>
            <w:r>
              <w:rPr>
                <w:rFonts w:ascii="Times New Roman" w:hAnsi="Times New Roman" w:cs="Times New Roman"/>
                <w:sz w:val="20"/>
                <w:szCs w:val="20"/>
              </w:rPr>
              <w:t>6.83</w:t>
            </w:r>
          </w:p>
        </w:tc>
        <w:tc>
          <w:tcPr>
            <w:tcW w:w="3747" w:type="dxa"/>
            <w:tcBorders>
              <w:top w:val="single" w:sz="4" w:space="0" w:color="auto"/>
              <w:left w:val="single" w:sz="4" w:space="0" w:color="auto"/>
              <w:bottom w:val="single" w:sz="4" w:space="0" w:color="auto"/>
              <w:right w:val="single" w:sz="4" w:space="0" w:color="auto"/>
            </w:tcBorders>
            <w:hideMark/>
          </w:tcPr>
          <w:p w14:paraId="6F3A2037" w14:textId="77777777" w:rsidR="00F272EB" w:rsidRDefault="00F272EB">
            <w:pPr>
              <w:spacing w:line="240" w:lineRule="auto"/>
              <w:rPr>
                <w:rFonts w:ascii="Times New Roman" w:hAnsi="Times New Roman" w:cs="Times New Roman"/>
                <w:sz w:val="20"/>
                <w:szCs w:val="20"/>
              </w:rPr>
            </w:pPr>
            <w:r>
              <w:rPr>
                <w:rFonts w:ascii="Times New Roman" w:hAnsi="Times New Roman" w:cs="Times New Roman"/>
                <w:sz w:val="20"/>
                <w:szCs w:val="20"/>
              </w:rPr>
              <w:t>3.1-3.42</w:t>
            </w:r>
          </w:p>
          <w:p w14:paraId="23F2E1C8" w14:textId="77777777" w:rsidR="00F272EB" w:rsidRDefault="00F272EB">
            <w:pPr>
              <w:spacing w:line="240" w:lineRule="auto"/>
              <w:rPr>
                <w:rFonts w:ascii="Times New Roman" w:hAnsi="Times New Roman" w:cs="Times New Roman"/>
                <w:sz w:val="20"/>
                <w:szCs w:val="20"/>
              </w:rPr>
            </w:pPr>
            <w:r>
              <w:rPr>
                <w:rFonts w:ascii="Times New Roman" w:hAnsi="Times New Roman" w:cs="Times New Roman"/>
                <w:sz w:val="20"/>
                <w:szCs w:val="20"/>
              </w:rPr>
              <w:t>3.5-3.8 (min) 4.0/4.3 (max)</w:t>
            </w:r>
            <w:r>
              <w:rPr>
                <w:rFonts w:ascii="Times New Roman" w:hAnsi="Times New Roman" w:cs="Times New Roman"/>
                <w:sz w:val="20"/>
                <w:szCs w:val="20"/>
                <w:vertAlign w:val="superscript"/>
              </w:rPr>
              <w:t>3</w:t>
            </w:r>
          </w:p>
        </w:tc>
      </w:tr>
      <w:tr w:rsidR="00F272EB" w14:paraId="6778F63E" w14:textId="77777777" w:rsidTr="00F272EB">
        <w:tc>
          <w:tcPr>
            <w:tcW w:w="1796" w:type="dxa"/>
            <w:vMerge w:val="restart"/>
            <w:tcBorders>
              <w:top w:val="single" w:sz="4" w:space="0" w:color="auto"/>
              <w:left w:val="single" w:sz="4" w:space="0" w:color="auto"/>
              <w:bottom w:val="single" w:sz="4" w:space="0" w:color="auto"/>
              <w:right w:val="single" w:sz="4" w:space="0" w:color="auto"/>
            </w:tcBorders>
            <w:hideMark/>
          </w:tcPr>
          <w:p w14:paraId="3AD56D66"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Left Maxilla</w:t>
            </w:r>
          </w:p>
        </w:tc>
        <w:tc>
          <w:tcPr>
            <w:tcW w:w="936" w:type="dxa"/>
            <w:tcBorders>
              <w:top w:val="single" w:sz="4" w:space="0" w:color="auto"/>
              <w:left w:val="single" w:sz="4" w:space="0" w:color="auto"/>
              <w:bottom w:val="single" w:sz="4" w:space="0" w:color="auto"/>
              <w:right w:val="single" w:sz="4" w:space="0" w:color="auto"/>
            </w:tcBorders>
            <w:hideMark/>
          </w:tcPr>
          <w:p w14:paraId="28D2BE25" w14:textId="77777777" w:rsidR="00F272EB" w:rsidRDefault="00F272EB">
            <w:pPr>
              <w:spacing w:line="240" w:lineRule="auto"/>
              <w:rPr>
                <w:rFonts w:ascii="Times New Roman" w:hAnsi="Times New Roman" w:cs="Times New Roman"/>
                <w:sz w:val="20"/>
                <w:szCs w:val="20"/>
              </w:rPr>
            </w:pPr>
            <w:r>
              <w:rPr>
                <w:rFonts w:ascii="Times New Roman" w:hAnsi="Times New Roman" w:cs="Times New Roman"/>
                <w:sz w:val="20"/>
                <w:szCs w:val="20"/>
              </w:rPr>
              <w:t>Central Incisor</w:t>
            </w:r>
          </w:p>
        </w:tc>
        <w:tc>
          <w:tcPr>
            <w:tcW w:w="949" w:type="dxa"/>
            <w:tcBorders>
              <w:top w:val="single" w:sz="4" w:space="0" w:color="auto"/>
              <w:left w:val="single" w:sz="4" w:space="0" w:color="auto"/>
              <w:bottom w:val="single" w:sz="4" w:space="0" w:color="auto"/>
              <w:right w:val="single" w:sz="4" w:space="0" w:color="auto"/>
            </w:tcBorders>
            <w:hideMark/>
          </w:tcPr>
          <w:p w14:paraId="37D54DFC" w14:textId="77777777" w:rsidR="00F272EB" w:rsidRDefault="00F272EB">
            <w:pPr>
              <w:spacing w:line="240" w:lineRule="auto"/>
              <w:rPr>
                <w:rFonts w:ascii="Times New Roman" w:hAnsi="Times New Roman" w:cs="Times New Roman"/>
                <w:sz w:val="20"/>
                <w:szCs w:val="20"/>
              </w:rPr>
            </w:pPr>
            <w:r>
              <w:rPr>
                <w:rFonts w:ascii="Times New Roman" w:hAnsi="Times New Roman" w:cs="Times New Roman"/>
                <w:sz w:val="20"/>
                <w:szCs w:val="20"/>
              </w:rPr>
              <w:t>2</w:t>
            </w:r>
          </w:p>
        </w:tc>
        <w:tc>
          <w:tcPr>
            <w:tcW w:w="1611" w:type="dxa"/>
            <w:tcBorders>
              <w:top w:val="single" w:sz="4" w:space="0" w:color="auto"/>
              <w:left w:val="single" w:sz="4" w:space="0" w:color="auto"/>
              <w:bottom w:val="single" w:sz="4" w:space="0" w:color="auto"/>
              <w:right w:val="single" w:sz="4" w:space="0" w:color="auto"/>
            </w:tcBorders>
            <w:hideMark/>
          </w:tcPr>
          <w:p w14:paraId="0D1D8D66" w14:textId="77777777" w:rsidR="00F272EB" w:rsidRDefault="00F272EB">
            <w:pPr>
              <w:spacing w:line="240" w:lineRule="auto"/>
              <w:rPr>
                <w:rFonts w:ascii="Times New Roman" w:hAnsi="Times New Roman" w:cs="Times New Roman"/>
                <w:sz w:val="20"/>
                <w:szCs w:val="20"/>
              </w:rPr>
            </w:pPr>
            <w:r>
              <w:rPr>
                <w:rFonts w:ascii="Times New Roman" w:hAnsi="Times New Roman" w:cs="Times New Roman"/>
                <w:sz w:val="20"/>
                <w:szCs w:val="20"/>
              </w:rPr>
              <w:t>4.4</w:t>
            </w:r>
          </w:p>
          <w:p w14:paraId="41C63528" w14:textId="77777777" w:rsidR="00F272EB" w:rsidRDefault="00F272EB">
            <w:pPr>
              <w:spacing w:line="240" w:lineRule="auto"/>
              <w:rPr>
                <w:rFonts w:ascii="Times New Roman" w:hAnsi="Times New Roman" w:cs="Times New Roman"/>
                <w:sz w:val="20"/>
                <w:szCs w:val="20"/>
              </w:rPr>
            </w:pPr>
            <w:r>
              <w:rPr>
                <w:rFonts w:ascii="Times New Roman" w:hAnsi="Times New Roman" w:cs="Times New Roman"/>
                <w:sz w:val="20"/>
                <w:szCs w:val="20"/>
              </w:rPr>
              <w:t>5.66</w:t>
            </w:r>
          </w:p>
        </w:tc>
        <w:tc>
          <w:tcPr>
            <w:tcW w:w="3747" w:type="dxa"/>
            <w:tcBorders>
              <w:top w:val="single" w:sz="4" w:space="0" w:color="auto"/>
              <w:left w:val="single" w:sz="4" w:space="0" w:color="auto"/>
              <w:bottom w:val="single" w:sz="4" w:space="0" w:color="auto"/>
              <w:right w:val="single" w:sz="4" w:space="0" w:color="auto"/>
            </w:tcBorders>
            <w:hideMark/>
          </w:tcPr>
          <w:p w14:paraId="6BF214B9" w14:textId="77777777" w:rsidR="00F272EB" w:rsidRDefault="00F272EB">
            <w:pPr>
              <w:spacing w:line="240" w:lineRule="auto"/>
              <w:rPr>
                <w:rFonts w:ascii="Times New Roman" w:hAnsi="Times New Roman" w:cs="Times New Roman"/>
                <w:sz w:val="20"/>
                <w:szCs w:val="20"/>
                <w:vertAlign w:val="superscript"/>
              </w:rPr>
            </w:pPr>
            <w:r>
              <w:rPr>
                <w:rFonts w:ascii="Times New Roman" w:hAnsi="Times New Roman" w:cs="Times New Roman"/>
                <w:sz w:val="20"/>
                <w:szCs w:val="20"/>
              </w:rPr>
              <w:t>1.9-2.0</w:t>
            </w:r>
            <w:r>
              <w:rPr>
                <w:rFonts w:ascii="Times New Roman" w:hAnsi="Times New Roman" w:cs="Times New Roman"/>
                <w:sz w:val="20"/>
                <w:szCs w:val="20"/>
                <w:vertAlign w:val="superscript"/>
              </w:rPr>
              <w:t>5</w:t>
            </w:r>
          </w:p>
          <w:p w14:paraId="4111EB34" w14:textId="77777777" w:rsidR="00F272EB" w:rsidRDefault="00F272EB">
            <w:pPr>
              <w:spacing w:line="240" w:lineRule="auto"/>
              <w:rPr>
                <w:rFonts w:ascii="Times New Roman" w:hAnsi="Times New Roman" w:cs="Times New Roman"/>
                <w:sz w:val="20"/>
                <w:szCs w:val="20"/>
                <w:vertAlign w:val="superscript"/>
              </w:rPr>
            </w:pPr>
            <w:r>
              <w:rPr>
                <w:rFonts w:ascii="Times New Roman" w:hAnsi="Times New Roman" w:cs="Times New Roman"/>
                <w:sz w:val="20"/>
                <w:szCs w:val="20"/>
              </w:rPr>
              <w:t>2.2-2.4</w:t>
            </w:r>
            <w:r>
              <w:rPr>
                <w:rFonts w:ascii="Times New Roman" w:hAnsi="Times New Roman" w:cs="Times New Roman"/>
                <w:sz w:val="20"/>
                <w:szCs w:val="20"/>
                <w:vertAlign w:val="superscript"/>
              </w:rPr>
              <w:t>4</w:t>
            </w:r>
          </w:p>
        </w:tc>
      </w:tr>
      <w:tr w:rsidR="00F272EB" w14:paraId="5D900B84" w14:textId="77777777" w:rsidTr="00F272EB">
        <w:tc>
          <w:tcPr>
            <w:tcW w:w="0" w:type="auto"/>
            <w:vMerge/>
            <w:tcBorders>
              <w:top w:val="single" w:sz="4" w:space="0" w:color="auto"/>
              <w:left w:val="single" w:sz="4" w:space="0" w:color="auto"/>
              <w:bottom w:val="single" w:sz="4" w:space="0" w:color="auto"/>
              <w:right w:val="single" w:sz="4" w:space="0" w:color="auto"/>
            </w:tcBorders>
            <w:vAlign w:val="center"/>
            <w:hideMark/>
          </w:tcPr>
          <w:p w14:paraId="268B85E3" w14:textId="77777777" w:rsidR="00F272EB" w:rsidRDefault="00F272EB">
            <w:pPr>
              <w:spacing w:line="240" w:lineRule="auto"/>
              <w:rPr>
                <w:rFonts w:ascii="Times New Roman" w:hAnsi="Times New Roman" w:cs="Times New Roman"/>
                <w:sz w:val="20"/>
                <w:szCs w:val="20"/>
              </w:rPr>
            </w:pPr>
          </w:p>
        </w:tc>
        <w:tc>
          <w:tcPr>
            <w:tcW w:w="936" w:type="dxa"/>
            <w:tcBorders>
              <w:top w:val="single" w:sz="4" w:space="0" w:color="auto"/>
              <w:left w:val="single" w:sz="4" w:space="0" w:color="auto"/>
              <w:bottom w:val="single" w:sz="4" w:space="0" w:color="auto"/>
              <w:right w:val="single" w:sz="4" w:space="0" w:color="auto"/>
            </w:tcBorders>
            <w:hideMark/>
          </w:tcPr>
          <w:p w14:paraId="519C1561" w14:textId="77777777" w:rsidR="00F272EB" w:rsidRDefault="00F272EB">
            <w:pPr>
              <w:spacing w:line="240" w:lineRule="auto"/>
              <w:rPr>
                <w:rFonts w:ascii="Times New Roman" w:hAnsi="Times New Roman" w:cs="Times New Roman"/>
                <w:sz w:val="20"/>
                <w:szCs w:val="20"/>
              </w:rPr>
            </w:pPr>
            <w:r>
              <w:rPr>
                <w:rFonts w:ascii="Times New Roman" w:hAnsi="Times New Roman" w:cs="Times New Roman"/>
                <w:sz w:val="20"/>
                <w:szCs w:val="20"/>
              </w:rPr>
              <w:t>Canine</w:t>
            </w:r>
          </w:p>
        </w:tc>
        <w:tc>
          <w:tcPr>
            <w:tcW w:w="949" w:type="dxa"/>
            <w:tcBorders>
              <w:top w:val="single" w:sz="4" w:space="0" w:color="auto"/>
              <w:left w:val="single" w:sz="4" w:space="0" w:color="auto"/>
              <w:bottom w:val="single" w:sz="4" w:space="0" w:color="auto"/>
              <w:right w:val="single" w:sz="4" w:space="0" w:color="auto"/>
            </w:tcBorders>
            <w:hideMark/>
          </w:tcPr>
          <w:p w14:paraId="6BED01C1" w14:textId="77777777" w:rsidR="00F272EB" w:rsidRDefault="00F272EB">
            <w:pPr>
              <w:spacing w:line="240" w:lineRule="auto"/>
              <w:rPr>
                <w:rFonts w:ascii="Times New Roman" w:hAnsi="Times New Roman" w:cs="Times New Roman"/>
                <w:sz w:val="20"/>
                <w:szCs w:val="20"/>
              </w:rPr>
            </w:pPr>
            <w:r>
              <w:rPr>
                <w:rFonts w:ascii="Times New Roman" w:hAnsi="Times New Roman" w:cs="Times New Roman"/>
                <w:sz w:val="20"/>
                <w:szCs w:val="20"/>
              </w:rPr>
              <w:t>2</w:t>
            </w:r>
          </w:p>
        </w:tc>
        <w:tc>
          <w:tcPr>
            <w:tcW w:w="1611" w:type="dxa"/>
            <w:tcBorders>
              <w:top w:val="single" w:sz="4" w:space="0" w:color="auto"/>
              <w:left w:val="single" w:sz="4" w:space="0" w:color="auto"/>
              <w:bottom w:val="single" w:sz="4" w:space="0" w:color="auto"/>
              <w:right w:val="single" w:sz="4" w:space="0" w:color="auto"/>
            </w:tcBorders>
            <w:hideMark/>
          </w:tcPr>
          <w:p w14:paraId="7E6928F1" w14:textId="77777777" w:rsidR="00F272EB" w:rsidRDefault="00F272EB">
            <w:pPr>
              <w:spacing w:line="240" w:lineRule="auto"/>
              <w:rPr>
                <w:rFonts w:ascii="Times New Roman" w:hAnsi="Times New Roman" w:cs="Times New Roman"/>
                <w:sz w:val="20"/>
                <w:szCs w:val="20"/>
              </w:rPr>
            </w:pPr>
            <w:r>
              <w:rPr>
                <w:rFonts w:ascii="Times New Roman" w:hAnsi="Times New Roman" w:cs="Times New Roman"/>
                <w:sz w:val="20"/>
                <w:szCs w:val="20"/>
              </w:rPr>
              <w:t>3.94</w:t>
            </w:r>
          </w:p>
          <w:p w14:paraId="2354B20B" w14:textId="77777777" w:rsidR="00F272EB" w:rsidRDefault="00F272EB">
            <w:pPr>
              <w:spacing w:line="240" w:lineRule="auto"/>
              <w:rPr>
                <w:rFonts w:ascii="Times New Roman" w:hAnsi="Times New Roman" w:cs="Times New Roman"/>
                <w:sz w:val="20"/>
                <w:szCs w:val="20"/>
              </w:rPr>
            </w:pPr>
            <w:r>
              <w:rPr>
                <w:rFonts w:ascii="Times New Roman" w:hAnsi="Times New Roman" w:cs="Times New Roman"/>
                <w:sz w:val="20"/>
                <w:szCs w:val="20"/>
              </w:rPr>
              <w:t>6.12</w:t>
            </w:r>
          </w:p>
        </w:tc>
        <w:tc>
          <w:tcPr>
            <w:tcW w:w="3747" w:type="dxa"/>
            <w:tcBorders>
              <w:top w:val="single" w:sz="4" w:space="0" w:color="auto"/>
              <w:left w:val="single" w:sz="4" w:space="0" w:color="auto"/>
              <w:bottom w:val="single" w:sz="4" w:space="0" w:color="auto"/>
              <w:right w:val="single" w:sz="4" w:space="0" w:color="auto"/>
            </w:tcBorders>
            <w:hideMark/>
          </w:tcPr>
          <w:p w14:paraId="033F19A8" w14:textId="77777777" w:rsidR="00F272EB" w:rsidRDefault="00F272EB">
            <w:pPr>
              <w:spacing w:line="240" w:lineRule="auto"/>
              <w:rPr>
                <w:rFonts w:ascii="Times New Roman" w:hAnsi="Times New Roman" w:cs="Times New Roman"/>
                <w:sz w:val="20"/>
                <w:szCs w:val="20"/>
              </w:rPr>
            </w:pPr>
            <w:r>
              <w:rPr>
                <w:rFonts w:ascii="Times New Roman" w:hAnsi="Times New Roman" w:cs="Times New Roman"/>
                <w:sz w:val="20"/>
                <w:szCs w:val="20"/>
              </w:rPr>
              <w:t>2.3-2.4(min) 2.5-2.7 (max)</w:t>
            </w:r>
            <w:r>
              <w:rPr>
                <w:rFonts w:ascii="Times New Roman" w:hAnsi="Times New Roman" w:cs="Times New Roman"/>
                <w:sz w:val="20"/>
                <w:szCs w:val="20"/>
                <w:vertAlign w:val="superscript"/>
              </w:rPr>
              <w:t>1</w:t>
            </w:r>
          </w:p>
          <w:p w14:paraId="26C7E45A" w14:textId="77777777" w:rsidR="00F272EB" w:rsidRDefault="00F272EB">
            <w:pPr>
              <w:spacing w:line="240" w:lineRule="auto"/>
              <w:rPr>
                <w:rFonts w:ascii="Times New Roman" w:hAnsi="Times New Roman" w:cs="Times New Roman"/>
                <w:sz w:val="20"/>
                <w:szCs w:val="20"/>
                <w:vertAlign w:val="superscript"/>
              </w:rPr>
            </w:pPr>
            <w:r>
              <w:rPr>
                <w:rFonts w:ascii="Times New Roman" w:hAnsi="Times New Roman" w:cs="Times New Roman"/>
                <w:sz w:val="20"/>
                <w:szCs w:val="20"/>
              </w:rPr>
              <w:t>2.8-3.0 (min) 3.1-3.4 (max)</w:t>
            </w:r>
            <w:r>
              <w:rPr>
                <w:rFonts w:ascii="Times New Roman" w:hAnsi="Times New Roman" w:cs="Times New Roman"/>
                <w:sz w:val="20"/>
                <w:szCs w:val="20"/>
                <w:vertAlign w:val="superscript"/>
              </w:rPr>
              <w:t>2</w:t>
            </w:r>
          </w:p>
        </w:tc>
      </w:tr>
      <w:tr w:rsidR="00F272EB" w14:paraId="7897617C" w14:textId="77777777" w:rsidTr="00F272EB">
        <w:tc>
          <w:tcPr>
            <w:tcW w:w="1796" w:type="dxa"/>
            <w:vMerge w:val="restart"/>
            <w:tcBorders>
              <w:top w:val="single" w:sz="4" w:space="0" w:color="auto"/>
              <w:left w:val="single" w:sz="4" w:space="0" w:color="auto"/>
              <w:bottom w:val="single" w:sz="4" w:space="0" w:color="auto"/>
              <w:right w:val="single" w:sz="4" w:space="0" w:color="auto"/>
            </w:tcBorders>
            <w:hideMark/>
          </w:tcPr>
          <w:p w14:paraId="7A16A7FB"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Right Mandible</w:t>
            </w:r>
          </w:p>
        </w:tc>
        <w:tc>
          <w:tcPr>
            <w:tcW w:w="936" w:type="dxa"/>
            <w:tcBorders>
              <w:top w:val="single" w:sz="4" w:space="0" w:color="auto"/>
              <w:left w:val="single" w:sz="4" w:space="0" w:color="auto"/>
              <w:bottom w:val="single" w:sz="4" w:space="0" w:color="auto"/>
              <w:right w:val="single" w:sz="4" w:space="0" w:color="auto"/>
            </w:tcBorders>
            <w:hideMark/>
          </w:tcPr>
          <w:p w14:paraId="52375100" w14:textId="77777777" w:rsidR="00F272EB" w:rsidRDefault="00F272EB">
            <w:pPr>
              <w:spacing w:line="240" w:lineRule="auto"/>
              <w:rPr>
                <w:rFonts w:ascii="Times New Roman" w:hAnsi="Times New Roman" w:cs="Times New Roman"/>
                <w:sz w:val="20"/>
                <w:szCs w:val="20"/>
              </w:rPr>
            </w:pPr>
            <w:r>
              <w:rPr>
                <w:rFonts w:ascii="Times New Roman" w:hAnsi="Times New Roman" w:cs="Times New Roman"/>
                <w:sz w:val="20"/>
                <w:szCs w:val="20"/>
              </w:rPr>
              <w:t>Central Incisor</w:t>
            </w:r>
          </w:p>
        </w:tc>
        <w:tc>
          <w:tcPr>
            <w:tcW w:w="949" w:type="dxa"/>
            <w:tcBorders>
              <w:top w:val="single" w:sz="4" w:space="0" w:color="auto"/>
              <w:left w:val="single" w:sz="4" w:space="0" w:color="auto"/>
              <w:bottom w:val="single" w:sz="4" w:space="0" w:color="auto"/>
              <w:right w:val="single" w:sz="4" w:space="0" w:color="auto"/>
            </w:tcBorders>
            <w:hideMark/>
          </w:tcPr>
          <w:p w14:paraId="2F2B60EA" w14:textId="77777777" w:rsidR="00F272EB" w:rsidRDefault="00F272EB">
            <w:pPr>
              <w:spacing w:line="240" w:lineRule="auto"/>
              <w:rPr>
                <w:rFonts w:ascii="Times New Roman" w:hAnsi="Times New Roman" w:cs="Times New Roman"/>
                <w:sz w:val="20"/>
                <w:szCs w:val="20"/>
              </w:rPr>
            </w:pPr>
            <w:r>
              <w:rPr>
                <w:rFonts w:ascii="Times New Roman" w:hAnsi="Times New Roman" w:cs="Times New Roman"/>
                <w:sz w:val="20"/>
                <w:szCs w:val="20"/>
              </w:rPr>
              <w:t>2</w:t>
            </w:r>
          </w:p>
        </w:tc>
        <w:tc>
          <w:tcPr>
            <w:tcW w:w="1611" w:type="dxa"/>
            <w:tcBorders>
              <w:top w:val="single" w:sz="4" w:space="0" w:color="auto"/>
              <w:left w:val="single" w:sz="4" w:space="0" w:color="auto"/>
              <w:bottom w:val="single" w:sz="4" w:space="0" w:color="auto"/>
              <w:right w:val="single" w:sz="4" w:space="0" w:color="auto"/>
            </w:tcBorders>
            <w:hideMark/>
          </w:tcPr>
          <w:p w14:paraId="2E31CAC6" w14:textId="77777777" w:rsidR="00F272EB" w:rsidRDefault="00F272EB">
            <w:pPr>
              <w:spacing w:line="240" w:lineRule="auto"/>
              <w:rPr>
                <w:rFonts w:ascii="Times New Roman" w:hAnsi="Times New Roman" w:cs="Times New Roman"/>
                <w:sz w:val="20"/>
                <w:szCs w:val="20"/>
              </w:rPr>
            </w:pPr>
            <w:r>
              <w:rPr>
                <w:rFonts w:ascii="Times New Roman" w:hAnsi="Times New Roman" w:cs="Times New Roman"/>
                <w:sz w:val="20"/>
                <w:szCs w:val="20"/>
              </w:rPr>
              <w:t>3.96</w:t>
            </w:r>
          </w:p>
          <w:p w14:paraId="473CD8A2" w14:textId="77777777" w:rsidR="00F272EB" w:rsidRDefault="00F272EB">
            <w:pPr>
              <w:spacing w:line="240" w:lineRule="auto"/>
              <w:rPr>
                <w:rFonts w:ascii="Times New Roman" w:hAnsi="Times New Roman" w:cs="Times New Roman"/>
                <w:sz w:val="20"/>
                <w:szCs w:val="20"/>
              </w:rPr>
            </w:pPr>
            <w:r>
              <w:rPr>
                <w:rFonts w:ascii="Times New Roman" w:hAnsi="Times New Roman" w:cs="Times New Roman"/>
                <w:sz w:val="20"/>
                <w:szCs w:val="20"/>
              </w:rPr>
              <w:t>4.70</w:t>
            </w:r>
          </w:p>
        </w:tc>
        <w:tc>
          <w:tcPr>
            <w:tcW w:w="3747" w:type="dxa"/>
            <w:tcBorders>
              <w:top w:val="single" w:sz="4" w:space="0" w:color="auto"/>
              <w:left w:val="single" w:sz="4" w:space="0" w:color="auto"/>
              <w:bottom w:val="single" w:sz="4" w:space="0" w:color="auto"/>
              <w:right w:val="single" w:sz="4" w:space="0" w:color="auto"/>
            </w:tcBorders>
            <w:hideMark/>
          </w:tcPr>
          <w:p w14:paraId="044F9C5E" w14:textId="77777777" w:rsidR="00F272EB" w:rsidRDefault="00F272EB">
            <w:pPr>
              <w:autoSpaceDE w:val="0"/>
              <w:autoSpaceDN w:val="0"/>
              <w:adjustRightInd w:val="0"/>
              <w:spacing w:line="240" w:lineRule="auto"/>
              <w:rPr>
                <w:rFonts w:ascii="Times New Roman" w:hAnsi="Times New Roman" w:cs="Times New Roman"/>
                <w:sz w:val="20"/>
                <w:szCs w:val="20"/>
              </w:rPr>
            </w:pPr>
            <w:r>
              <w:rPr>
                <w:rFonts w:ascii="Times New Roman" w:hAnsi="Times New Roman" w:cs="Times New Roman"/>
                <w:sz w:val="20"/>
                <w:szCs w:val="20"/>
              </w:rPr>
              <w:t>1.5-1.7 (min) 1.7 2.0 (max)</w:t>
            </w:r>
            <w:r>
              <w:rPr>
                <w:rFonts w:ascii="Times New Roman" w:hAnsi="Times New Roman" w:cs="Times New Roman"/>
                <w:sz w:val="20"/>
                <w:szCs w:val="20"/>
                <w:vertAlign w:val="superscript"/>
              </w:rPr>
              <w:t>5</w:t>
            </w:r>
          </w:p>
          <w:p w14:paraId="7D2E69A2" w14:textId="77777777" w:rsidR="00F272EB" w:rsidRDefault="00F272EB">
            <w:pPr>
              <w:spacing w:line="240" w:lineRule="auto"/>
              <w:rPr>
                <w:rFonts w:ascii="Times New Roman" w:hAnsi="Times New Roman" w:cs="Times New Roman"/>
                <w:b/>
                <w:sz w:val="20"/>
                <w:szCs w:val="20"/>
              </w:rPr>
            </w:pPr>
            <w:r>
              <w:rPr>
                <w:rFonts w:ascii="Times New Roman" w:hAnsi="Times New Roman" w:cs="Times New Roman"/>
                <w:sz w:val="20"/>
                <w:szCs w:val="20"/>
              </w:rPr>
              <w:t>2.0-2.31</w:t>
            </w:r>
          </w:p>
        </w:tc>
      </w:tr>
      <w:tr w:rsidR="00F272EB" w14:paraId="7795DFEB" w14:textId="77777777" w:rsidTr="00F272EB">
        <w:tc>
          <w:tcPr>
            <w:tcW w:w="0" w:type="auto"/>
            <w:vMerge/>
            <w:tcBorders>
              <w:top w:val="single" w:sz="4" w:space="0" w:color="auto"/>
              <w:left w:val="single" w:sz="4" w:space="0" w:color="auto"/>
              <w:bottom w:val="single" w:sz="4" w:space="0" w:color="auto"/>
              <w:right w:val="single" w:sz="4" w:space="0" w:color="auto"/>
            </w:tcBorders>
            <w:vAlign w:val="center"/>
            <w:hideMark/>
          </w:tcPr>
          <w:p w14:paraId="6283D924" w14:textId="77777777" w:rsidR="00F272EB" w:rsidRDefault="00F272EB">
            <w:pPr>
              <w:spacing w:line="240" w:lineRule="auto"/>
              <w:rPr>
                <w:rFonts w:ascii="Times New Roman" w:hAnsi="Times New Roman" w:cs="Times New Roman"/>
                <w:sz w:val="20"/>
                <w:szCs w:val="20"/>
              </w:rPr>
            </w:pPr>
          </w:p>
        </w:tc>
        <w:tc>
          <w:tcPr>
            <w:tcW w:w="936" w:type="dxa"/>
            <w:tcBorders>
              <w:top w:val="single" w:sz="4" w:space="0" w:color="auto"/>
              <w:left w:val="single" w:sz="4" w:space="0" w:color="auto"/>
              <w:bottom w:val="single" w:sz="4" w:space="0" w:color="auto"/>
              <w:right w:val="single" w:sz="4" w:space="0" w:color="auto"/>
            </w:tcBorders>
            <w:hideMark/>
          </w:tcPr>
          <w:p w14:paraId="772E2719" w14:textId="77777777" w:rsidR="00F272EB" w:rsidRDefault="00F272EB">
            <w:pPr>
              <w:spacing w:line="240" w:lineRule="auto"/>
              <w:rPr>
                <w:rFonts w:ascii="Times New Roman" w:hAnsi="Times New Roman" w:cs="Times New Roman"/>
                <w:sz w:val="20"/>
                <w:szCs w:val="20"/>
              </w:rPr>
            </w:pPr>
            <w:r>
              <w:rPr>
                <w:rFonts w:ascii="Times New Roman" w:hAnsi="Times New Roman" w:cs="Times New Roman"/>
                <w:sz w:val="20"/>
                <w:szCs w:val="20"/>
              </w:rPr>
              <w:t>Lateral Incisor</w:t>
            </w:r>
          </w:p>
        </w:tc>
        <w:tc>
          <w:tcPr>
            <w:tcW w:w="949" w:type="dxa"/>
            <w:tcBorders>
              <w:top w:val="single" w:sz="4" w:space="0" w:color="auto"/>
              <w:left w:val="single" w:sz="4" w:space="0" w:color="auto"/>
              <w:bottom w:val="single" w:sz="4" w:space="0" w:color="auto"/>
              <w:right w:val="single" w:sz="4" w:space="0" w:color="auto"/>
            </w:tcBorders>
            <w:hideMark/>
          </w:tcPr>
          <w:p w14:paraId="409ECEF0" w14:textId="77777777" w:rsidR="00F272EB" w:rsidRDefault="00F272EB">
            <w:pPr>
              <w:spacing w:line="240" w:lineRule="auto"/>
              <w:rPr>
                <w:rFonts w:ascii="Times New Roman" w:hAnsi="Times New Roman" w:cs="Times New Roman"/>
                <w:sz w:val="20"/>
                <w:szCs w:val="20"/>
              </w:rPr>
            </w:pPr>
            <w:r>
              <w:rPr>
                <w:rFonts w:ascii="Times New Roman" w:hAnsi="Times New Roman" w:cs="Times New Roman"/>
                <w:sz w:val="20"/>
                <w:szCs w:val="20"/>
              </w:rPr>
              <w:t>3</w:t>
            </w:r>
          </w:p>
        </w:tc>
        <w:tc>
          <w:tcPr>
            <w:tcW w:w="1611" w:type="dxa"/>
            <w:tcBorders>
              <w:top w:val="single" w:sz="4" w:space="0" w:color="auto"/>
              <w:left w:val="single" w:sz="4" w:space="0" w:color="auto"/>
              <w:bottom w:val="single" w:sz="4" w:space="0" w:color="auto"/>
              <w:right w:val="single" w:sz="4" w:space="0" w:color="auto"/>
            </w:tcBorders>
            <w:hideMark/>
          </w:tcPr>
          <w:p w14:paraId="2775938C" w14:textId="77777777" w:rsidR="00F272EB" w:rsidRDefault="00F272EB">
            <w:pPr>
              <w:spacing w:line="240" w:lineRule="auto"/>
              <w:rPr>
                <w:rFonts w:ascii="Times New Roman" w:hAnsi="Times New Roman" w:cs="Times New Roman"/>
                <w:sz w:val="20"/>
                <w:szCs w:val="20"/>
              </w:rPr>
            </w:pPr>
            <w:r>
              <w:rPr>
                <w:rFonts w:ascii="Times New Roman" w:hAnsi="Times New Roman" w:cs="Times New Roman"/>
                <w:sz w:val="20"/>
                <w:szCs w:val="20"/>
              </w:rPr>
              <w:t>3.6</w:t>
            </w:r>
          </w:p>
          <w:p w14:paraId="64AA2AD6" w14:textId="77777777" w:rsidR="00F272EB" w:rsidRDefault="00F272EB">
            <w:pPr>
              <w:spacing w:line="240" w:lineRule="auto"/>
              <w:rPr>
                <w:rFonts w:ascii="Times New Roman" w:hAnsi="Times New Roman" w:cs="Times New Roman"/>
                <w:sz w:val="20"/>
                <w:szCs w:val="20"/>
              </w:rPr>
            </w:pPr>
            <w:r>
              <w:rPr>
                <w:rFonts w:ascii="Times New Roman" w:hAnsi="Times New Roman" w:cs="Times New Roman"/>
                <w:sz w:val="20"/>
                <w:szCs w:val="20"/>
              </w:rPr>
              <w:t>6.47</w:t>
            </w:r>
          </w:p>
          <w:p w14:paraId="6F3A50CC" w14:textId="77777777" w:rsidR="00F272EB" w:rsidRDefault="00F272EB">
            <w:pPr>
              <w:spacing w:line="240" w:lineRule="auto"/>
              <w:rPr>
                <w:rFonts w:ascii="Times New Roman" w:hAnsi="Times New Roman" w:cs="Times New Roman"/>
                <w:sz w:val="20"/>
                <w:szCs w:val="20"/>
              </w:rPr>
            </w:pPr>
            <w:r>
              <w:rPr>
                <w:rFonts w:ascii="Times New Roman" w:hAnsi="Times New Roman" w:cs="Times New Roman"/>
                <w:sz w:val="20"/>
                <w:szCs w:val="20"/>
              </w:rPr>
              <w:t>6.90</w:t>
            </w:r>
          </w:p>
        </w:tc>
        <w:tc>
          <w:tcPr>
            <w:tcW w:w="3747" w:type="dxa"/>
            <w:tcBorders>
              <w:top w:val="single" w:sz="4" w:space="0" w:color="auto"/>
              <w:left w:val="single" w:sz="4" w:space="0" w:color="auto"/>
              <w:bottom w:val="single" w:sz="4" w:space="0" w:color="auto"/>
              <w:right w:val="single" w:sz="4" w:space="0" w:color="auto"/>
            </w:tcBorders>
            <w:hideMark/>
          </w:tcPr>
          <w:p w14:paraId="2B3A8205" w14:textId="77777777" w:rsidR="00F272EB" w:rsidRDefault="00F272EB">
            <w:pPr>
              <w:autoSpaceDE w:val="0"/>
              <w:autoSpaceDN w:val="0"/>
              <w:adjustRightInd w:val="0"/>
              <w:spacing w:line="240" w:lineRule="auto"/>
              <w:rPr>
                <w:rFonts w:ascii="Times New Roman" w:hAnsi="Times New Roman" w:cs="Times New Roman"/>
                <w:sz w:val="20"/>
                <w:szCs w:val="20"/>
              </w:rPr>
            </w:pPr>
            <w:r>
              <w:rPr>
                <w:rFonts w:ascii="Times New Roman" w:hAnsi="Times New Roman" w:cs="Times New Roman"/>
                <w:sz w:val="20"/>
                <w:szCs w:val="20"/>
              </w:rPr>
              <w:t>1.7-1.8 (min) 1.9 -2.1 (max)</w:t>
            </w:r>
            <w:r>
              <w:rPr>
                <w:rFonts w:ascii="Times New Roman" w:hAnsi="Times New Roman" w:cs="Times New Roman"/>
                <w:sz w:val="20"/>
                <w:szCs w:val="20"/>
                <w:vertAlign w:val="superscript"/>
              </w:rPr>
              <w:t>5</w:t>
            </w:r>
          </w:p>
          <w:p w14:paraId="7E9AC078" w14:textId="77777777" w:rsidR="00F272EB" w:rsidRDefault="00F272EB">
            <w:pPr>
              <w:autoSpaceDE w:val="0"/>
              <w:autoSpaceDN w:val="0"/>
              <w:adjustRightInd w:val="0"/>
              <w:spacing w:line="240" w:lineRule="auto"/>
              <w:rPr>
                <w:rFonts w:ascii="Times New Roman" w:hAnsi="Times New Roman" w:cs="Times New Roman"/>
                <w:sz w:val="20"/>
                <w:szCs w:val="20"/>
                <w:vertAlign w:val="superscript"/>
              </w:rPr>
            </w:pPr>
            <w:r>
              <w:rPr>
                <w:rFonts w:ascii="Times New Roman" w:hAnsi="Times New Roman" w:cs="Times New Roman"/>
                <w:sz w:val="20"/>
                <w:szCs w:val="20"/>
              </w:rPr>
              <w:t>2.6-2.8 (min) 3.0-3.2 (max)</w:t>
            </w:r>
            <w:r>
              <w:rPr>
                <w:rFonts w:ascii="Times New Roman" w:hAnsi="Times New Roman" w:cs="Times New Roman"/>
                <w:sz w:val="20"/>
                <w:szCs w:val="20"/>
                <w:vertAlign w:val="superscript"/>
              </w:rPr>
              <w:t>2</w:t>
            </w:r>
          </w:p>
          <w:p w14:paraId="11D6C6D0" w14:textId="77777777" w:rsidR="00F272EB" w:rsidRDefault="00F272EB">
            <w:pPr>
              <w:autoSpaceDE w:val="0"/>
              <w:autoSpaceDN w:val="0"/>
              <w:adjustRightInd w:val="0"/>
              <w:spacing w:line="240" w:lineRule="auto"/>
              <w:rPr>
                <w:rFonts w:ascii="Times New Roman" w:hAnsi="Times New Roman" w:cs="Times New Roman"/>
                <w:sz w:val="20"/>
                <w:szCs w:val="20"/>
              </w:rPr>
            </w:pPr>
            <w:r>
              <w:rPr>
                <w:rFonts w:ascii="Times New Roman" w:hAnsi="Times New Roman" w:cs="Times New Roman"/>
                <w:sz w:val="20"/>
                <w:szCs w:val="20"/>
              </w:rPr>
              <w:t>3.0-3.3 (min) 3.4-3.7 (max)</w:t>
            </w:r>
            <w:r>
              <w:rPr>
                <w:rFonts w:ascii="Times New Roman" w:hAnsi="Times New Roman" w:cs="Times New Roman"/>
                <w:sz w:val="20"/>
                <w:szCs w:val="20"/>
                <w:vertAlign w:val="superscript"/>
              </w:rPr>
              <w:t>3</w:t>
            </w:r>
          </w:p>
        </w:tc>
      </w:tr>
      <w:tr w:rsidR="00F272EB" w14:paraId="7A7EC43E" w14:textId="77777777" w:rsidTr="00F272EB">
        <w:tc>
          <w:tcPr>
            <w:tcW w:w="0" w:type="auto"/>
            <w:vMerge/>
            <w:tcBorders>
              <w:top w:val="single" w:sz="4" w:space="0" w:color="auto"/>
              <w:left w:val="single" w:sz="4" w:space="0" w:color="auto"/>
              <w:bottom w:val="single" w:sz="4" w:space="0" w:color="auto"/>
              <w:right w:val="single" w:sz="4" w:space="0" w:color="auto"/>
            </w:tcBorders>
            <w:vAlign w:val="center"/>
            <w:hideMark/>
          </w:tcPr>
          <w:p w14:paraId="4BBC29B7" w14:textId="77777777" w:rsidR="00F272EB" w:rsidRDefault="00F272EB">
            <w:pPr>
              <w:spacing w:line="240" w:lineRule="auto"/>
              <w:rPr>
                <w:rFonts w:ascii="Times New Roman" w:hAnsi="Times New Roman" w:cs="Times New Roman"/>
                <w:sz w:val="20"/>
                <w:szCs w:val="20"/>
              </w:rPr>
            </w:pPr>
          </w:p>
        </w:tc>
        <w:tc>
          <w:tcPr>
            <w:tcW w:w="936" w:type="dxa"/>
            <w:tcBorders>
              <w:top w:val="single" w:sz="4" w:space="0" w:color="auto"/>
              <w:left w:val="single" w:sz="4" w:space="0" w:color="auto"/>
              <w:bottom w:val="single" w:sz="4" w:space="0" w:color="auto"/>
              <w:right w:val="single" w:sz="4" w:space="0" w:color="auto"/>
            </w:tcBorders>
            <w:hideMark/>
          </w:tcPr>
          <w:p w14:paraId="0C992853" w14:textId="77777777" w:rsidR="00F272EB" w:rsidRDefault="00F272EB">
            <w:pPr>
              <w:spacing w:line="240" w:lineRule="auto"/>
              <w:rPr>
                <w:rFonts w:ascii="Times New Roman" w:hAnsi="Times New Roman" w:cs="Times New Roman"/>
                <w:sz w:val="20"/>
                <w:szCs w:val="20"/>
              </w:rPr>
            </w:pPr>
            <w:r>
              <w:rPr>
                <w:rFonts w:ascii="Times New Roman" w:hAnsi="Times New Roman" w:cs="Times New Roman"/>
                <w:sz w:val="20"/>
                <w:szCs w:val="20"/>
              </w:rPr>
              <w:t>Canine</w:t>
            </w:r>
          </w:p>
        </w:tc>
        <w:tc>
          <w:tcPr>
            <w:tcW w:w="949" w:type="dxa"/>
            <w:tcBorders>
              <w:top w:val="single" w:sz="4" w:space="0" w:color="auto"/>
              <w:left w:val="single" w:sz="4" w:space="0" w:color="auto"/>
              <w:bottom w:val="single" w:sz="4" w:space="0" w:color="auto"/>
              <w:right w:val="single" w:sz="4" w:space="0" w:color="auto"/>
            </w:tcBorders>
            <w:hideMark/>
          </w:tcPr>
          <w:p w14:paraId="6AACBFA2" w14:textId="77777777" w:rsidR="00F272EB" w:rsidRDefault="00F272EB">
            <w:pPr>
              <w:spacing w:line="240" w:lineRule="auto"/>
              <w:rPr>
                <w:rFonts w:ascii="Times New Roman" w:hAnsi="Times New Roman" w:cs="Times New Roman"/>
                <w:sz w:val="20"/>
                <w:szCs w:val="20"/>
              </w:rPr>
            </w:pPr>
            <w:r>
              <w:rPr>
                <w:rFonts w:ascii="Times New Roman" w:hAnsi="Times New Roman" w:cs="Times New Roman"/>
                <w:sz w:val="20"/>
                <w:szCs w:val="20"/>
              </w:rPr>
              <w:t>2</w:t>
            </w:r>
          </w:p>
        </w:tc>
        <w:tc>
          <w:tcPr>
            <w:tcW w:w="1611" w:type="dxa"/>
            <w:tcBorders>
              <w:top w:val="single" w:sz="4" w:space="0" w:color="auto"/>
              <w:left w:val="single" w:sz="4" w:space="0" w:color="auto"/>
              <w:bottom w:val="single" w:sz="4" w:space="0" w:color="auto"/>
              <w:right w:val="single" w:sz="4" w:space="0" w:color="auto"/>
            </w:tcBorders>
            <w:hideMark/>
          </w:tcPr>
          <w:p w14:paraId="00408EA2" w14:textId="77777777" w:rsidR="00F272EB" w:rsidRDefault="00F272EB">
            <w:pPr>
              <w:spacing w:line="240" w:lineRule="auto"/>
              <w:rPr>
                <w:rFonts w:ascii="Times New Roman" w:hAnsi="Times New Roman" w:cs="Times New Roman"/>
                <w:sz w:val="20"/>
                <w:szCs w:val="20"/>
              </w:rPr>
            </w:pPr>
            <w:r>
              <w:rPr>
                <w:rFonts w:ascii="Times New Roman" w:hAnsi="Times New Roman" w:cs="Times New Roman"/>
                <w:sz w:val="20"/>
                <w:szCs w:val="20"/>
              </w:rPr>
              <w:t>4.59</w:t>
            </w:r>
          </w:p>
          <w:p w14:paraId="47AC9C17" w14:textId="77777777" w:rsidR="00F272EB" w:rsidRDefault="00F272EB">
            <w:pPr>
              <w:spacing w:line="240" w:lineRule="auto"/>
              <w:rPr>
                <w:rFonts w:ascii="Times New Roman" w:hAnsi="Times New Roman" w:cs="Times New Roman"/>
                <w:sz w:val="20"/>
                <w:szCs w:val="20"/>
              </w:rPr>
            </w:pPr>
            <w:r>
              <w:rPr>
                <w:rFonts w:ascii="Times New Roman" w:hAnsi="Times New Roman" w:cs="Times New Roman"/>
                <w:sz w:val="20"/>
                <w:szCs w:val="20"/>
              </w:rPr>
              <w:t>7.04</w:t>
            </w:r>
          </w:p>
        </w:tc>
        <w:tc>
          <w:tcPr>
            <w:tcW w:w="3747" w:type="dxa"/>
            <w:tcBorders>
              <w:top w:val="single" w:sz="4" w:space="0" w:color="auto"/>
              <w:left w:val="single" w:sz="4" w:space="0" w:color="auto"/>
              <w:bottom w:val="single" w:sz="4" w:space="0" w:color="auto"/>
              <w:right w:val="single" w:sz="4" w:space="0" w:color="auto"/>
            </w:tcBorders>
            <w:hideMark/>
          </w:tcPr>
          <w:p w14:paraId="43ED03E3" w14:textId="77777777" w:rsidR="00F272EB" w:rsidRDefault="00F272EB">
            <w:pPr>
              <w:autoSpaceDE w:val="0"/>
              <w:autoSpaceDN w:val="0"/>
              <w:adjustRightInd w:val="0"/>
              <w:spacing w:line="240" w:lineRule="auto"/>
              <w:rPr>
                <w:rFonts w:ascii="Times New Roman" w:hAnsi="Times New Roman" w:cs="Times New Roman"/>
                <w:sz w:val="20"/>
                <w:szCs w:val="20"/>
              </w:rPr>
            </w:pPr>
            <w:r>
              <w:rPr>
                <w:rFonts w:ascii="Times New Roman" w:hAnsi="Times New Roman" w:cs="Times New Roman"/>
                <w:sz w:val="20"/>
                <w:szCs w:val="20"/>
              </w:rPr>
              <w:t>3.2-3.63</w:t>
            </w:r>
          </w:p>
          <w:p w14:paraId="76BAE20B" w14:textId="77777777" w:rsidR="00F272EB" w:rsidRDefault="00F272EB">
            <w:pPr>
              <w:autoSpaceDE w:val="0"/>
              <w:autoSpaceDN w:val="0"/>
              <w:adjustRightInd w:val="0"/>
              <w:spacing w:line="240" w:lineRule="auto"/>
              <w:rPr>
                <w:rFonts w:ascii="Times New Roman" w:hAnsi="Times New Roman" w:cs="Times New Roman"/>
                <w:sz w:val="20"/>
                <w:szCs w:val="20"/>
              </w:rPr>
            </w:pPr>
            <w:r>
              <w:rPr>
                <w:rFonts w:ascii="Times New Roman" w:hAnsi="Times New Roman" w:cs="Times New Roman"/>
                <w:sz w:val="20"/>
                <w:szCs w:val="20"/>
              </w:rPr>
              <w:t>3.7-4.2 (min) 4.2-4.9 (max)</w:t>
            </w:r>
            <w:r>
              <w:rPr>
                <w:rFonts w:ascii="Times New Roman" w:hAnsi="Times New Roman" w:cs="Times New Roman"/>
                <w:sz w:val="20"/>
                <w:szCs w:val="20"/>
                <w:vertAlign w:val="superscript"/>
              </w:rPr>
              <w:t>4</w:t>
            </w:r>
          </w:p>
        </w:tc>
      </w:tr>
      <w:tr w:rsidR="00F272EB" w14:paraId="1ACAD591" w14:textId="77777777" w:rsidTr="00F272EB">
        <w:tc>
          <w:tcPr>
            <w:tcW w:w="1796" w:type="dxa"/>
            <w:vMerge w:val="restart"/>
            <w:tcBorders>
              <w:top w:val="single" w:sz="4" w:space="0" w:color="auto"/>
              <w:left w:val="single" w:sz="4" w:space="0" w:color="auto"/>
              <w:bottom w:val="single" w:sz="4" w:space="0" w:color="auto"/>
              <w:right w:val="single" w:sz="4" w:space="0" w:color="auto"/>
            </w:tcBorders>
            <w:hideMark/>
          </w:tcPr>
          <w:p w14:paraId="6C3B6F4A" w14:textId="77777777" w:rsidR="00F272EB" w:rsidRDefault="00F272EB">
            <w:pPr>
              <w:spacing w:line="240" w:lineRule="auto"/>
              <w:jc w:val="both"/>
              <w:rPr>
                <w:rFonts w:ascii="Times New Roman" w:hAnsi="Times New Roman" w:cs="Times New Roman"/>
                <w:sz w:val="20"/>
                <w:szCs w:val="20"/>
              </w:rPr>
            </w:pPr>
            <w:r>
              <w:rPr>
                <w:rFonts w:ascii="Times New Roman" w:hAnsi="Times New Roman" w:cs="Times New Roman"/>
                <w:sz w:val="20"/>
                <w:szCs w:val="20"/>
              </w:rPr>
              <w:t>Left Mandible</w:t>
            </w:r>
          </w:p>
        </w:tc>
        <w:tc>
          <w:tcPr>
            <w:tcW w:w="936" w:type="dxa"/>
            <w:tcBorders>
              <w:top w:val="single" w:sz="4" w:space="0" w:color="auto"/>
              <w:left w:val="single" w:sz="4" w:space="0" w:color="auto"/>
              <w:bottom w:val="single" w:sz="4" w:space="0" w:color="auto"/>
              <w:right w:val="single" w:sz="4" w:space="0" w:color="auto"/>
            </w:tcBorders>
            <w:hideMark/>
          </w:tcPr>
          <w:p w14:paraId="3F2951F5" w14:textId="77777777" w:rsidR="00F272EB" w:rsidRDefault="00F272EB">
            <w:pPr>
              <w:spacing w:line="240" w:lineRule="auto"/>
              <w:rPr>
                <w:rFonts w:ascii="Times New Roman" w:hAnsi="Times New Roman" w:cs="Times New Roman"/>
                <w:sz w:val="20"/>
                <w:szCs w:val="20"/>
              </w:rPr>
            </w:pPr>
            <w:r>
              <w:rPr>
                <w:rFonts w:ascii="Times New Roman" w:hAnsi="Times New Roman" w:cs="Times New Roman"/>
                <w:sz w:val="20"/>
                <w:szCs w:val="20"/>
              </w:rPr>
              <w:t>Lateral Incisor</w:t>
            </w:r>
          </w:p>
        </w:tc>
        <w:tc>
          <w:tcPr>
            <w:tcW w:w="949" w:type="dxa"/>
            <w:tcBorders>
              <w:top w:val="single" w:sz="4" w:space="0" w:color="auto"/>
              <w:left w:val="single" w:sz="4" w:space="0" w:color="auto"/>
              <w:bottom w:val="single" w:sz="4" w:space="0" w:color="auto"/>
              <w:right w:val="single" w:sz="4" w:space="0" w:color="auto"/>
            </w:tcBorders>
            <w:hideMark/>
          </w:tcPr>
          <w:p w14:paraId="2F3A0962" w14:textId="77777777" w:rsidR="00F272EB" w:rsidRDefault="00F272EB">
            <w:pPr>
              <w:spacing w:line="240" w:lineRule="auto"/>
              <w:rPr>
                <w:rFonts w:ascii="Times New Roman" w:hAnsi="Times New Roman" w:cs="Times New Roman"/>
                <w:sz w:val="20"/>
                <w:szCs w:val="20"/>
              </w:rPr>
            </w:pPr>
            <w:r>
              <w:rPr>
                <w:rFonts w:ascii="Times New Roman" w:hAnsi="Times New Roman" w:cs="Times New Roman"/>
                <w:sz w:val="20"/>
                <w:szCs w:val="20"/>
              </w:rPr>
              <w:t>2</w:t>
            </w:r>
          </w:p>
        </w:tc>
        <w:tc>
          <w:tcPr>
            <w:tcW w:w="1611" w:type="dxa"/>
            <w:tcBorders>
              <w:top w:val="single" w:sz="4" w:space="0" w:color="auto"/>
              <w:left w:val="single" w:sz="4" w:space="0" w:color="auto"/>
              <w:bottom w:val="single" w:sz="4" w:space="0" w:color="auto"/>
              <w:right w:val="single" w:sz="4" w:space="0" w:color="auto"/>
            </w:tcBorders>
            <w:hideMark/>
          </w:tcPr>
          <w:p w14:paraId="6086C539" w14:textId="77777777" w:rsidR="00F272EB" w:rsidRDefault="00F272EB">
            <w:pPr>
              <w:spacing w:line="240" w:lineRule="auto"/>
              <w:rPr>
                <w:rFonts w:ascii="Times New Roman" w:hAnsi="Times New Roman" w:cs="Times New Roman"/>
                <w:sz w:val="20"/>
                <w:szCs w:val="20"/>
              </w:rPr>
            </w:pPr>
            <w:r>
              <w:rPr>
                <w:rFonts w:ascii="Times New Roman" w:hAnsi="Times New Roman" w:cs="Times New Roman"/>
                <w:sz w:val="20"/>
                <w:szCs w:val="20"/>
              </w:rPr>
              <w:t>5.83</w:t>
            </w:r>
          </w:p>
          <w:p w14:paraId="2D4906A2" w14:textId="77777777" w:rsidR="00F272EB" w:rsidRDefault="00F272EB">
            <w:pPr>
              <w:spacing w:line="240" w:lineRule="auto"/>
              <w:rPr>
                <w:rFonts w:ascii="Times New Roman" w:hAnsi="Times New Roman" w:cs="Times New Roman"/>
                <w:sz w:val="20"/>
                <w:szCs w:val="20"/>
              </w:rPr>
            </w:pPr>
            <w:r>
              <w:rPr>
                <w:rFonts w:ascii="Times New Roman" w:hAnsi="Times New Roman" w:cs="Times New Roman"/>
                <w:sz w:val="20"/>
                <w:szCs w:val="20"/>
              </w:rPr>
              <w:t>6.39</w:t>
            </w:r>
          </w:p>
        </w:tc>
        <w:tc>
          <w:tcPr>
            <w:tcW w:w="3747" w:type="dxa"/>
            <w:tcBorders>
              <w:top w:val="single" w:sz="4" w:space="0" w:color="auto"/>
              <w:left w:val="single" w:sz="4" w:space="0" w:color="auto"/>
              <w:bottom w:val="single" w:sz="4" w:space="0" w:color="auto"/>
              <w:right w:val="single" w:sz="4" w:space="0" w:color="auto"/>
            </w:tcBorders>
            <w:hideMark/>
          </w:tcPr>
          <w:p w14:paraId="6590300B" w14:textId="77777777" w:rsidR="00F272EB" w:rsidRDefault="00F272EB">
            <w:pPr>
              <w:autoSpaceDE w:val="0"/>
              <w:autoSpaceDN w:val="0"/>
              <w:adjustRightInd w:val="0"/>
              <w:spacing w:line="240" w:lineRule="auto"/>
              <w:rPr>
                <w:rFonts w:ascii="Times New Roman" w:hAnsi="Times New Roman" w:cs="Times New Roman"/>
                <w:sz w:val="20"/>
                <w:szCs w:val="20"/>
              </w:rPr>
            </w:pPr>
            <w:r>
              <w:rPr>
                <w:rFonts w:ascii="Times New Roman" w:hAnsi="Times New Roman" w:cs="Times New Roman"/>
                <w:sz w:val="20"/>
                <w:szCs w:val="20"/>
              </w:rPr>
              <w:t>2.6-2.8</w:t>
            </w:r>
          </w:p>
          <w:p w14:paraId="679002DD" w14:textId="77777777" w:rsidR="00F272EB" w:rsidRDefault="00F272EB">
            <w:pPr>
              <w:autoSpaceDE w:val="0"/>
              <w:autoSpaceDN w:val="0"/>
              <w:adjustRightInd w:val="0"/>
              <w:spacing w:line="240" w:lineRule="auto"/>
              <w:rPr>
                <w:rFonts w:ascii="Times New Roman" w:hAnsi="Times New Roman" w:cs="Times New Roman"/>
                <w:sz w:val="20"/>
                <w:szCs w:val="20"/>
              </w:rPr>
            </w:pPr>
            <w:r>
              <w:rPr>
                <w:rFonts w:ascii="Times New Roman" w:hAnsi="Times New Roman" w:cs="Times New Roman"/>
                <w:sz w:val="20"/>
                <w:szCs w:val="20"/>
              </w:rPr>
              <w:t>3.0/3.3 (min) 3.4-3.7 (max)</w:t>
            </w:r>
            <w:r>
              <w:rPr>
                <w:rFonts w:ascii="Times New Roman" w:hAnsi="Times New Roman" w:cs="Times New Roman"/>
                <w:sz w:val="20"/>
                <w:szCs w:val="20"/>
                <w:vertAlign w:val="superscript"/>
              </w:rPr>
              <w:t>3</w:t>
            </w:r>
          </w:p>
        </w:tc>
      </w:tr>
      <w:tr w:rsidR="00F272EB" w14:paraId="2F60E6D0" w14:textId="77777777" w:rsidTr="00F272EB">
        <w:tc>
          <w:tcPr>
            <w:tcW w:w="0" w:type="auto"/>
            <w:vMerge/>
            <w:tcBorders>
              <w:top w:val="single" w:sz="4" w:space="0" w:color="auto"/>
              <w:left w:val="single" w:sz="4" w:space="0" w:color="auto"/>
              <w:bottom w:val="single" w:sz="4" w:space="0" w:color="auto"/>
              <w:right w:val="single" w:sz="4" w:space="0" w:color="auto"/>
            </w:tcBorders>
            <w:vAlign w:val="center"/>
            <w:hideMark/>
          </w:tcPr>
          <w:p w14:paraId="726FEA1F" w14:textId="77777777" w:rsidR="00F272EB" w:rsidRDefault="00F272EB">
            <w:pPr>
              <w:spacing w:line="240" w:lineRule="auto"/>
              <w:rPr>
                <w:rFonts w:ascii="Times New Roman" w:hAnsi="Times New Roman" w:cs="Times New Roman"/>
                <w:sz w:val="20"/>
                <w:szCs w:val="20"/>
              </w:rPr>
            </w:pPr>
          </w:p>
        </w:tc>
        <w:tc>
          <w:tcPr>
            <w:tcW w:w="936" w:type="dxa"/>
            <w:tcBorders>
              <w:top w:val="single" w:sz="4" w:space="0" w:color="auto"/>
              <w:left w:val="single" w:sz="4" w:space="0" w:color="auto"/>
              <w:bottom w:val="single" w:sz="4" w:space="0" w:color="auto"/>
              <w:right w:val="single" w:sz="4" w:space="0" w:color="auto"/>
            </w:tcBorders>
            <w:hideMark/>
          </w:tcPr>
          <w:p w14:paraId="4A75AE48" w14:textId="77777777" w:rsidR="00F272EB" w:rsidRDefault="00F272EB">
            <w:pPr>
              <w:spacing w:line="240" w:lineRule="auto"/>
              <w:rPr>
                <w:rFonts w:ascii="Times New Roman" w:hAnsi="Times New Roman" w:cs="Times New Roman"/>
                <w:sz w:val="20"/>
                <w:szCs w:val="20"/>
              </w:rPr>
            </w:pPr>
            <w:r>
              <w:rPr>
                <w:rFonts w:ascii="Times New Roman" w:hAnsi="Times New Roman" w:cs="Times New Roman"/>
                <w:sz w:val="20"/>
                <w:szCs w:val="20"/>
              </w:rPr>
              <w:t>Canine</w:t>
            </w:r>
          </w:p>
        </w:tc>
        <w:tc>
          <w:tcPr>
            <w:tcW w:w="949" w:type="dxa"/>
            <w:tcBorders>
              <w:top w:val="single" w:sz="4" w:space="0" w:color="auto"/>
              <w:left w:val="single" w:sz="4" w:space="0" w:color="auto"/>
              <w:bottom w:val="single" w:sz="4" w:space="0" w:color="auto"/>
              <w:right w:val="single" w:sz="4" w:space="0" w:color="auto"/>
            </w:tcBorders>
            <w:hideMark/>
          </w:tcPr>
          <w:p w14:paraId="1FABE649" w14:textId="77777777" w:rsidR="00F272EB" w:rsidRDefault="00F272EB">
            <w:pPr>
              <w:spacing w:line="240" w:lineRule="auto"/>
              <w:rPr>
                <w:rFonts w:ascii="Times New Roman" w:hAnsi="Times New Roman" w:cs="Times New Roman"/>
                <w:sz w:val="20"/>
                <w:szCs w:val="20"/>
              </w:rPr>
            </w:pPr>
            <w:r>
              <w:rPr>
                <w:rFonts w:ascii="Times New Roman" w:hAnsi="Times New Roman" w:cs="Times New Roman"/>
                <w:sz w:val="20"/>
                <w:szCs w:val="20"/>
              </w:rPr>
              <w:t>2</w:t>
            </w:r>
          </w:p>
        </w:tc>
        <w:tc>
          <w:tcPr>
            <w:tcW w:w="1611" w:type="dxa"/>
            <w:tcBorders>
              <w:top w:val="single" w:sz="4" w:space="0" w:color="auto"/>
              <w:left w:val="single" w:sz="4" w:space="0" w:color="auto"/>
              <w:bottom w:val="single" w:sz="4" w:space="0" w:color="auto"/>
              <w:right w:val="single" w:sz="4" w:space="0" w:color="auto"/>
            </w:tcBorders>
            <w:hideMark/>
          </w:tcPr>
          <w:p w14:paraId="20AE481A" w14:textId="77777777" w:rsidR="00F272EB" w:rsidRDefault="00F272EB">
            <w:pPr>
              <w:spacing w:line="240" w:lineRule="auto"/>
              <w:rPr>
                <w:rFonts w:ascii="Times New Roman" w:hAnsi="Times New Roman" w:cs="Times New Roman"/>
                <w:sz w:val="20"/>
                <w:szCs w:val="20"/>
              </w:rPr>
            </w:pPr>
            <w:r>
              <w:rPr>
                <w:rFonts w:ascii="Times New Roman" w:hAnsi="Times New Roman" w:cs="Times New Roman"/>
                <w:sz w:val="20"/>
                <w:szCs w:val="20"/>
              </w:rPr>
              <w:t>3.65</w:t>
            </w:r>
          </w:p>
          <w:p w14:paraId="5910CF28" w14:textId="77777777" w:rsidR="00F272EB" w:rsidRDefault="00F272EB">
            <w:pPr>
              <w:spacing w:line="240" w:lineRule="auto"/>
              <w:rPr>
                <w:rFonts w:ascii="Times New Roman" w:hAnsi="Times New Roman" w:cs="Times New Roman"/>
                <w:sz w:val="20"/>
                <w:szCs w:val="20"/>
              </w:rPr>
            </w:pPr>
            <w:r>
              <w:rPr>
                <w:rFonts w:ascii="Times New Roman" w:hAnsi="Times New Roman" w:cs="Times New Roman"/>
                <w:sz w:val="20"/>
                <w:szCs w:val="20"/>
              </w:rPr>
              <w:t>4.95</w:t>
            </w:r>
          </w:p>
        </w:tc>
        <w:tc>
          <w:tcPr>
            <w:tcW w:w="3747" w:type="dxa"/>
            <w:tcBorders>
              <w:top w:val="single" w:sz="4" w:space="0" w:color="auto"/>
              <w:left w:val="single" w:sz="4" w:space="0" w:color="auto"/>
              <w:bottom w:val="single" w:sz="4" w:space="0" w:color="auto"/>
              <w:right w:val="single" w:sz="4" w:space="0" w:color="auto"/>
            </w:tcBorders>
            <w:hideMark/>
          </w:tcPr>
          <w:p w14:paraId="74E816D5" w14:textId="77777777" w:rsidR="00F272EB" w:rsidRDefault="00F272EB">
            <w:pPr>
              <w:autoSpaceDE w:val="0"/>
              <w:autoSpaceDN w:val="0"/>
              <w:adjustRightInd w:val="0"/>
              <w:spacing w:line="240" w:lineRule="auto"/>
              <w:rPr>
                <w:rFonts w:ascii="Times New Roman" w:hAnsi="Times New Roman" w:cs="Times New Roman"/>
                <w:sz w:val="20"/>
                <w:szCs w:val="20"/>
              </w:rPr>
            </w:pPr>
            <w:r>
              <w:rPr>
                <w:rFonts w:ascii="Times New Roman" w:hAnsi="Times New Roman" w:cs="Times New Roman"/>
                <w:sz w:val="20"/>
                <w:szCs w:val="20"/>
              </w:rPr>
              <w:t>2.4-2.71</w:t>
            </w:r>
          </w:p>
          <w:p w14:paraId="06C0D967" w14:textId="77777777" w:rsidR="00F272EB" w:rsidRDefault="00F272EB">
            <w:pPr>
              <w:autoSpaceDE w:val="0"/>
              <w:autoSpaceDN w:val="0"/>
              <w:adjustRightInd w:val="0"/>
              <w:spacing w:line="240" w:lineRule="auto"/>
              <w:rPr>
                <w:rFonts w:ascii="Times New Roman" w:hAnsi="Times New Roman" w:cs="Times New Roman"/>
                <w:sz w:val="20"/>
                <w:szCs w:val="20"/>
              </w:rPr>
            </w:pPr>
            <w:r>
              <w:rPr>
                <w:rFonts w:ascii="Times New Roman" w:hAnsi="Times New Roman" w:cs="Times New Roman"/>
                <w:sz w:val="20"/>
                <w:szCs w:val="20"/>
              </w:rPr>
              <w:t>3.2-3.63</w:t>
            </w:r>
          </w:p>
        </w:tc>
      </w:tr>
    </w:tbl>
    <w:p w14:paraId="33837B5A" w14:textId="77777777" w:rsidR="00F272EB" w:rsidRDefault="00F272EB" w:rsidP="00F272EB">
      <w:pPr>
        <w:spacing w:after="0" w:line="276" w:lineRule="auto"/>
        <w:jc w:val="both"/>
        <w:rPr>
          <w:rFonts w:ascii="Times New Roman" w:hAnsi="Times New Roman" w:cs="Times New Roman"/>
          <w:b/>
          <w:sz w:val="24"/>
          <w:szCs w:val="24"/>
        </w:rPr>
      </w:pPr>
      <w:r>
        <w:rPr>
          <w:rFonts w:ascii="Times New Roman" w:hAnsi="Times New Roman" w:cs="Times New Roman"/>
          <w:b/>
          <w:sz w:val="24"/>
          <w:szCs w:val="24"/>
        </w:rPr>
        <w:t>*</w:t>
      </w:r>
      <w:r>
        <w:rPr>
          <w:rFonts w:ascii="Times New Roman" w:hAnsi="Times New Roman" w:cs="Times New Roman"/>
          <w:sz w:val="24"/>
          <w:szCs w:val="24"/>
        </w:rPr>
        <w:t xml:space="preserve">Superscript numbers indicate relation to same physiological stress event based on approximate age of the LEH defect on the tooth. </w:t>
      </w:r>
    </w:p>
    <w:p w14:paraId="561FF19A" w14:textId="77777777" w:rsidR="00F272EB" w:rsidRDefault="00F272EB" w:rsidP="00F272EB">
      <w:pPr>
        <w:spacing w:after="0" w:line="480" w:lineRule="auto"/>
        <w:jc w:val="both"/>
        <w:rPr>
          <w:rFonts w:ascii="Times New Roman" w:hAnsi="Times New Roman" w:cs="Times New Roman"/>
          <w:b/>
          <w:sz w:val="24"/>
          <w:szCs w:val="24"/>
        </w:rPr>
      </w:pPr>
    </w:p>
    <w:p w14:paraId="22848CD8" w14:textId="77777777" w:rsidR="00F272EB" w:rsidRDefault="00F272EB" w:rsidP="00F272EB">
      <w:pPr>
        <w:spacing w:after="0" w:line="480" w:lineRule="auto"/>
        <w:jc w:val="both"/>
        <w:rPr>
          <w:rFonts w:ascii="Times New Roman" w:hAnsi="Times New Roman" w:cs="Times New Roman"/>
          <w:b/>
          <w:sz w:val="24"/>
          <w:szCs w:val="24"/>
        </w:rPr>
      </w:pPr>
    </w:p>
    <w:p w14:paraId="521C0386" w14:textId="77777777" w:rsidR="00F272EB" w:rsidRDefault="00F272EB" w:rsidP="00F272EB">
      <w:pPr>
        <w:spacing w:after="0" w:line="480" w:lineRule="auto"/>
        <w:jc w:val="both"/>
        <w:rPr>
          <w:rFonts w:ascii="Times New Roman" w:hAnsi="Times New Roman" w:cs="Times New Roman"/>
          <w:b/>
          <w:sz w:val="24"/>
          <w:szCs w:val="24"/>
        </w:rPr>
      </w:pPr>
    </w:p>
    <w:p w14:paraId="17C00958" w14:textId="77777777" w:rsidR="00F272EB" w:rsidRDefault="00F272EB" w:rsidP="00F272EB">
      <w:pPr>
        <w:spacing w:after="0" w:line="480" w:lineRule="auto"/>
        <w:jc w:val="both"/>
        <w:rPr>
          <w:rFonts w:ascii="Times New Roman" w:hAnsi="Times New Roman" w:cs="Times New Roman"/>
          <w:b/>
          <w:sz w:val="24"/>
          <w:szCs w:val="24"/>
        </w:rPr>
      </w:pPr>
    </w:p>
    <w:p w14:paraId="3D332A65" w14:textId="77777777" w:rsidR="00F272EB" w:rsidRDefault="00F272EB" w:rsidP="00F272EB">
      <w:pPr>
        <w:spacing w:after="0" w:line="480" w:lineRule="auto"/>
        <w:jc w:val="both"/>
        <w:rPr>
          <w:rFonts w:ascii="Times New Roman" w:hAnsi="Times New Roman" w:cs="Times New Roman"/>
          <w:b/>
          <w:sz w:val="24"/>
          <w:szCs w:val="24"/>
        </w:rPr>
      </w:pPr>
    </w:p>
    <w:p w14:paraId="6EEE2BB9" w14:textId="77777777" w:rsidR="00F272EB" w:rsidRDefault="00F272EB" w:rsidP="00F272EB">
      <w:pPr>
        <w:spacing w:after="0" w:line="480" w:lineRule="auto"/>
        <w:jc w:val="both"/>
        <w:rPr>
          <w:rFonts w:ascii="Times New Roman" w:hAnsi="Times New Roman" w:cs="Times New Roman"/>
          <w:b/>
          <w:sz w:val="24"/>
          <w:szCs w:val="24"/>
        </w:rPr>
      </w:pPr>
    </w:p>
    <w:p w14:paraId="4210398A" w14:textId="77777777" w:rsidR="00F272EB" w:rsidRDefault="00F272EB" w:rsidP="00F272EB">
      <w:pPr>
        <w:spacing w:after="0" w:line="480" w:lineRule="auto"/>
        <w:jc w:val="both"/>
        <w:rPr>
          <w:rFonts w:ascii="Times New Roman" w:hAnsi="Times New Roman" w:cs="Times New Roman"/>
          <w:b/>
          <w:sz w:val="24"/>
          <w:szCs w:val="24"/>
        </w:rPr>
      </w:pPr>
    </w:p>
    <w:p w14:paraId="037C3B2D" w14:textId="77777777" w:rsidR="00F272EB" w:rsidRDefault="00F272EB" w:rsidP="00F272EB">
      <w:pPr>
        <w:spacing w:after="0" w:line="480" w:lineRule="auto"/>
        <w:jc w:val="both"/>
        <w:rPr>
          <w:rFonts w:ascii="Times New Roman" w:hAnsi="Times New Roman" w:cs="Times New Roman"/>
          <w:b/>
          <w:sz w:val="24"/>
          <w:szCs w:val="24"/>
        </w:rPr>
      </w:pPr>
    </w:p>
    <w:p w14:paraId="4FF6F13B" w14:textId="77777777" w:rsidR="00F272EB" w:rsidRDefault="00F272EB" w:rsidP="00F272EB">
      <w:pPr>
        <w:spacing w:after="0" w:line="480" w:lineRule="auto"/>
        <w:jc w:val="both"/>
        <w:rPr>
          <w:rFonts w:ascii="Times New Roman" w:hAnsi="Times New Roman" w:cs="Times New Roman"/>
          <w:b/>
          <w:sz w:val="24"/>
          <w:szCs w:val="24"/>
        </w:rPr>
      </w:pPr>
    </w:p>
    <w:p w14:paraId="4F915400" w14:textId="77777777" w:rsidR="00F272EB" w:rsidRDefault="00F272EB" w:rsidP="00F272EB">
      <w:pPr>
        <w:spacing w:after="0" w:line="480" w:lineRule="auto"/>
        <w:jc w:val="both"/>
        <w:rPr>
          <w:rFonts w:ascii="Times New Roman" w:hAnsi="Times New Roman" w:cs="Times New Roman"/>
          <w:b/>
          <w:sz w:val="24"/>
          <w:szCs w:val="24"/>
        </w:rPr>
      </w:pPr>
    </w:p>
    <w:p w14:paraId="15506F9A" w14:textId="77777777" w:rsidR="00F272EB" w:rsidRDefault="00F272EB" w:rsidP="00F272EB">
      <w:pPr>
        <w:spacing w:after="0" w:line="480" w:lineRule="auto"/>
        <w:jc w:val="both"/>
        <w:rPr>
          <w:rFonts w:ascii="Times New Roman" w:hAnsi="Times New Roman" w:cs="Times New Roman"/>
          <w:b/>
          <w:sz w:val="24"/>
          <w:szCs w:val="24"/>
        </w:rPr>
      </w:pPr>
    </w:p>
    <w:p w14:paraId="49D61420" w14:textId="77777777" w:rsidR="00F272EB" w:rsidRDefault="00F272EB" w:rsidP="00F272EB">
      <w:pPr>
        <w:spacing w:after="0" w:line="360" w:lineRule="auto"/>
        <w:jc w:val="both"/>
        <w:rPr>
          <w:rFonts w:ascii="Times New Roman" w:hAnsi="Times New Roman" w:cs="Times New Roman"/>
          <w:b/>
          <w:sz w:val="24"/>
          <w:szCs w:val="24"/>
        </w:rPr>
      </w:pPr>
    </w:p>
    <w:p w14:paraId="34CEFDC5" w14:textId="77777777" w:rsidR="00F272EB" w:rsidRDefault="00F272EB" w:rsidP="00F272EB">
      <w:pPr>
        <w:spacing w:after="0" w:line="360" w:lineRule="auto"/>
        <w:jc w:val="both"/>
        <w:rPr>
          <w:rFonts w:ascii="Times New Roman" w:hAnsi="Times New Roman" w:cs="Times New Roman"/>
          <w:b/>
          <w:sz w:val="24"/>
          <w:szCs w:val="24"/>
        </w:rPr>
      </w:pPr>
    </w:p>
    <w:p w14:paraId="03EA48DC" w14:textId="77777777" w:rsidR="00F272EB" w:rsidRDefault="00F272EB" w:rsidP="00F272EB">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Supplementary Information </w:t>
      </w:r>
    </w:p>
    <w:p w14:paraId="4DF9CEAD" w14:textId="77777777" w:rsidR="00F272EB" w:rsidRDefault="00F272EB" w:rsidP="00F272EB">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Liang </w:t>
      </w:r>
      <w:proofErr w:type="spellStart"/>
      <w:r>
        <w:rPr>
          <w:rFonts w:ascii="Times New Roman" w:hAnsi="Times New Roman" w:cs="Times New Roman"/>
          <w:b/>
          <w:sz w:val="24"/>
          <w:szCs w:val="24"/>
        </w:rPr>
        <w:t>Tebo</w:t>
      </w:r>
      <w:proofErr w:type="spellEnd"/>
      <w:r>
        <w:rPr>
          <w:rFonts w:ascii="Times New Roman" w:hAnsi="Times New Roman" w:cs="Times New Roman"/>
          <w:b/>
          <w:sz w:val="24"/>
          <w:szCs w:val="24"/>
        </w:rPr>
        <w:t xml:space="preserve"> articulated single adult skeleton (TB1)</w:t>
      </w:r>
    </w:p>
    <w:p w14:paraId="037AA9E1" w14:textId="77777777" w:rsidR="00F272EB" w:rsidRDefault="00F272EB" w:rsidP="00F272EB">
      <w:pPr>
        <w:spacing w:after="0" w:line="360" w:lineRule="auto"/>
        <w:jc w:val="both"/>
        <w:rPr>
          <w:rFonts w:ascii="Times New Roman" w:hAnsi="Times New Roman" w:cs="Times New Roman"/>
          <w:b/>
          <w:i/>
          <w:iCs/>
          <w:sz w:val="24"/>
          <w:szCs w:val="24"/>
        </w:rPr>
      </w:pPr>
      <w:r>
        <w:rPr>
          <w:rFonts w:ascii="Times New Roman" w:hAnsi="Times New Roman" w:cs="Times New Roman"/>
          <w:b/>
          <w:i/>
          <w:iCs/>
          <w:sz w:val="24"/>
          <w:szCs w:val="24"/>
        </w:rPr>
        <w:t>Preservation</w:t>
      </w:r>
    </w:p>
    <w:p w14:paraId="13D3C6DA" w14:textId="77777777" w:rsidR="00F272EB" w:rsidRDefault="00F272EB" w:rsidP="00F272EB">
      <w:pPr>
        <w:spacing w:line="360" w:lineRule="auto"/>
        <w:jc w:val="both"/>
        <w:rPr>
          <w:rFonts w:ascii="Times New Roman" w:hAnsi="Times New Roman" w:cs="Times New Roman"/>
          <w:sz w:val="24"/>
          <w:szCs w:val="24"/>
        </w:rPr>
      </w:pPr>
      <w:r>
        <w:rPr>
          <w:rFonts w:ascii="Times New Roman" w:hAnsi="Times New Roman" w:cs="Times New Roman"/>
          <w:sz w:val="24"/>
          <w:szCs w:val="24"/>
        </w:rPr>
        <w:t>TB1’s bones were reddish brown in appearance due to the post-depositional burial environment. Surfaces varied from McKinley</w:t>
      </w:r>
      <w:r>
        <w:rPr>
          <w:rFonts w:ascii="Times New Roman" w:hAnsi="Times New Roman" w:cs="Times New Roman"/>
          <w:sz w:val="24"/>
          <w:szCs w:val="24"/>
          <w:vertAlign w:val="superscript"/>
        </w:rPr>
        <w:t>63</w:t>
      </w:r>
      <w:r>
        <w:rPr>
          <w:rFonts w:ascii="Times New Roman" w:hAnsi="Times New Roman" w:cs="Times New Roman"/>
          <w:sz w:val="24"/>
          <w:szCs w:val="24"/>
        </w:rPr>
        <w:t xml:space="preserve"> Grade 1-2 minimal (axial skeleton, scapula and pelvis, hand, and feet bones) to Grade 3-4 (large limb bones), with widespread erosion of the bone surfaces. Canine puncture marks were present on multiple skeletal elements including the skull, vertebrae, and long bones. Rodent gnawing and beetle chewing/boring was common on muscle attachments of the long bones. The burial environment preserved trabecular bone, the most fragile bone which is commonly destroyed in post-depositional environments. Some cracking and flaking of the forearm bones is present, possibly due to drying of the bone during the process of excavation.</w:t>
      </w:r>
    </w:p>
    <w:p w14:paraId="3E804FD2" w14:textId="77777777" w:rsidR="00F272EB" w:rsidRDefault="00F272EB" w:rsidP="00F272EB">
      <w:pPr>
        <w:spacing w:after="0" w:line="360" w:lineRule="auto"/>
        <w:jc w:val="both"/>
        <w:rPr>
          <w:rFonts w:ascii="Times New Roman" w:hAnsi="Times New Roman" w:cs="Times New Roman"/>
          <w:b/>
          <w:i/>
          <w:iCs/>
          <w:sz w:val="24"/>
          <w:szCs w:val="24"/>
        </w:rPr>
      </w:pPr>
      <w:r>
        <w:rPr>
          <w:rFonts w:ascii="Times New Roman" w:hAnsi="Times New Roman" w:cs="Times New Roman"/>
          <w:b/>
          <w:i/>
          <w:iCs/>
          <w:sz w:val="24"/>
          <w:szCs w:val="24"/>
        </w:rPr>
        <w:t>Age-at-death</w:t>
      </w:r>
    </w:p>
    <w:p w14:paraId="5B82EEB9" w14:textId="77777777" w:rsidR="00F272EB" w:rsidRDefault="00F272EB" w:rsidP="00F272EB">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The preserved right pubic symphysis and left and right auricular surfaces presented with no degeneration (stage 1) indicating the individual was under 24 years of age. All epiphyses were fused </w:t>
      </w:r>
      <w:proofErr w:type="gramStart"/>
      <w:r>
        <w:rPr>
          <w:rFonts w:ascii="Times New Roman" w:hAnsi="Times New Roman" w:cs="Times New Roman"/>
          <w:sz w:val="24"/>
          <w:szCs w:val="24"/>
        </w:rPr>
        <w:t>with the exception of</w:t>
      </w:r>
      <w:proofErr w:type="gramEnd"/>
      <w:r>
        <w:rPr>
          <w:rFonts w:ascii="Times New Roman" w:hAnsi="Times New Roman" w:cs="Times New Roman"/>
          <w:sz w:val="24"/>
          <w:szCs w:val="24"/>
        </w:rPr>
        <w:t xml:space="preserve"> partially fused ischial rami and S1-2 bodies, and unfused medial clavicular and manubrial 1</w:t>
      </w:r>
      <w:r>
        <w:rPr>
          <w:rFonts w:ascii="Times New Roman" w:hAnsi="Times New Roman" w:cs="Times New Roman"/>
          <w:sz w:val="24"/>
          <w:szCs w:val="24"/>
          <w:vertAlign w:val="superscript"/>
        </w:rPr>
        <w:t>st</w:t>
      </w:r>
      <w:r>
        <w:rPr>
          <w:rFonts w:ascii="Times New Roman" w:hAnsi="Times New Roman" w:cs="Times New Roman"/>
          <w:sz w:val="24"/>
          <w:szCs w:val="24"/>
        </w:rPr>
        <w:t xml:space="preserve"> costal notch epiphyses. Third molars were all erupted, roots complete and in occlusion, </w:t>
      </w:r>
      <w:proofErr w:type="gramStart"/>
      <w:r>
        <w:rPr>
          <w:rFonts w:ascii="Times New Roman" w:hAnsi="Times New Roman" w:cs="Times New Roman"/>
          <w:sz w:val="24"/>
          <w:szCs w:val="24"/>
        </w:rPr>
        <w:t>with the exception of</w:t>
      </w:r>
      <w:proofErr w:type="gramEnd"/>
      <w:r>
        <w:rPr>
          <w:rFonts w:ascii="Times New Roman" w:hAnsi="Times New Roman" w:cs="Times New Roman"/>
          <w:sz w:val="24"/>
          <w:szCs w:val="24"/>
        </w:rPr>
        <w:t xml:space="preserve"> the left maxillary M</w:t>
      </w:r>
      <w:r>
        <w:rPr>
          <w:rFonts w:ascii="Times New Roman" w:hAnsi="Times New Roman" w:cs="Times New Roman"/>
          <w:sz w:val="24"/>
          <w:szCs w:val="24"/>
          <w:vertAlign w:val="subscript"/>
        </w:rPr>
        <w:t>3</w:t>
      </w:r>
      <w:r>
        <w:rPr>
          <w:rFonts w:ascii="Times New Roman" w:hAnsi="Times New Roman" w:cs="Times New Roman"/>
          <w:sz w:val="24"/>
          <w:szCs w:val="24"/>
        </w:rPr>
        <w:t xml:space="preserve"> which had erupted less than 1 mm short of occlusion. The combination of these age-at-death methods provided a narrow estimation between 19–20 years of age. </w:t>
      </w:r>
    </w:p>
    <w:p w14:paraId="490D1B54" w14:textId="77777777" w:rsidR="00F272EB" w:rsidRDefault="00F272EB" w:rsidP="00F272EB">
      <w:pPr>
        <w:spacing w:after="0" w:line="360" w:lineRule="auto"/>
        <w:jc w:val="both"/>
        <w:rPr>
          <w:rFonts w:ascii="Times New Roman" w:hAnsi="Times New Roman" w:cs="Times New Roman"/>
          <w:b/>
          <w:bCs/>
          <w:i/>
          <w:iCs/>
          <w:sz w:val="24"/>
          <w:szCs w:val="24"/>
        </w:rPr>
      </w:pPr>
      <w:r>
        <w:rPr>
          <w:rFonts w:ascii="Times New Roman" w:hAnsi="Times New Roman" w:cs="Times New Roman"/>
          <w:b/>
          <w:bCs/>
          <w:i/>
          <w:iCs/>
          <w:sz w:val="24"/>
          <w:szCs w:val="24"/>
        </w:rPr>
        <w:lastRenderedPageBreak/>
        <w:t>Sex</w:t>
      </w:r>
    </w:p>
    <w:p w14:paraId="16DE437B" w14:textId="77777777" w:rsidR="00F272EB" w:rsidRDefault="00F272EB" w:rsidP="00F272EB">
      <w:pPr>
        <w:spacing w:line="360" w:lineRule="auto"/>
        <w:jc w:val="both"/>
        <w:rPr>
          <w:rFonts w:ascii="Times New Roman" w:hAnsi="Times New Roman" w:cs="Times New Roman"/>
          <w:sz w:val="24"/>
          <w:szCs w:val="24"/>
        </w:rPr>
      </w:pPr>
      <w:r>
        <w:rPr>
          <w:rFonts w:ascii="Times New Roman" w:hAnsi="Times New Roman" w:cs="Times New Roman"/>
          <w:sz w:val="24"/>
          <w:szCs w:val="24"/>
        </w:rPr>
        <w:t>In comparison to the stature of other pre-LGM skeletons, TB1’s is typical for males and more than 1 standard deviation (SD) taller than females (Extended Data Table 1). A narrow greater sciatic notch and the lack of a preauricular sulcus was suggestive of a male</w:t>
      </w:r>
      <w:r>
        <w:rPr>
          <w:rFonts w:ascii="Times New Roman" w:hAnsi="Times New Roman" w:cs="Times New Roman"/>
          <w:sz w:val="24"/>
          <w:szCs w:val="24"/>
          <w:vertAlign w:val="superscript"/>
        </w:rPr>
        <w:t>64</w:t>
      </w:r>
      <w:r>
        <w:rPr>
          <w:rFonts w:ascii="Times New Roman" w:hAnsi="Times New Roman" w:cs="Times New Roman"/>
          <w:sz w:val="24"/>
          <w:szCs w:val="24"/>
        </w:rPr>
        <w:t xml:space="preserve">. While the epiphyses of the iliac crest and ischial tuberosity demonstrated fusion common at the termination of puberty, the pelvis was morphologically typical of pre-pubescence, and abnormally small in shape. Under-development of the pelvis and therefore development of secondary sex characteristics was possibly disrupted. As the female pelvis develops female features from a ‘male-like’ pre-pubescent form, the presence of male traits in an under-developed pelvis cannot be considered as skeletal evidence that the individual was male. The cranium displayed more feminine or intermediate traits and presented with gracile supraorbital, </w:t>
      </w:r>
      <w:proofErr w:type="gramStart"/>
      <w:r>
        <w:rPr>
          <w:rFonts w:ascii="Times New Roman" w:hAnsi="Times New Roman" w:cs="Times New Roman"/>
          <w:sz w:val="24"/>
          <w:szCs w:val="24"/>
        </w:rPr>
        <w:t>mandibular</w:t>
      </w:r>
      <w:proofErr w:type="gramEnd"/>
      <w:r>
        <w:rPr>
          <w:rFonts w:ascii="Times New Roman" w:hAnsi="Times New Roman" w:cs="Times New Roman"/>
          <w:sz w:val="24"/>
          <w:szCs w:val="24"/>
        </w:rPr>
        <w:t xml:space="preserve"> and occipital bone features. A Walrath score of -0.8 indicates overall more feminine than masculine cranial features. In contrast to the pelvis, the male cranium develops more robust muscle attachments during puberty from a ‘female-like’ pre-pubescent form due to testosterone production</w:t>
      </w:r>
      <w:r>
        <w:rPr>
          <w:rFonts w:ascii="Times New Roman" w:hAnsi="Times New Roman" w:cs="Times New Roman"/>
          <w:sz w:val="24"/>
          <w:szCs w:val="24"/>
          <w:vertAlign w:val="superscript"/>
        </w:rPr>
        <w:t>65</w:t>
      </w:r>
      <w:r>
        <w:rPr>
          <w:rFonts w:ascii="Times New Roman" w:hAnsi="Times New Roman" w:cs="Times New Roman"/>
          <w:sz w:val="24"/>
          <w:szCs w:val="24"/>
        </w:rPr>
        <w:t xml:space="preserve">. Therefore, as is the case with sex estimation of the pelvis, it is not possible to determine whether these features are secondary sex characteristics or default skull traits due to impaired pubertal development. Estimating sex along a binary, when </w:t>
      </w:r>
      <w:proofErr w:type="gramStart"/>
      <w:r>
        <w:rPr>
          <w:rFonts w:ascii="Times New Roman" w:hAnsi="Times New Roman" w:cs="Times New Roman"/>
          <w:sz w:val="24"/>
          <w:szCs w:val="24"/>
        </w:rPr>
        <w:t>in reality sex</w:t>
      </w:r>
      <w:proofErr w:type="gramEnd"/>
      <w:r>
        <w:rPr>
          <w:rFonts w:ascii="Times New Roman" w:hAnsi="Times New Roman" w:cs="Times New Roman"/>
          <w:sz w:val="24"/>
          <w:szCs w:val="24"/>
        </w:rPr>
        <w:t xml:space="preserve"> is expressed along a spectrum of biological and morphological traits influenced by genetics, environment and hormonal development, is a well-recognised limitation in bioarchaeology</w:t>
      </w:r>
      <w:r>
        <w:rPr>
          <w:rFonts w:ascii="Times New Roman" w:hAnsi="Times New Roman" w:cs="Times New Roman"/>
          <w:sz w:val="24"/>
          <w:szCs w:val="24"/>
          <w:vertAlign w:val="superscript"/>
        </w:rPr>
        <w:t>65.</w:t>
      </w:r>
      <w:r>
        <w:rPr>
          <w:rFonts w:ascii="Times New Roman" w:hAnsi="Times New Roman" w:cs="Times New Roman"/>
          <w:sz w:val="24"/>
          <w:szCs w:val="24"/>
        </w:rPr>
        <w:t xml:space="preserve"> Therefore, sex is ‘indeterminate’ for this individual.</w:t>
      </w:r>
    </w:p>
    <w:p w14:paraId="67CF709E" w14:textId="77777777" w:rsidR="00F272EB" w:rsidRDefault="00F272EB" w:rsidP="00F272EB">
      <w:pPr>
        <w:spacing w:after="0" w:line="360" w:lineRule="auto"/>
        <w:jc w:val="both"/>
        <w:rPr>
          <w:rFonts w:ascii="Times New Roman" w:hAnsi="Times New Roman" w:cs="Times New Roman"/>
          <w:b/>
          <w:i/>
          <w:iCs/>
          <w:sz w:val="24"/>
          <w:szCs w:val="24"/>
        </w:rPr>
      </w:pPr>
      <w:r>
        <w:rPr>
          <w:rFonts w:ascii="Times New Roman" w:hAnsi="Times New Roman" w:cs="Times New Roman"/>
          <w:b/>
          <w:i/>
          <w:iCs/>
          <w:sz w:val="24"/>
          <w:szCs w:val="24"/>
        </w:rPr>
        <w:t>Macroscopic and radiographic analysis of amputation site</w:t>
      </w:r>
    </w:p>
    <w:p w14:paraId="1C203A50" w14:textId="77777777" w:rsidR="00F272EB" w:rsidRDefault="00F272EB" w:rsidP="00F272EB">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TB1 exhibited antemortem oblique trauma to the distal third shafts of the left tibia and fibula (Fig. 3). The trauma is in the remodelling phase of healing indicating this is an old pathology. The remodelling encloses the inferior margin of the bone indicating non-union with the distal tibia. Radiographs demonstrate clean margins consistent with surgical amputation. Compression necrosis at the amputation surface, reveals restricted blood flow and disrupted healing, indicates the </w:t>
      </w:r>
      <w:proofErr w:type="spellStart"/>
      <w:r>
        <w:rPr>
          <w:rFonts w:ascii="Times New Roman" w:hAnsi="Times New Roman" w:cs="Times New Roman"/>
          <w:sz w:val="24"/>
          <w:szCs w:val="24"/>
        </w:rPr>
        <w:t>Tebo</w:t>
      </w:r>
      <w:proofErr w:type="spellEnd"/>
      <w:r>
        <w:rPr>
          <w:rFonts w:ascii="Times New Roman" w:hAnsi="Times New Roman" w:cs="Times New Roman"/>
          <w:sz w:val="24"/>
          <w:szCs w:val="24"/>
        </w:rPr>
        <w:t xml:space="preserve"> individual applied pressure to the left lower limb and likely used it as a stump</w:t>
      </w:r>
      <w:r>
        <w:rPr>
          <w:rFonts w:ascii="Times New Roman" w:hAnsi="Times New Roman" w:cs="Times New Roman"/>
          <w:sz w:val="24"/>
          <w:szCs w:val="24"/>
          <w:vertAlign w:val="superscript"/>
        </w:rPr>
        <w:t>66, 67</w:t>
      </w:r>
      <w:r>
        <w:rPr>
          <w:rFonts w:ascii="Times New Roman" w:hAnsi="Times New Roman" w:cs="Times New Roman"/>
          <w:sz w:val="24"/>
          <w:szCs w:val="24"/>
        </w:rPr>
        <w:t xml:space="preserve"> (Fig. 3</w:t>
      </w:r>
      <w:proofErr w:type="gramStart"/>
      <w:r>
        <w:rPr>
          <w:rFonts w:ascii="Times New Roman" w:hAnsi="Times New Roman" w:cs="Times New Roman"/>
          <w:sz w:val="24"/>
          <w:szCs w:val="24"/>
        </w:rPr>
        <w:t>b,c</w:t>
      </w:r>
      <w:proofErr w:type="gramEnd"/>
      <w:r>
        <w:rPr>
          <w:rFonts w:ascii="Times New Roman" w:hAnsi="Times New Roman" w:cs="Times New Roman"/>
          <w:sz w:val="24"/>
          <w:szCs w:val="24"/>
        </w:rPr>
        <w:t xml:space="preserve">; Extended Data Fig. 4). </w:t>
      </w:r>
    </w:p>
    <w:p w14:paraId="1B69CB88" w14:textId="77777777" w:rsidR="00F272EB" w:rsidRDefault="00F272EB" w:rsidP="00F272EB">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Additionally, a bony extension between the fibula and tibia known as heterogenic ossification is present. The maximum thickness of the cortex of the left tibia was 1.89 mm compared to 5.69 mm at the same region (distal third tibia) for the right tibia, indicating that the use of the limb was </w:t>
      </w:r>
      <w:r>
        <w:rPr>
          <w:rFonts w:ascii="Times New Roman" w:hAnsi="Times New Roman" w:cs="Times New Roman"/>
          <w:sz w:val="24"/>
          <w:szCs w:val="24"/>
        </w:rPr>
        <w:lastRenderedPageBreak/>
        <w:t>severely restricted for a long period of time leading to atrophy</w:t>
      </w:r>
      <w:r>
        <w:rPr>
          <w:rFonts w:ascii="Times New Roman" w:hAnsi="Times New Roman" w:cs="Times New Roman"/>
          <w:sz w:val="24"/>
          <w:szCs w:val="24"/>
          <w:vertAlign w:val="superscript"/>
        </w:rPr>
        <w:t>66-72</w:t>
      </w:r>
      <w:r>
        <w:rPr>
          <w:rFonts w:ascii="Times New Roman" w:hAnsi="Times New Roman" w:cs="Times New Roman"/>
          <w:sz w:val="24"/>
          <w:szCs w:val="24"/>
        </w:rPr>
        <w:t>. Similar severe atrophy was observed in a man with quadriparesis from Neolithic Vietnam, with restricted use of his limbs since adolescence</w:t>
      </w:r>
      <w:r>
        <w:rPr>
          <w:rFonts w:ascii="Times New Roman" w:hAnsi="Times New Roman" w:cs="Times New Roman"/>
          <w:sz w:val="24"/>
          <w:szCs w:val="24"/>
          <w:vertAlign w:val="superscript"/>
        </w:rPr>
        <w:t>68,69</w:t>
      </w:r>
      <w:r>
        <w:rPr>
          <w:rFonts w:ascii="Times New Roman" w:hAnsi="Times New Roman" w:cs="Times New Roman"/>
          <w:sz w:val="24"/>
          <w:szCs w:val="24"/>
        </w:rPr>
        <w:t>. The amputation is not consistent with clinical descriptions of traumatic amputation, instead with surgical amputation, except in cases of trauma where a blade has been involved</w:t>
      </w:r>
      <w:r>
        <w:rPr>
          <w:rFonts w:ascii="Times New Roman" w:hAnsi="Times New Roman" w:cs="Times New Roman"/>
          <w:sz w:val="24"/>
          <w:szCs w:val="24"/>
          <w:vertAlign w:val="superscript"/>
        </w:rPr>
        <w:t>72-74</w:t>
      </w:r>
      <w:r>
        <w:rPr>
          <w:rFonts w:ascii="Times New Roman" w:hAnsi="Times New Roman" w:cs="Times New Roman"/>
          <w:sz w:val="24"/>
          <w:szCs w:val="24"/>
        </w:rPr>
        <w:t>. Although there are signs of weight bearing use of the left limb, TB1 is unlikely to have been an independently mobile adult amputee.</w:t>
      </w:r>
    </w:p>
    <w:p w14:paraId="44B1EA49" w14:textId="77777777" w:rsidR="00F272EB" w:rsidRDefault="00F272EB" w:rsidP="00F272EB">
      <w:pPr>
        <w:spacing w:after="0" w:line="360" w:lineRule="auto"/>
        <w:jc w:val="both"/>
        <w:rPr>
          <w:rFonts w:ascii="Times New Roman" w:hAnsi="Times New Roman" w:cs="Times New Roman"/>
          <w:b/>
          <w:bCs/>
          <w:i/>
          <w:iCs/>
          <w:sz w:val="24"/>
          <w:szCs w:val="24"/>
        </w:rPr>
      </w:pPr>
      <w:r>
        <w:rPr>
          <w:rFonts w:ascii="Times New Roman" w:hAnsi="Times New Roman" w:cs="Times New Roman"/>
          <w:b/>
          <w:bCs/>
          <w:i/>
          <w:iCs/>
          <w:sz w:val="24"/>
          <w:szCs w:val="24"/>
        </w:rPr>
        <w:t xml:space="preserve">Dental pathology </w:t>
      </w:r>
    </w:p>
    <w:p w14:paraId="7875D01A" w14:textId="77777777" w:rsidR="00F272EB" w:rsidRDefault="00F272EB" w:rsidP="00F272EB">
      <w:pPr>
        <w:spacing w:after="0" w:line="360" w:lineRule="auto"/>
        <w:jc w:val="both"/>
        <w:rPr>
          <w:rFonts w:ascii="Times New Roman" w:hAnsi="Times New Roman" w:cs="Times New Roman"/>
          <w:b/>
          <w:bCs/>
          <w:i/>
          <w:iCs/>
          <w:sz w:val="24"/>
          <w:szCs w:val="24"/>
        </w:rPr>
      </w:pPr>
      <w:r>
        <w:rPr>
          <w:rFonts w:ascii="Times New Roman" w:hAnsi="Times New Roman" w:cs="Times New Roman"/>
          <w:sz w:val="24"/>
          <w:szCs w:val="24"/>
        </w:rPr>
        <w:t xml:space="preserve">Linear enamel hypoplasia was identified in most anterior teeth (Extended Data Fig. 5; Extended Data Table 3), with macroscopic evidence for five stress events across multiple teeth, occurring approximately at 1.9-2 years, 2.3-2.4 years, 2.9-3.1 years, 3.2-3.6 years, and 4.4-4.6 years. Physiological stress at these ages </w:t>
      </w:r>
      <w:proofErr w:type="gramStart"/>
      <w:r>
        <w:rPr>
          <w:rFonts w:ascii="Times New Roman" w:hAnsi="Times New Roman" w:cs="Times New Roman"/>
          <w:sz w:val="24"/>
          <w:szCs w:val="24"/>
        </w:rPr>
        <w:t>are</w:t>
      </w:r>
      <w:proofErr w:type="gramEnd"/>
      <w:r>
        <w:rPr>
          <w:rFonts w:ascii="Times New Roman" w:hAnsi="Times New Roman" w:cs="Times New Roman"/>
          <w:sz w:val="24"/>
          <w:szCs w:val="24"/>
        </w:rPr>
        <w:t xml:space="preserve"> not uncommon, corresponding with significant changes in sociocultural development, growth, diet, and maturation of the immune system</w:t>
      </w:r>
      <w:r>
        <w:rPr>
          <w:rFonts w:ascii="Times New Roman" w:hAnsi="Times New Roman" w:cs="Times New Roman"/>
          <w:sz w:val="24"/>
          <w:szCs w:val="24"/>
          <w:vertAlign w:val="superscript"/>
        </w:rPr>
        <w:t>75</w:t>
      </w:r>
      <w:r>
        <w:rPr>
          <w:rFonts w:ascii="Times New Roman" w:hAnsi="Times New Roman" w:cs="Times New Roman"/>
          <w:sz w:val="24"/>
          <w:szCs w:val="24"/>
        </w:rPr>
        <w:t>. White opacities were also observed across multiple anterior and posterior teeth, indicating episodes of non-specific stress affecting enamel formation during the entire period of the development of permanent dentition (Extended Data Fig. 5d). Mild to medium periodontal disease was present along the alveolar bone (gum line) of posterior teeth (Extended Data Fig. 5b). There was no associated ante mortem tooth loss or other evidence of the mandible or maxillary bony palate disease. Mild dental calculus was observed in posterior teeth (Extended Data Fig. 5b). Carious lesions were observed in three mandibular molars (Extended Data Fig. 5e). Comparatively low levels of carious lesion development may suggest a relatively low cariogenic diet (hard fibrous instead of sugary/starchy foods)</w:t>
      </w:r>
      <w:r>
        <w:rPr>
          <w:rFonts w:ascii="Times New Roman" w:hAnsi="Times New Roman" w:cs="Times New Roman"/>
          <w:sz w:val="24"/>
          <w:szCs w:val="24"/>
          <w:vertAlign w:val="superscript"/>
        </w:rPr>
        <w:t>75,76</w:t>
      </w:r>
      <w:r>
        <w:rPr>
          <w:rFonts w:ascii="Times New Roman" w:hAnsi="Times New Roman" w:cs="Times New Roman"/>
          <w:sz w:val="24"/>
          <w:szCs w:val="24"/>
        </w:rPr>
        <w:t>. ‘Notching’ of the maxillary left central and lateral incisors were also observed (Extended Data Fig 5a), often associated with the use of ‘teeth as tools’, particularly in the processing of fibres</w:t>
      </w:r>
      <w:r>
        <w:rPr>
          <w:rFonts w:ascii="Times New Roman" w:hAnsi="Times New Roman" w:cs="Times New Roman"/>
          <w:sz w:val="24"/>
          <w:szCs w:val="24"/>
          <w:vertAlign w:val="superscript"/>
        </w:rPr>
        <w:t>77,78</w:t>
      </w:r>
      <w:r>
        <w:rPr>
          <w:rFonts w:ascii="Times New Roman" w:hAnsi="Times New Roman" w:cs="Times New Roman"/>
          <w:sz w:val="24"/>
          <w:szCs w:val="24"/>
        </w:rPr>
        <w:t>.</w:t>
      </w:r>
    </w:p>
    <w:p w14:paraId="5ABD70A0" w14:textId="77777777" w:rsidR="00F272EB" w:rsidRDefault="00F272EB" w:rsidP="00F272EB">
      <w:pPr>
        <w:spacing w:before="240" w:after="0" w:line="360" w:lineRule="auto"/>
        <w:jc w:val="both"/>
        <w:rPr>
          <w:rFonts w:ascii="Times New Roman" w:hAnsi="Times New Roman" w:cs="Times New Roman"/>
          <w:b/>
          <w:bCs/>
          <w:i/>
          <w:iCs/>
          <w:sz w:val="24"/>
          <w:szCs w:val="24"/>
        </w:rPr>
      </w:pPr>
      <w:r>
        <w:rPr>
          <w:rFonts w:ascii="Times New Roman" w:hAnsi="Times New Roman" w:cs="Times New Roman"/>
          <w:b/>
          <w:bCs/>
          <w:i/>
          <w:iCs/>
          <w:sz w:val="24"/>
          <w:szCs w:val="24"/>
        </w:rPr>
        <w:t xml:space="preserve">Other trauma </w:t>
      </w:r>
    </w:p>
    <w:p w14:paraId="30969BA5" w14:textId="77777777" w:rsidR="00F272EB" w:rsidRDefault="00F272EB" w:rsidP="00F272EB">
      <w:pPr>
        <w:spacing w:line="360" w:lineRule="auto"/>
        <w:jc w:val="both"/>
        <w:rPr>
          <w:rFonts w:ascii="Times New Roman" w:hAnsi="Times New Roman" w:cs="Times New Roman"/>
          <w:sz w:val="24"/>
          <w:szCs w:val="24"/>
        </w:rPr>
      </w:pPr>
      <w:r>
        <w:rPr>
          <w:rFonts w:ascii="Times New Roman" w:hAnsi="Times New Roman" w:cs="Times New Roman"/>
          <w:sz w:val="24"/>
          <w:szCs w:val="24"/>
        </w:rPr>
        <w:t>Two circular osteolytic lesions with rounded margins of the proximal right tibia (Extended Data Fig. 6a), and two similar osteolytic lesions of the adjoining region of the right distal femur, measuring between 3.4 x 3.4 mm to 5.9 x 3.8 mm, are present (Extended Data Fig. 6b). These lesions are reminiscent of cloacae</w:t>
      </w:r>
      <w:r>
        <w:rPr>
          <w:rFonts w:ascii="Times New Roman" w:hAnsi="Times New Roman" w:cs="Times New Roman"/>
          <w:sz w:val="24"/>
          <w:szCs w:val="24"/>
          <w:vertAlign w:val="superscript"/>
        </w:rPr>
        <w:t>79</w:t>
      </w:r>
      <w:r>
        <w:rPr>
          <w:rFonts w:ascii="Times New Roman" w:hAnsi="Times New Roman" w:cs="Times New Roman"/>
          <w:sz w:val="24"/>
          <w:szCs w:val="24"/>
        </w:rPr>
        <w:t>, pus draining holes that form due to osteomyelitis (infection of bone). As the cloacae face the knee joint, it is likely the joint was infected which is a common occurrence in long bone osteomyelitis</w:t>
      </w:r>
      <w:r>
        <w:rPr>
          <w:rFonts w:ascii="Times New Roman" w:hAnsi="Times New Roman" w:cs="Times New Roman"/>
          <w:sz w:val="24"/>
          <w:szCs w:val="24"/>
          <w:vertAlign w:val="superscript"/>
        </w:rPr>
        <w:t>80</w:t>
      </w:r>
      <w:r>
        <w:rPr>
          <w:rFonts w:ascii="Times New Roman" w:hAnsi="Times New Roman" w:cs="Times New Roman"/>
          <w:sz w:val="24"/>
          <w:szCs w:val="24"/>
        </w:rPr>
        <w:t xml:space="preserve">. The right patella has no abnormal bone changes. The most </w:t>
      </w:r>
      <w:r>
        <w:rPr>
          <w:rFonts w:ascii="Times New Roman" w:hAnsi="Times New Roman" w:cs="Times New Roman"/>
          <w:sz w:val="24"/>
          <w:szCs w:val="24"/>
        </w:rPr>
        <w:lastRenderedPageBreak/>
        <w:t xml:space="preserve">common cause of osteomyelitis is </w:t>
      </w:r>
      <w:r>
        <w:rPr>
          <w:rFonts w:ascii="Times New Roman" w:hAnsi="Times New Roman" w:cs="Times New Roman"/>
          <w:i/>
          <w:iCs/>
          <w:sz w:val="24"/>
          <w:szCs w:val="24"/>
        </w:rPr>
        <w:t>Staphylococcus aureus</w:t>
      </w:r>
      <w:r>
        <w:rPr>
          <w:rFonts w:ascii="Times New Roman" w:hAnsi="Times New Roman" w:cs="Times New Roman"/>
          <w:sz w:val="24"/>
          <w:szCs w:val="24"/>
        </w:rPr>
        <w:t>, and chronic bone osteomyelitis generally forms over months or years</w:t>
      </w:r>
      <w:r>
        <w:rPr>
          <w:rFonts w:ascii="Times New Roman" w:hAnsi="Times New Roman" w:cs="Times New Roman"/>
          <w:sz w:val="24"/>
          <w:szCs w:val="24"/>
          <w:vertAlign w:val="superscript"/>
        </w:rPr>
        <w:t>80</w:t>
      </w:r>
      <w:r>
        <w:rPr>
          <w:rFonts w:ascii="Times New Roman" w:hAnsi="Times New Roman" w:cs="Times New Roman"/>
          <w:i/>
          <w:iCs/>
          <w:sz w:val="24"/>
          <w:szCs w:val="24"/>
        </w:rPr>
        <w:t>.</w:t>
      </w:r>
      <w:r>
        <w:rPr>
          <w:rFonts w:ascii="Times New Roman" w:hAnsi="Times New Roman" w:cs="Times New Roman"/>
          <w:sz w:val="24"/>
          <w:szCs w:val="24"/>
        </w:rPr>
        <w:t xml:space="preserve"> The infection has caused large osteolysis in the epiphyses of the proximal tibia and distal femur. There is no evidence of bone death (sequestrum) nor associated involucrum, a shaft of new bone that forms in response to bone destruction and necrosis commonly found alongside cloacae, indicating the bone infection has not progressed to late stages. There is no remodelling of the internal osteolysis observed via radiograph indicating the infection was active at time of death.</w:t>
      </w:r>
    </w:p>
    <w:p w14:paraId="1CDDC38A" w14:textId="77777777" w:rsidR="00F272EB" w:rsidRDefault="00F272EB" w:rsidP="00F272EB">
      <w:pPr>
        <w:spacing w:line="360" w:lineRule="auto"/>
        <w:jc w:val="both"/>
        <w:rPr>
          <w:rFonts w:ascii="Times New Roman" w:hAnsi="Times New Roman" w:cs="Times New Roman"/>
          <w:sz w:val="24"/>
          <w:szCs w:val="24"/>
        </w:rPr>
      </w:pPr>
      <w:r>
        <w:rPr>
          <w:rFonts w:ascii="Times New Roman" w:hAnsi="Times New Roman" w:cs="Times New Roman"/>
          <w:sz w:val="24"/>
          <w:szCs w:val="24"/>
        </w:rPr>
        <w:t>A remodelled fracture of the C2 right pars interarticularis was also observed (Extended Data Fig. 6</w:t>
      </w:r>
      <w:proofErr w:type="gramStart"/>
      <w:r>
        <w:rPr>
          <w:rFonts w:ascii="Times New Roman" w:hAnsi="Times New Roman" w:cs="Times New Roman"/>
          <w:sz w:val="24"/>
          <w:szCs w:val="24"/>
        </w:rPr>
        <w:t>c,d</w:t>
      </w:r>
      <w:proofErr w:type="gramEnd"/>
      <w:r>
        <w:rPr>
          <w:rFonts w:ascii="Times New Roman" w:hAnsi="Times New Roman" w:cs="Times New Roman"/>
          <w:sz w:val="24"/>
          <w:szCs w:val="24"/>
        </w:rPr>
        <w:t>). This fracture is an extremely rare type of spondylolisthesis (vertebral ring fracture) also known as a ‘hangman’s fracture’ as these can be caused by the knot of a noose during executions. Unilateral expression of this fracture is rare. Clinically, they are reported from car accidents where the direct mechanism of injury is the acceleration of the body forward with a sudden stop causing hyperextension at the upper neck joint, or due to compression with a slight rotation of the neck</w:t>
      </w:r>
      <w:r>
        <w:rPr>
          <w:rFonts w:ascii="Times New Roman" w:hAnsi="Times New Roman" w:cs="Times New Roman"/>
          <w:sz w:val="24"/>
          <w:szCs w:val="24"/>
          <w:vertAlign w:val="superscript"/>
        </w:rPr>
        <w:t>81-82</w:t>
      </w:r>
      <w:r>
        <w:rPr>
          <w:rFonts w:ascii="Times New Roman" w:hAnsi="Times New Roman" w:cs="Times New Roman"/>
          <w:sz w:val="24"/>
          <w:szCs w:val="24"/>
        </w:rPr>
        <w:t>. A force of between 840 to 1220 N is needed to cause such a fracture</w:t>
      </w:r>
      <w:r>
        <w:rPr>
          <w:rFonts w:ascii="Times New Roman" w:hAnsi="Times New Roman" w:cs="Times New Roman"/>
          <w:sz w:val="24"/>
          <w:szCs w:val="24"/>
          <w:vertAlign w:val="superscript"/>
        </w:rPr>
        <w:t>82</w:t>
      </w:r>
      <w:r>
        <w:rPr>
          <w:rFonts w:ascii="Times New Roman" w:hAnsi="Times New Roman" w:cs="Times New Roman"/>
          <w:sz w:val="24"/>
          <w:szCs w:val="24"/>
        </w:rPr>
        <w:t>. A 60 kg person would meet this threshold of force from a 1.4–2 m free fall with a sudden stop on the head and neck. Hyperflexion or hyperextension of the neck with falls can occur from height, and when tossed by a wild animal such as a water buffalo</w:t>
      </w:r>
      <w:r>
        <w:rPr>
          <w:rFonts w:ascii="Times New Roman" w:hAnsi="Times New Roman" w:cs="Times New Roman"/>
          <w:sz w:val="24"/>
          <w:szCs w:val="24"/>
          <w:vertAlign w:val="superscript"/>
        </w:rPr>
        <w:t>83,84</w:t>
      </w:r>
      <w:r>
        <w:rPr>
          <w:rFonts w:ascii="Times New Roman" w:hAnsi="Times New Roman" w:cs="Times New Roman"/>
          <w:sz w:val="24"/>
          <w:szCs w:val="24"/>
        </w:rPr>
        <w:t>.</w:t>
      </w:r>
    </w:p>
    <w:p w14:paraId="02A33A43" w14:textId="77777777" w:rsidR="00F272EB" w:rsidRDefault="00F272EB" w:rsidP="00F272EB">
      <w:pPr>
        <w:spacing w:line="360" w:lineRule="auto"/>
        <w:jc w:val="both"/>
        <w:rPr>
          <w:rFonts w:ascii="Times New Roman" w:hAnsi="Times New Roman" w:cs="Times New Roman"/>
          <w:noProof/>
          <w:sz w:val="24"/>
          <w:szCs w:val="24"/>
        </w:rPr>
      </w:pPr>
      <w:r>
        <w:rPr>
          <w:rFonts w:ascii="Times New Roman" w:hAnsi="Times New Roman" w:cs="Times New Roman"/>
          <w:sz w:val="24"/>
          <w:szCs w:val="24"/>
        </w:rPr>
        <w:t xml:space="preserve">This remodelled fracture healed partially misaligned. This misalignment laterally displaced the inferior articular facet which affected the direction of facing articular surfaces between the C2 and C3. This displacement caused subsequent degenerative joint disorder (DJD) of the superior vertebral body of the C3 and the superior and posterior vertebral body of the C4. DJD presented as marginal osteophytes, </w:t>
      </w:r>
      <w:proofErr w:type="gramStart"/>
      <w:r>
        <w:rPr>
          <w:rFonts w:ascii="Times New Roman" w:hAnsi="Times New Roman" w:cs="Times New Roman"/>
          <w:sz w:val="24"/>
          <w:szCs w:val="24"/>
        </w:rPr>
        <w:t>porosity</w:t>
      </w:r>
      <w:proofErr w:type="gramEnd"/>
      <w:r>
        <w:rPr>
          <w:rFonts w:ascii="Times New Roman" w:hAnsi="Times New Roman" w:cs="Times New Roman"/>
          <w:sz w:val="24"/>
          <w:szCs w:val="24"/>
        </w:rPr>
        <w:t xml:space="preserve"> and new bone of the joint surfaces. It is not possible to determine if the cause of injury leading to the C2 fracture and the amputation was from a single event. However, both are injuries which occurred well before death. Minor trauma was observed on the right clavicle with a unilateral development of a subclavian sulcus (Extended Data Fig. 6f), a nonmetric trait associated with strain of the right shoulder in a rotary motion</w:t>
      </w:r>
      <w:r>
        <w:rPr>
          <w:rFonts w:ascii="Times New Roman" w:hAnsi="Times New Roman" w:cs="Times New Roman"/>
          <w:noProof/>
          <w:sz w:val="24"/>
          <w:szCs w:val="24"/>
          <w:vertAlign w:val="superscript"/>
        </w:rPr>
        <w:t>70</w:t>
      </w:r>
      <w:r>
        <w:rPr>
          <w:rFonts w:ascii="Times New Roman" w:hAnsi="Times New Roman" w:cs="Times New Roman"/>
          <w:noProof/>
          <w:sz w:val="24"/>
          <w:szCs w:val="24"/>
        </w:rPr>
        <w:t>.</w:t>
      </w:r>
    </w:p>
    <w:p w14:paraId="4AFEC780" w14:textId="77777777" w:rsidR="00F272EB" w:rsidRDefault="00F272EB" w:rsidP="00F272EB">
      <w:pPr>
        <w:spacing w:after="0" w:line="360" w:lineRule="auto"/>
        <w:jc w:val="both"/>
        <w:rPr>
          <w:rFonts w:ascii="Times New Roman" w:hAnsi="Times New Roman" w:cs="Times New Roman"/>
          <w:b/>
          <w:bCs/>
          <w:noProof/>
          <w:sz w:val="24"/>
          <w:szCs w:val="24"/>
        </w:rPr>
      </w:pPr>
      <w:r>
        <w:rPr>
          <w:rFonts w:ascii="Times New Roman" w:hAnsi="Times New Roman" w:cs="Times New Roman"/>
          <w:b/>
          <w:bCs/>
          <w:sz w:val="24"/>
          <w:szCs w:val="24"/>
        </w:rPr>
        <w:t xml:space="preserve">Uranium-Series and Electron Spin Resonance </w:t>
      </w:r>
      <w:r>
        <w:rPr>
          <w:rFonts w:ascii="Times New Roman" w:hAnsi="Times New Roman" w:cs="Times New Roman"/>
          <w:b/>
          <w:bCs/>
          <w:noProof/>
          <w:sz w:val="24"/>
          <w:szCs w:val="24"/>
        </w:rPr>
        <w:t>dating</w:t>
      </w:r>
    </w:p>
    <w:p w14:paraId="2B3844F5" w14:textId="77777777" w:rsidR="00F272EB" w:rsidRDefault="00F272EB" w:rsidP="00F272EB">
      <w:pPr>
        <w:spacing w:line="360" w:lineRule="auto"/>
        <w:jc w:val="both"/>
        <w:rPr>
          <w:rFonts w:ascii="Times New Roman" w:hAnsi="Times New Roman" w:cs="Times New Roman"/>
          <w:noProof/>
          <w:sz w:val="24"/>
          <w:szCs w:val="24"/>
        </w:rPr>
      </w:pPr>
      <w:r>
        <w:rPr>
          <w:rFonts w:ascii="Times New Roman" w:hAnsi="Times New Roman" w:cs="Times New Roman"/>
          <w:noProof/>
          <w:sz w:val="24"/>
          <w:szCs w:val="24"/>
        </w:rPr>
        <w:t>The sample used for the coupled U-series and ESR dating analyses is a mandibular left third molar (M</w:t>
      </w:r>
      <w:r>
        <w:rPr>
          <w:rFonts w:ascii="Times New Roman" w:hAnsi="Times New Roman" w:cs="Times New Roman"/>
          <w:noProof/>
          <w:sz w:val="24"/>
          <w:szCs w:val="24"/>
          <w:vertAlign w:val="subscript"/>
        </w:rPr>
        <w:t>3</w:t>
      </w:r>
      <w:r>
        <w:rPr>
          <w:rFonts w:ascii="Times New Roman" w:hAnsi="Times New Roman" w:cs="Times New Roman"/>
          <w:noProof/>
          <w:sz w:val="24"/>
          <w:szCs w:val="24"/>
        </w:rPr>
        <w:t xml:space="preserve">) which was well preserved including partial dental roots. </w:t>
      </w:r>
      <w:r>
        <w:rPr>
          <w:rFonts w:ascii="Times New Roman" w:hAnsi="Times New Roman"/>
          <w:sz w:val="24"/>
          <w:szCs w:val="24"/>
        </w:rPr>
        <w:t xml:space="preserve">The tooth was sectioned to expose the different dental tissues using a diamond blade-rotating saw with a thickness of 300 </w:t>
      </w:r>
      <w:r>
        <w:rPr>
          <w:rFonts w:ascii="Times New Roman" w:hAnsi="Times New Roman" w:cs="Times New Roman"/>
          <w:sz w:val="24"/>
          <w:szCs w:val="24"/>
        </w:rPr>
        <w:t>µ</w:t>
      </w:r>
      <w:r>
        <w:rPr>
          <w:rFonts w:ascii="Times New Roman" w:hAnsi="Times New Roman"/>
          <w:sz w:val="24"/>
          <w:szCs w:val="24"/>
        </w:rPr>
        <w:t xml:space="preserve">m. The </w:t>
      </w:r>
      <w:r>
        <w:rPr>
          <w:rFonts w:ascii="Times New Roman" w:hAnsi="Times New Roman"/>
          <w:sz w:val="24"/>
          <w:szCs w:val="24"/>
        </w:rPr>
        <w:lastRenderedPageBreak/>
        <w:t>tooth was then pre-screened by LA-ICPMS quadrupole to assess the suitability of uranium-series and electron spin resonance coupled dating technique (enamel concentration &lt;5ppm)</w:t>
      </w:r>
      <w:r>
        <w:rPr>
          <w:rFonts w:ascii="Times New Roman" w:hAnsi="Times New Roman"/>
          <w:sz w:val="24"/>
          <w:szCs w:val="24"/>
          <w:vertAlign w:val="superscript"/>
        </w:rPr>
        <w:t>85-87</w:t>
      </w:r>
      <w:r>
        <w:rPr>
          <w:rFonts w:ascii="Times New Roman" w:hAnsi="Times New Roman"/>
          <w:sz w:val="24"/>
          <w:szCs w:val="24"/>
        </w:rPr>
        <w:t xml:space="preserve">, as well as an increase understanding of the diagenetic and diffusion processes within the sample. </w:t>
      </w:r>
    </w:p>
    <w:p w14:paraId="28BA321D" w14:textId="77777777" w:rsidR="00F272EB" w:rsidRDefault="00F272EB" w:rsidP="00F272EB">
      <w:pPr>
        <w:widowControl w:val="0"/>
        <w:autoSpaceDE w:val="0"/>
        <w:autoSpaceDN w:val="0"/>
        <w:adjustRightInd w:val="0"/>
        <w:spacing w:line="360" w:lineRule="auto"/>
        <w:ind w:right="-46"/>
        <w:jc w:val="both"/>
        <w:rPr>
          <w:rFonts w:ascii="Times New Roman" w:hAnsi="Times New Roman"/>
          <w:sz w:val="24"/>
          <w:szCs w:val="24"/>
          <w:highlight w:val="cyan"/>
        </w:rPr>
      </w:pPr>
      <w:r>
        <w:rPr>
          <w:rFonts w:ascii="Times New Roman" w:hAnsi="Times New Roman"/>
          <w:sz w:val="24"/>
          <w:szCs w:val="24"/>
        </w:rPr>
        <w:t>A fragment of enamel was separated using a hand-held diamond saw following established protocol</w:t>
      </w:r>
      <w:r>
        <w:rPr>
          <w:rFonts w:ascii="Times New Roman" w:hAnsi="Times New Roman"/>
          <w:sz w:val="24"/>
          <w:szCs w:val="24"/>
          <w:vertAlign w:val="superscript"/>
        </w:rPr>
        <w:t>57</w:t>
      </w:r>
      <w:r>
        <w:rPr>
          <w:rFonts w:ascii="Times New Roman" w:hAnsi="Times New Roman"/>
          <w:sz w:val="24"/>
          <w:szCs w:val="24"/>
        </w:rPr>
        <w:t xml:space="preserve"> and cleaned of any remaining dentine. Fragment was stripped of the outer </w:t>
      </w:r>
      <w:r>
        <w:rPr>
          <w:rFonts w:ascii="Times New Roman" w:hAnsi="Times New Roman"/>
          <w:sz w:val="24"/>
          <w:szCs w:val="24"/>
        </w:rPr>
        <w:sym w:font="Symbol" w:char="F0BB"/>
      </w:r>
      <w:r>
        <w:rPr>
          <w:rFonts w:ascii="Times New Roman" w:hAnsi="Times New Roman"/>
          <w:sz w:val="24"/>
          <w:szCs w:val="24"/>
        </w:rPr>
        <w:t>60 microns ±10 on each side using a polishing diamond blade. Fragment was mounted into a parafilm mould to record the angular dependency in the ESR response</w:t>
      </w:r>
      <w:r>
        <w:rPr>
          <w:rFonts w:ascii="Times New Roman" w:hAnsi="Times New Roman"/>
          <w:sz w:val="24"/>
          <w:szCs w:val="24"/>
          <w:vertAlign w:val="superscript"/>
        </w:rPr>
        <w:t>87,88</w:t>
      </w:r>
      <w:r>
        <w:rPr>
          <w:rFonts w:ascii="Times New Roman" w:hAnsi="Times New Roman"/>
          <w:sz w:val="24"/>
          <w:szCs w:val="24"/>
        </w:rPr>
        <w:t>. Fragments were then measured at room temperature on a Freiberg MS5000 ESR X-band spectrometer at a 0.1mT modulation amplitude, 10 scans, 2mW power, 100G sweep, and 100KHz modulation frequency for ESR dating. Irradiation was performed with the Freiberg X-ray irradiation chamber, which contains a Varian VF50 X-ray gun at a voltage of 40KV and 0.5m. A current on the fragment exposed to X-rays without shielding (apart from a 200</w:t>
      </w:r>
      <w:bookmarkStart w:id="1" w:name="_Hlk99012237"/>
      <w:r>
        <w:rPr>
          <w:rFonts w:ascii="Times New Roman" w:hAnsi="Times New Roman"/>
          <w:sz w:val="24"/>
          <w:szCs w:val="24"/>
        </w:rPr>
        <w:t xml:space="preserve"> </w:t>
      </w:r>
      <w:r>
        <w:rPr>
          <w:rFonts w:ascii="Times New Roman" w:hAnsi="Times New Roman" w:cs="Times New Roman"/>
          <w:sz w:val="24"/>
          <w:szCs w:val="24"/>
        </w:rPr>
        <w:t>µ</w:t>
      </w:r>
      <w:bookmarkEnd w:id="1"/>
      <w:r>
        <w:rPr>
          <w:rFonts w:ascii="Times New Roman" w:hAnsi="Times New Roman"/>
          <w:sz w:val="24"/>
          <w:szCs w:val="24"/>
        </w:rPr>
        <w:t xml:space="preserve">m Al foil layer). Each fragment was irradiated, following exponentially increasing irradiation times (50s, 101s, 200s, 600s, 1203s, 1600s, 2500s). For each irradiation step, the energy output of the X-ray gun was recorded at the beginning and end and averaged, which allows to correct for the dose rate received by the sample (average dose rates of ~0.267 </w:t>
      </w:r>
      <w:proofErr w:type="spellStart"/>
      <w:r>
        <w:rPr>
          <w:rFonts w:ascii="Times New Roman" w:hAnsi="Times New Roman"/>
          <w:sz w:val="24"/>
          <w:szCs w:val="24"/>
        </w:rPr>
        <w:t>Gy</w:t>
      </w:r>
      <w:proofErr w:type="spellEnd"/>
      <w:r>
        <w:rPr>
          <w:rFonts w:ascii="Times New Roman" w:hAnsi="Times New Roman"/>
          <w:sz w:val="24"/>
          <w:szCs w:val="24"/>
        </w:rPr>
        <w:t>/s). At the start and after each irradiation step the fragment was measured over 180</w:t>
      </w:r>
      <w:r>
        <w:rPr>
          <w:rFonts w:ascii="Times New Roman" w:hAnsi="Times New Roman"/>
          <w:sz w:val="24"/>
          <w:szCs w:val="24"/>
          <w:vertAlign w:val="superscript"/>
        </w:rPr>
        <w:t>o</w:t>
      </w:r>
      <w:r>
        <w:rPr>
          <w:rFonts w:ascii="Times New Roman" w:hAnsi="Times New Roman"/>
          <w:sz w:val="24"/>
          <w:szCs w:val="24"/>
        </w:rPr>
        <w:t xml:space="preserve"> in X, Y and Z-configurations with a 10</w:t>
      </w:r>
      <w:r>
        <w:rPr>
          <w:rFonts w:ascii="Times New Roman" w:hAnsi="Times New Roman"/>
          <w:sz w:val="24"/>
          <w:szCs w:val="24"/>
          <w:vertAlign w:val="superscript"/>
        </w:rPr>
        <w:t>o</w:t>
      </w:r>
      <w:r>
        <w:rPr>
          <w:rFonts w:ascii="Times New Roman" w:hAnsi="Times New Roman"/>
          <w:sz w:val="24"/>
          <w:szCs w:val="24"/>
        </w:rPr>
        <w:t xml:space="preserve"> step (e.g., Extended Data Fig. 7). ESR intensities were extracted from T1-B2 peak-to-peak amplitudes on the merged ESR signal. Isotropic and baseline corrections were applied uniformly across the measured spectra</w:t>
      </w:r>
      <w:r>
        <w:rPr>
          <w:rFonts w:ascii="Times New Roman" w:hAnsi="Times New Roman"/>
          <w:sz w:val="24"/>
          <w:szCs w:val="24"/>
          <w:vertAlign w:val="superscript"/>
        </w:rPr>
        <w:t>89-95</w:t>
      </w:r>
      <w:r>
        <w:rPr>
          <w:rFonts w:ascii="Times New Roman" w:hAnsi="Times New Roman"/>
          <w:sz w:val="24"/>
          <w:szCs w:val="24"/>
        </w:rPr>
        <w:t>. The amount of NOCORs was estimated to be negligible using the protocol described by</w:t>
      </w:r>
      <w:r>
        <w:rPr>
          <w:rFonts w:ascii="Times New Roman" w:hAnsi="Times New Roman"/>
          <w:sz w:val="24"/>
          <w:szCs w:val="24"/>
          <w:vertAlign w:val="superscript"/>
        </w:rPr>
        <w:t>57</w:t>
      </w:r>
      <w:r>
        <w:rPr>
          <w:rFonts w:ascii="Times New Roman" w:hAnsi="Times New Roman"/>
          <w:sz w:val="24"/>
          <w:szCs w:val="24"/>
        </w:rPr>
        <w:t xml:space="preserve">. The </w:t>
      </w:r>
      <w:r>
        <w:rPr>
          <w:rFonts w:ascii="Times New Roman" w:hAnsi="Times New Roman"/>
          <w:sz w:val="24"/>
          <w:szCs w:val="24"/>
          <w:lang w:val="en-GB"/>
        </w:rPr>
        <w:t>ESR dose response curves were obtained by using merged ESR intensities and associated standard deviations from the repeated measurements over one orientation only.</w:t>
      </w:r>
    </w:p>
    <w:p w14:paraId="0A21447A" w14:textId="77777777" w:rsidR="00F272EB" w:rsidRDefault="00F272EB" w:rsidP="00F272EB">
      <w:pPr>
        <w:spacing w:line="360" w:lineRule="auto"/>
        <w:ind w:right="-46"/>
        <w:jc w:val="both"/>
        <w:rPr>
          <w:rFonts w:ascii="Times New Roman" w:hAnsi="Times New Roman"/>
          <w:sz w:val="24"/>
          <w:szCs w:val="24"/>
        </w:rPr>
      </w:pPr>
      <w:r>
        <w:rPr>
          <w:rFonts w:ascii="Times New Roman" w:hAnsi="Times New Roman"/>
          <w:sz w:val="24"/>
          <w:szCs w:val="24"/>
          <w:lang w:val="en-GB"/>
        </w:rPr>
        <w:t>Fitting procedures were carried out with the MCDOSE 2.0 software using a Markov Chain Monte Carlo (MCMC) approach based on the Metropolis-Hastings algorithm</w:t>
      </w:r>
      <w:r>
        <w:rPr>
          <w:rFonts w:ascii="Times New Roman" w:hAnsi="Times New Roman"/>
          <w:sz w:val="24"/>
          <w:szCs w:val="24"/>
          <w:vertAlign w:val="superscript"/>
        </w:rPr>
        <w:t>89</w:t>
      </w:r>
      <w:r>
        <w:rPr>
          <w:rFonts w:ascii="Times New Roman" w:hAnsi="Times New Roman"/>
          <w:sz w:val="24"/>
          <w:szCs w:val="24"/>
          <w:lang w:val="en-GB"/>
        </w:rPr>
        <w:t xml:space="preserve">. A </w:t>
      </w:r>
      <w:r>
        <w:rPr>
          <w:rFonts w:ascii="Times New Roman" w:hAnsi="Times New Roman"/>
          <w:sz w:val="24"/>
          <w:szCs w:val="24"/>
        </w:rPr>
        <w:t>D</w:t>
      </w:r>
      <w:r>
        <w:rPr>
          <w:rFonts w:ascii="Times New Roman" w:hAnsi="Times New Roman"/>
          <w:sz w:val="24"/>
          <w:szCs w:val="24"/>
          <w:vertAlign w:val="subscript"/>
        </w:rPr>
        <w:t>E</w:t>
      </w:r>
      <w:r>
        <w:rPr>
          <w:rFonts w:ascii="Times New Roman" w:hAnsi="Times New Roman"/>
          <w:sz w:val="24"/>
          <w:szCs w:val="24"/>
        </w:rPr>
        <w:t xml:space="preserve"> value of 48.1+/-5 </w:t>
      </w:r>
      <w:proofErr w:type="spellStart"/>
      <w:r>
        <w:rPr>
          <w:rFonts w:ascii="Times New Roman" w:hAnsi="Times New Roman"/>
          <w:sz w:val="24"/>
          <w:szCs w:val="24"/>
        </w:rPr>
        <w:t>Gy</w:t>
      </w:r>
      <w:proofErr w:type="spellEnd"/>
      <w:r>
        <w:rPr>
          <w:rFonts w:ascii="Times New Roman" w:hAnsi="Times New Roman"/>
          <w:sz w:val="24"/>
          <w:szCs w:val="24"/>
        </w:rPr>
        <w:t xml:space="preserve"> was obtained by fitting a single saturating exponential (SSE) at the appropriate maximum irradiation dose (</w:t>
      </w:r>
      <w:proofErr w:type="spellStart"/>
      <w:r>
        <w:rPr>
          <w:rFonts w:ascii="Times New Roman" w:hAnsi="Times New Roman"/>
          <w:sz w:val="24"/>
          <w:szCs w:val="24"/>
        </w:rPr>
        <w:t>D</w:t>
      </w:r>
      <w:r>
        <w:rPr>
          <w:rFonts w:ascii="Times New Roman" w:hAnsi="Times New Roman"/>
          <w:sz w:val="24"/>
          <w:szCs w:val="24"/>
          <w:vertAlign w:val="subscript"/>
        </w:rPr>
        <w:t>max</w:t>
      </w:r>
      <w:proofErr w:type="spellEnd"/>
      <w:r>
        <w:rPr>
          <w:rFonts w:ascii="Times New Roman" w:hAnsi="Times New Roman"/>
          <w:sz w:val="24"/>
          <w:szCs w:val="24"/>
        </w:rPr>
        <w:t>) following recommendations</w:t>
      </w:r>
      <w:r>
        <w:rPr>
          <w:rFonts w:ascii="Times New Roman" w:hAnsi="Times New Roman"/>
          <w:sz w:val="24"/>
          <w:szCs w:val="24"/>
          <w:vertAlign w:val="superscript"/>
        </w:rPr>
        <w:t>82</w:t>
      </w:r>
      <w:r>
        <w:rPr>
          <w:rFonts w:ascii="Times New Roman" w:hAnsi="Times New Roman"/>
          <w:sz w:val="24"/>
          <w:szCs w:val="24"/>
        </w:rPr>
        <w:t xml:space="preserve"> with iteration of 10,000 counts, n burn of 25,000 and an average acceptance rate of 30.15%. </w:t>
      </w:r>
    </w:p>
    <w:p w14:paraId="394CA9CD" w14:textId="77777777" w:rsidR="00F272EB" w:rsidRDefault="00F272EB" w:rsidP="00F272EB">
      <w:pPr>
        <w:widowControl w:val="0"/>
        <w:autoSpaceDE w:val="0"/>
        <w:autoSpaceDN w:val="0"/>
        <w:adjustRightInd w:val="0"/>
        <w:spacing w:line="360" w:lineRule="auto"/>
        <w:ind w:right="-46"/>
        <w:jc w:val="both"/>
        <w:rPr>
          <w:rFonts w:ascii="Times New Roman" w:hAnsi="Times New Roman"/>
          <w:sz w:val="24"/>
          <w:szCs w:val="24"/>
        </w:rPr>
      </w:pPr>
      <w:r>
        <w:rPr>
          <w:rFonts w:ascii="Times New Roman" w:hAnsi="Times New Roman"/>
          <w:sz w:val="24"/>
          <w:szCs w:val="24"/>
        </w:rPr>
        <w:t xml:space="preserve">Water content in the enamel and the dentine was assumed at 3% ±1 and 5% ±3 respectively. The external dose rate values for water content and elemental content in the sediment were obtained from drying out the sediment in oven and measuring weight difference. A large error was used to </w:t>
      </w:r>
      <w:r>
        <w:rPr>
          <w:rFonts w:ascii="Times New Roman" w:hAnsi="Times New Roman"/>
          <w:sz w:val="24"/>
          <w:szCs w:val="24"/>
        </w:rPr>
        <w:lastRenderedPageBreak/>
        <w:t>account for important seasonal variation in water content.</w:t>
      </w:r>
    </w:p>
    <w:p w14:paraId="4D1B0120" w14:textId="77777777" w:rsidR="00F272EB" w:rsidRDefault="00F272EB" w:rsidP="00F272EB">
      <w:pPr>
        <w:widowControl w:val="0"/>
        <w:autoSpaceDE w:val="0"/>
        <w:autoSpaceDN w:val="0"/>
        <w:adjustRightInd w:val="0"/>
        <w:spacing w:line="360" w:lineRule="auto"/>
        <w:ind w:right="-46"/>
        <w:jc w:val="both"/>
        <w:rPr>
          <w:rFonts w:ascii="Times New Roman" w:hAnsi="Times New Roman"/>
          <w:sz w:val="24"/>
          <w:szCs w:val="24"/>
        </w:rPr>
      </w:pPr>
      <w:r>
        <w:rPr>
          <w:rFonts w:ascii="Times New Roman" w:hAnsi="Times New Roman"/>
          <w:sz w:val="24"/>
          <w:szCs w:val="24"/>
        </w:rPr>
        <w:t>Cosmic dose rate was estimated using burial depth and geographic location according to the DATA program</w:t>
      </w:r>
      <w:r>
        <w:rPr>
          <w:rFonts w:ascii="Times New Roman" w:hAnsi="Times New Roman"/>
          <w:sz w:val="24"/>
          <w:szCs w:val="24"/>
          <w:vertAlign w:val="superscript"/>
        </w:rPr>
        <w:t>88</w:t>
      </w:r>
      <w:r>
        <w:rPr>
          <w:rFonts w:ascii="Times New Roman" w:hAnsi="Times New Roman"/>
          <w:sz w:val="24"/>
          <w:szCs w:val="24"/>
        </w:rPr>
        <w:t xml:space="preserve"> with a sediment density of 2.95g/cm</w:t>
      </w:r>
      <w:r>
        <w:rPr>
          <w:rFonts w:ascii="Times New Roman" w:hAnsi="Times New Roman"/>
          <w:sz w:val="24"/>
          <w:szCs w:val="24"/>
          <w:vertAlign w:val="superscript"/>
        </w:rPr>
        <w:t>3</w:t>
      </w:r>
      <w:r>
        <w:rPr>
          <w:rFonts w:ascii="Times New Roman" w:hAnsi="Times New Roman"/>
          <w:sz w:val="24"/>
          <w:szCs w:val="24"/>
        </w:rPr>
        <w:t xml:space="preserve">. External dose rate was calculate using sediments recovered around the tooth at the time of excavation. Dried sediment was crushed before being digested in a 1:3 Nitric/Hydrochloric acid solution overnight, prior to analysing with an ICPMS quadrupole. Uranium, Thorium and Potassium concentrations were then used to extrapolate the external dose contribution assuming equilibrium of the decay chain and an assumed </w:t>
      </w:r>
      <w:r>
        <w:rPr>
          <w:rFonts w:ascii="Times New Roman" w:hAnsi="Times New Roman"/>
          <w:sz w:val="24"/>
          <w:szCs w:val="24"/>
          <w:vertAlign w:val="superscript"/>
        </w:rPr>
        <w:t>230</w:t>
      </w:r>
      <w:r>
        <w:rPr>
          <w:rFonts w:ascii="Times New Roman" w:hAnsi="Times New Roman"/>
          <w:sz w:val="24"/>
          <w:szCs w:val="24"/>
        </w:rPr>
        <w:t>Th/</w:t>
      </w:r>
      <w:r>
        <w:rPr>
          <w:rFonts w:ascii="Times New Roman" w:hAnsi="Times New Roman"/>
          <w:sz w:val="24"/>
          <w:szCs w:val="24"/>
          <w:vertAlign w:val="superscript"/>
        </w:rPr>
        <w:t>232</w:t>
      </w:r>
      <w:r>
        <w:rPr>
          <w:rFonts w:ascii="Times New Roman" w:hAnsi="Times New Roman"/>
          <w:sz w:val="24"/>
          <w:szCs w:val="24"/>
        </w:rPr>
        <w:t xml:space="preserve">Th-ratio of 0.8+/-0.8. Sediment content for U, Th and K of 9.56ppm (+/-1), 5.02 ppm (+/-1) and 3.1% (+/-.5) respectively was used to calculate the external contribution to the total dose rate assuming a 30 cm homogenous sphere around the sample. </w:t>
      </w:r>
      <w:r>
        <w:rPr>
          <w:rFonts w:ascii="Times New Roman" w:hAnsi="Times New Roman"/>
          <w:bCs/>
          <w:sz w:val="24"/>
          <w:szCs w:val="24"/>
        </w:rPr>
        <w:t>US-ESR ages were modelled using both the DATA program and the US-ESR program</w:t>
      </w:r>
      <w:r>
        <w:rPr>
          <w:rFonts w:ascii="Times New Roman" w:hAnsi="Times New Roman"/>
          <w:bCs/>
          <w:sz w:val="24"/>
          <w:szCs w:val="24"/>
          <w:vertAlign w:val="superscript"/>
        </w:rPr>
        <w:t>88</w:t>
      </w:r>
      <w:r>
        <w:rPr>
          <w:rFonts w:ascii="Times New Roman" w:hAnsi="Times New Roman"/>
          <w:bCs/>
          <w:sz w:val="24"/>
          <w:szCs w:val="24"/>
        </w:rPr>
        <w:t>, and updated dose rate conversion factors</w:t>
      </w:r>
      <w:r>
        <w:rPr>
          <w:rFonts w:ascii="Times New Roman" w:hAnsi="Times New Roman"/>
          <w:bCs/>
          <w:sz w:val="24"/>
          <w:szCs w:val="24"/>
          <w:vertAlign w:val="superscript"/>
        </w:rPr>
        <w:t>94</w:t>
      </w:r>
      <w:r>
        <w:rPr>
          <w:rFonts w:ascii="Times New Roman" w:hAnsi="Times New Roman"/>
          <w:bCs/>
          <w:sz w:val="24"/>
          <w:szCs w:val="24"/>
        </w:rPr>
        <w:t>.</w:t>
      </w:r>
    </w:p>
    <w:p w14:paraId="200718CC" w14:textId="77777777" w:rsidR="00F272EB" w:rsidRDefault="00F272EB" w:rsidP="00F272EB">
      <w:pPr>
        <w:spacing w:line="360" w:lineRule="auto"/>
        <w:jc w:val="both"/>
        <w:rPr>
          <w:rFonts w:ascii="Times New Roman" w:hAnsi="Times New Roman"/>
          <w:sz w:val="24"/>
          <w:szCs w:val="24"/>
        </w:rPr>
      </w:pPr>
      <w:r>
        <w:rPr>
          <w:rFonts w:ascii="Times New Roman" w:hAnsi="Times New Roman"/>
          <w:sz w:val="24"/>
          <w:szCs w:val="24"/>
        </w:rPr>
        <w:t xml:space="preserve">The tooth was initially sampled for Uranium content using LA-ICPMS quadrupole to assess the suitability of the fossil for dating before being measured by MC-ICPMS. Measurements were obtained by laser ablation, using an NW213 ESI laser coupled to a 7700 Agilent Quadrupole and a MC-ICPMS Neptune XT at Southern Cross University, GARG facility. The entire tooth was imaged for trace elements using the quadrupole setting with spot size of 40microns and a translation speed of 80microns and dwell time of 0.5s. For elemental maps obtained by LA-ICP-MS, ablation lines were extracted in the form of a .csv files generated by the </w:t>
      </w:r>
      <w:proofErr w:type="spellStart"/>
      <w:r>
        <w:rPr>
          <w:rFonts w:ascii="Times New Roman" w:hAnsi="Times New Roman"/>
          <w:sz w:val="24"/>
          <w:szCs w:val="24"/>
        </w:rPr>
        <w:t>MassHunter</w:t>
      </w:r>
      <w:proofErr w:type="spellEnd"/>
      <w:r>
        <w:rPr>
          <w:rFonts w:ascii="Times New Roman" w:hAnsi="Times New Roman"/>
          <w:sz w:val="24"/>
          <w:szCs w:val="24"/>
        </w:rPr>
        <w:t xml:space="preserve"> Workstation software (Agilent). Each file was then imported into the interactive R Shiny application “</w:t>
      </w:r>
      <w:proofErr w:type="spellStart"/>
      <w:r>
        <w:rPr>
          <w:rFonts w:ascii="Times New Roman" w:hAnsi="Times New Roman"/>
          <w:sz w:val="24"/>
          <w:szCs w:val="24"/>
        </w:rPr>
        <w:t>shinyImaging</w:t>
      </w:r>
      <w:proofErr w:type="spellEnd"/>
      <w:r>
        <w:rPr>
          <w:rFonts w:ascii="Times New Roman" w:hAnsi="Times New Roman"/>
          <w:sz w:val="24"/>
          <w:szCs w:val="24"/>
        </w:rPr>
        <w:t>” (</w:t>
      </w:r>
      <w:hyperlink r:id="rId11" w:history="1">
        <w:r>
          <w:rPr>
            <w:rStyle w:val="Hyperlink"/>
            <w:rFonts w:ascii="Times New Roman" w:hAnsi="Times New Roman"/>
            <w:sz w:val="24"/>
            <w:szCs w:val="24"/>
          </w:rPr>
          <w:t>http://labs.icahn.mssm.edu/lautenberglab/</w:t>
        </w:r>
      </w:hyperlink>
      <w:r>
        <w:rPr>
          <w:rFonts w:ascii="Times New Roman" w:hAnsi="Times New Roman"/>
          <w:sz w:val="24"/>
          <w:szCs w:val="24"/>
        </w:rPr>
        <w:t xml:space="preserve">), which transforms each isotope into a separate file containing the counts per second (CPS) values of one element and is organised as a matrix (number of ablation lines multiplied by the number of ablation spots per ablation line). For each element, gas blank CPS (median value in pixels per ablation spot) collected during the first 10s of each analysis (gas blank) were used as background and subtracted from the </w:t>
      </w:r>
      <w:proofErr w:type="spellStart"/>
      <w:r>
        <w:rPr>
          <w:rFonts w:ascii="Times New Roman" w:hAnsi="Times New Roman"/>
          <w:sz w:val="24"/>
          <w:szCs w:val="24"/>
        </w:rPr>
        <w:t>rasterstack</w:t>
      </w:r>
      <w:proofErr w:type="spellEnd"/>
      <w:r>
        <w:rPr>
          <w:rFonts w:ascii="Times New Roman" w:hAnsi="Times New Roman"/>
          <w:sz w:val="24"/>
          <w:szCs w:val="24"/>
        </w:rPr>
        <w:t>. Baseline and drifts were corrected using NIST 610 and 612 glass standard. Background around the teeth (signal arising from the encasing resin) was converted to white coloration (no intensity) to increase clarity of the figures by isolating the dental tissue from its surroundings. Colour scales were applied using the linear blue-red Lookup Table.</w:t>
      </w:r>
    </w:p>
    <w:p w14:paraId="4B4EFA5D" w14:textId="77777777" w:rsidR="00F272EB" w:rsidRDefault="00F272EB" w:rsidP="00F272EB">
      <w:pPr>
        <w:spacing w:after="0" w:line="360" w:lineRule="auto"/>
        <w:jc w:val="both"/>
        <w:rPr>
          <w:rFonts w:ascii="Times New Roman" w:hAnsi="Times New Roman"/>
          <w:sz w:val="24"/>
          <w:szCs w:val="24"/>
        </w:rPr>
      </w:pPr>
      <w:r>
        <w:rPr>
          <w:rFonts w:ascii="Times New Roman" w:hAnsi="Times New Roman"/>
          <w:sz w:val="24"/>
          <w:szCs w:val="24"/>
        </w:rPr>
        <w:t>Additionally, large areas were sampled using the LA-MC-ICPMS setting with 700microns rasters using a 110 um spots size at a 5micron per second translation speed and a fluence of ~4.88J cm</w:t>
      </w:r>
      <w:r>
        <w:rPr>
          <w:rFonts w:ascii="Times New Roman" w:hAnsi="Times New Roman"/>
          <w:sz w:val="24"/>
          <w:szCs w:val="24"/>
          <w:vertAlign w:val="superscript"/>
        </w:rPr>
        <w:t>2</w:t>
      </w:r>
      <w:r>
        <w:rPr>
          <w:rFonts w:ascii="Times New Roman" w:hAnsi="Times New Roman"/>
          <w:sz w:val="24"/>
          <w:szCs w:val="24"/>
        </w:rPr>
        <w:t xml:space="preserve"> </w:t>
      </w:r>
      <w:r>
        <w:rPr>
          <w:rFonts w:ascii="Times New Roman" w:hAnsi="Times New Roman"/>
          <w:sz w:val="24"/>
          <w:szCs w:val="24"/>
        </w:rPr>
        <w:lastRenderedPageBreak/>
        <w:t>(Extended Data Fig. 7). Concentration and isotopic ratio for the enamel were measured serval parts of the enamel including on the fragment used for ESR measurements. Dentine values were averaged for the entire tooth. Baseline and drifts were corrected using NIST 610 and 612 glass standard, while two corals as well as a fossil Rhinoceros tooth</w:t>
      </w:r>
      <w:r>
        <w:rPr>
          <w:rFonts w:ascii="Times New Roman" w:hAnsi="Times New Roman"/>
          <w:sz w:val="24"/>
          <w:szCs w:val="24"/>
          <w:vertAlign w:val="superscript"/>
        </w:rPr>
        <w:t>90</w:t>
      </w:r>
      <w:r>
        <w:rPr>
          <w:rFonts w:ascii="Times New Roman" w:hAnsi="Times New Roman"/>
          <w:sz w:val="24"/>
          <w:szCs w:val="24"/>
        </w:rPr>
        <w:t xml:space="preserve"> were used to correct </w:t>
      </w:r>
      <w:r>
        <w:rPr>
          <w:rFonts w:ascii="Times New Roman" w:hAnsi="Times New Roman"/>
          <w:sz w:val="24"/>
          <w:szCs w:val="24"/>
          <w:vertAlign w:val="superscript"/>
        </w:rPr>
        <w:t>234</w:t>
      </w:r>
      <w:r>
        <w:rPr>
          <w:rFonts w:ascii="Times New Roman" w:hAnsi="Times New Roman"/>
          <w:sz w:val="24"/>
          <w:szCs w:val="24"/>
        </w:rPr>
        <w:t>U/</w:t>
      </w:r>
      <w:r>
        <w:rPr>
          <w:rFonts w:ascii="Times New Roman" w:hAnsi="Times New Roman"/>
          <w:sz w:val="24"/>
          <w:szCs w:val="24"/>
          <w:vertAlign w:val="superscript"/>
        </w:rPr>
        <w:t>238</w:t>
      </w:r>
      <w:r>
        <w:rPr>
          <w:rFonts w:ascii="Times New Roman" w:hAnsi="Times New Roman"/>
          <w:sz w:val="24"/>
          <w:szCs w:val="24"/>
        </w:rPr>
        <w:t xml:space="preserve">U and </w:t>
      </w:r>
      <w:r>
        <w:rPr>
          <w:rFonts w:ascii="Times New Roman" w:hAnsi="Times New Roman"/>
          <w:sz w:val="24"/>
          <w:szCs w:val="24"/>
          <w:vertAlign w:val="superscript"/>
        </w:rPr>
        <w:t>230</w:t>
      </w:r>
      <w:r>
        <w:rPr>
          <w:rFonts w:ascii="Times New Roman" w:hAnsi="Times New Roman"/>
          <w:sz w:val="24"/>
          <w:szCs w:val="24"/>
        </w:rPr>
        <w:t>Th/</w:t>
      </w:r>
      <w:r>
        <w:rPr>
          <w:rFonts w:ascii="Times New Roman" w:hAnsi="Times New Roman"/>
          <w:sz w:val="24"/>
          <w:szCs w:val="24"/>
          <w:vertAlign w:val="superscript"/>
        </w:rPr>
        <w:t>238</w:t>
      </w:r>
      <w:r>
        <w:rPr>
          <w:rFonts w:ascii="Times New Roman" w:hAnsi="Times New Roman"/>
          <w:sz w:val="24"/>
          <w:szCs w:val="24"/>
        </w:rPr>
        <w:t xml:space="preserve">U ratios and assess the accuracy of measurements. Uranium elemental map reveal that the dental tissues were virtually free of uranium. Both instrumental measurements of uranium and thorium concentrations across the entire sample reached only a few ppb to tens of ppb at a maximum. It remains unclear why no diffusion occurred in the sample, perhaps the unusual yellowish coating around the tooth acted as a barrier prohibiting water and moisture to enter the sample. The absence of a measurable level of uranium and thorium in both dentine and enamel hindered any meaningful calculation of uranium-series age for the sample. Additionally, isotopic ratios </w:t>
      </w:r>
      <w:r>
        <w:rPr>
          <w:rFonts w:ascii="Times New Roman" w:hAnsi="Times New Roman"/>
          <w:sz w:val="24"/>
          <w:szCs w:val="24"/>
          <w:vertAlign w:val="superscript"/>
        </w:rPr>
        <w:t>234</w:t>
      </w:r>
      <w:r>
        <w:rPr>
          <w:rFonts w:ascii="Times New Roman" w:hAnsi="Times New Roman"/>
          <w:sz w:val="24"/>
          <w:szCs w:val="24"/>
        </w:rPr>
        <w:t>U/</w:t>
      </w:r>
      <w:r>
        <w:rPr>
          <w:rFonts w:ascii="Times New Roman" w:hAnsi="Times New Roman"/>
          <w:sz w:val="24"/>
          <w:szCs w:val="24"/>
          <w:vertAlign w:val="superscript"/>
        </w:rPr>
        <w:t>238</w:t>
      </w:r>
      <w:r>
        <w:rPr>
          <w:rFonts w:ascii="Times New Roman" w:hAnsi="Times New Roman"/>
          <w:sz w:val="24"/>
          <w:szCs w:val="24"/>
        </w:rPr>
        <w:t xml:space="preserve">U and </w:t>
      </w:r>
      <w:r>
        <w:rPr>
          <w:rFonts w:ascii="Times New Roman" w:hAnsi="Times New Roman"/>
          <w:sz w:val="24"/>
          <w:szCs w:val="24"/>
          <w:vertAlign w:val="superscript"/>
        </w:rPr>
        <w:t>230</w:t>
      </w:r>
      <w:r>
        <w:rPr>
          <w:rFonts w:ascii="Times New Roman" w:hAnsi="Times New Roman"/>
          <w:sz w:val="24"/>
          <w:szCs w:val="24"/>
        </w:rPr>
        <w:t>Th/</w:t>
      </w:r>
      <w:r>
        <w:rPr>
          <w:rFonts w:ascii="Times New Roman" w:hAnsi="Times New Roman"/>
          <w:sz w:val="24"/>
          <w:szCs w:val="24"/>
          <w:vertAlign w:val="superscript"/>
        </w:rPr>
        <w:t>238</w:t>
      </w:r>
      <w:r>
        <w:rPr>
          <w:rFonts w:ascii="Times New Roman" w:hAnsi="Times New Roman"/>
          <w:sz w:val="24"/>
          <w:szCs w:val="24"/>
        </w:rPr>
        <w:t>U were below detection limits and could not be produced. Consequently, the internal dose rate component of the sample was considered null and only the external dose and cosmic dose component contributed to the total annual dose for ESR age calculation. The direct dating calculation on the human mandibular left third molar propose an age for the deposition between 21.1 ka and 29.7 ka (1-sigma). Obviously with such an insignificant amount of uranium in the sample both early and linear uptake results are identical. Cosmic dose is estimated to contribute to ~12% of the total external dose. Since no environmental gamma dose measurements were conducted in situ, the assumption of a 30 cm sphere around the sample and the extrapolation to the external dose rate of 1728+/-266</w:t>
      </w:r>
      <w:r>
        <w:rPr>
          <w:rFonts w:ascii="Times New Roman" w:hAnsi="Times New Roman" w:cs="Times New Roman"/>
          <w:sz w:val="24"/>
          <w:szCs w:val="24"/>
        </w:rPr>
        <w:t>µG/a</w:t>
      </w:r>
      <w:r>
        <w:rPr>
          <w:rFonts w:ascii="Times New Roman" w:hAnsi="Times New Roman"/>
          <w:sz w:val="24"/>
          <w:szCs w:val="24"/>
        </w:rPr>
        <w:t xml:space="preserve"> from the sediment content corresponds to the leading and non-negligible source of error. </w:t>
      </w:r>
    </w:p>
    <w:p w14:paraId="2FE79ABA" w14:textId="77777777" w:rsidR="00F272EB" w:rsidRDefault="00F272EB" w:rsidP="00F272EB">
      <w:pPr>
        <w:spacing w:after="0" w:line="360" w:lineRule="auto"/>
        <w:jc w:val="both"/>
        <w:rPr>
          <w:rFonts w:ascii="Times New Roman" w:hAnsi="Times New Roman" w:cs="Times New Roman"/>
          <w:sz w:val="24"/>
          <w:szCs w:val="24"/>
        </w:rPr>
      </w:pPr>
    </w:p>
    <w:p w14:paraId="63279C59" w14:textId="77777777" w:rsidR="00F272EB" w:rsidRDefault="00F272EB" w:rsidP="00F272EB">
      <w:pPr>
        <w:spacing w:after="0" w:line="360" w:lineRule="auto"/>
        <w:jc w:val="both"/>
        <w:rPr>
          <w:rFonts w:ascii="Times New Roman" w:hAnsi="Times New Roman" w:cs="Times New Roman"/>
          <w:sz w:val="24"/>
          <w:szCs w:val="24"/>
        </w:rPr>
      </w:pPr>
      <w:r>
        <w:rPr>
          <w:rFonts w:ascii="Times New Roman" w:hAnsi="Times New Roman" w:cs="Times New Roman"/>
          <w:b/>
          <w:sz w:val="24"/>
          <w:szCs w:val="24"/>
        </w:rPr>
        <w:t>Supplementary Information References</w:t>
      </w:r>
    </w:p>
    <w:p w14:paraId="01A5E6D1" w14:textId="77777777" w:rsidR="00F272EB" w:rsidRDefault="00F272EB" w:rsidP="00F272EB">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56. Munsell </w:t>
      </w:r>
      <w:proofErr w:type="spellStart"/>
      <w:r>
        <w:rPr>
          <w:rFonts w:ascii="Times New Roman" w:hAnsi="Times New Roman" w:cs="Times New Roman"/>
          <w:sz w:val="24"/>
          <w:szCs w:val="24"/>
        </w:rPr>
        <w:t>Color</w:t>
      </w:r>
      <w:proofErr w:type="spellEnd"/>
      <w:r>
        <w:rPr>
          <w:rFonts w:ascii="Times New Roman" w:hAnsi="Times New Roman" w:cs="Times New Roman"/>
          <w:sz w:val="24"/>
          <w:szCs w:val="24"/>
        </w:rPr>
        <w:t xml:space="preserve"> Co. Inc. </w:t>
      </w:r>
      <w:r>
        <w:rPr>
          <w:rFonts w:ascii="Times New Roman" w:hAnsi="Times New Roman" w:cs="Times New Roman"/>
          <w:i/>
          <w:sz w:val="24"/>
          <w:szCs w:val="24"/>
        </w:rPr>
        <w:t xml:space="preserve">Munsell Soil </w:t>
      </w:r>
      <w:proofErr w:type="spellStart"/>
      <w:r>
        <w:rPr>
          <w:rFonts w:ascii="Times New Roman" w:hAnsi="Times New Roman" w:cs="Times New Roman"/>
          <w:i/>
          <w:sz w:val="24"/>
          <w:szCs w:val="24"/>
        </w:rPr>
        <w:t>Color</w:t>
      </w:r>
      <w:proofErr w:type="spellEnd"/>
      <w:r>
        <w:rPr>
          <w:rFonts w:ascii="Times New Roman" w:hAnsi="Times New Roman" w:cs="Times New Roman"/>
          <w:i/>
          <w:sz w:val="24"/>
          <w:szCs w:val="24"/>
        </w:rPr>
        <w:t xml:space="preserve"> Charts</w:t>
      </w:r>
      <w:r>
        <w:rPr>
          <w:rFonts w:ascii="Times New Roman" w:hAnsi="Times New Roman" w:cs="Times New Roman"/>
          <w:sz w:val="24"/>
          <w:szCs w:val="24"/>
        </w:rPr>
        <w:t>. New Windsor, New York. (1992).</w:t>
      </w:r>
    </w:p>
    <w:p w14:paraId="5494834A" w14:textId="77777777" w:rsidR="00F272EB" w:rsidRDefault="00F272EB" w:rsidP="00F272EB">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57. </w:t>
      </w:r>
      <w:proofErr w:type="spellStart"/>
      <w:r>
        <w:rPr>
          <w:rFonts w:ascii="Times New Roman" w:eastAsiaTheme="minorEastAsia" w:hAnsi="Times New Roman"/>
          <w:sz w:val="24"/>
          <w:szCs w:val="24"/>
          <w:lang w:eastAsia="zh-CN"/>
        </w:rPr>
        <w:t>Joannes-Boyau</w:t>
      </w:r>
      <w:proofErr w:type="spellEnd"/>
      <w:r>
        <w:rPr>
          <w:rFonts w:ascii="Times New Roman" w:eastAsiaTheme="minorEastAsia" w:hAnsi="Times New Roman"/>
          <w:sz w:val="24"/>
          <w:szCs w:val="24"/>
          <w:lang w:eastAsia="zh-CN"/>
        </w:rPr>
        <w:t xml:space="preserve">, R., Duval, M., &amp; </w:t>
      </w:r>
      <w:proofErr w:type="spellStart"/>
      <w:r>
        <w:rPr>
          <w:rFonts w:ascii="Times New Roman" w:eastAsiaTheme="minorEastAsia" w:hAnsi="Times New Roman"/>
          <w:sz w:val="24"/>
          <w:szCs w:val="24"/>
          <w:lang w:eastAsia="zh-CN"/>
        </w:rPr>
        <w:t>Bodin</w:t>
      </w:r>
      <w:proofErr w:type="spellEnd"/>
      <w:r>
        <w:rPr>
          <w:rFonts w:ascii="Times New Roman" w:eastAsiaTheme="minorEastAsia" w:hAnsi="Times New Roman"/>
          <w:sz w:val="24"/>
          <w:szCs w:val="24"/>
          <w:lang w:eastAsia="zh-CN"/>
        </w:rPr>
        <w:t xml:space="preserve">, T. </w:t>
      </w:r>
      <w:proofErr w:type="spellStart"/>
      <w:r>
        <w:rPr>
          <w:rFonts w:ascii="Times New Roman" w:eastAsiaTheme="minorEastAsia" w:hAnsi="Times New Roman"/>
          <w:sz w:val="24"/>
          <w:szCs w:val="24"/>
          <w:lang w:eastAsia="zh-CN"/>
        </w:rPr>
        <w:t>MCDoseE</w:t>
      </w:r>
      <w:proofErr w:type="spellEnd"/>
      <w:r>
        <w:rPr>
          <w:rFonts w:ascii="Times New Roman" w:eastAsiaTheme="minorEastAsia" w:hAnsi="Times New Roman"/>
          <w:sz w:val="24"/>
          <w:szCs w:val="24"/>
          <w:lang w:eastAsia="zh-CN"/>
        </w:rPr>
        <w:t xml:space="preserve"> 2.0. A new Markov Chain Monte Carlo program for ESR dose response curve fitting and dose evaluation. </w:t>
      </w:r>
      <w:r>
        <w:rPr>
          <w:rFonts w:ascii="Times New Roman" w:eastAsiaTheme="minorEastAsia" w:hAnsi="Times New Roman"/>
          <w:i/>
          <w:sz w:val="24"/>
          <w:szCs w:val="24"/>
          <w:lang w:eastAsia="zh-CN"/>
        </w:rPr>
        <w:t xml:space="preserve">Quat. </w:t>
      </w:r>
      <w:proofErr w:type="spellStart"/>
      <w:r>
        <w:rPr>
          <w:rFonts w:ascii="Times New Roman" w:eastAsiaTheme="minorEastAsia" w:hAnsi="Times New Roman"/>
          <w:i/>
          <w:sz w:val="24"/>
          <w:szCs w:val="24"/>
          <w:lang w:eastAsia="zh-CN"/>
        </w:rPr>
        <w:t>Geochron</w:t>
      </w:r>
      <w:proofErr w:type="spellEnd"/>
      <w:r>
        <w:rPr>
          <w:rFonts w:ascii="Times New Roman" w:eastAsiaTheme="minorEastAsia" w:hAnsi="Times New Roman"/>
          <w:sz w:val="24"/>
          <w:szCs w:val="24"/>
          <w:lang w:eastAsia="zh-CN"/>
        </w:rPr>
        <w:t xml:space="preserve">. </w:t>
      </w:r>
      <w:r>
        <w:rPr>
          <w:rFonts w:ascii="Times New Roman" w:eastAsiaTheme="minorEastAsia" w:hAnsi="Times New Roman"/>
          <w:b/>
          <w:sz w:val="24"/>
          <w:szCs w:val="24"/>
          <w:lang w:eastAsia="zh-CN"/>
        </w:rPr>
        <w:t>44</w:t>
      </w:r>
      <w:r>
        <w:rPr>
          <w:rFonts w:ascii="Times New Roman" w:eastAsiaTheme="minorEastAsia" w:hAnsi="Times New Roman"/>
          <w:sz w:val="24"/>
          <w:szCs w:val="24"/>
          <w:lang w:eastAsia="zh-CN"/>
        </w:rPr>
        <w:t>, 13-22 (2018).</w:t>
      </w:r>
    </w:p>
    <w:p w14:paraId="607DA3E5" w14:textId="77777777" w:rsidR="00F272EB" w:rsidRDefault="00F272EB" w:rsidP="00F272EB">
      <w:pPr>
        <w:pStyle w:val="EndNoteBibliography"/>
        <w:spacing w:after="0" w:line="360" w:lineRule="auto"/>
        <w:rPr>
          <w:noProof/>
          <w:szCs w:val="24"/>
        </w:rPr>
      </w:pPr>
      <w:r>
        <w:rPr>
          <w:noProof/>
          <w:szCs w:val="24"/>
        </w:rPr>
        <w:t xml:space="preserve">58. Tayles, N. et al. A prehistoric flexed human burial from Pha Phen, Middle Mekong Valley, Laos: Its context in Southeast Asia. </w:t>
      </w:r>
      <w:r>
        <w:rPr>
          <w:i/>
          <w:noProof/>
          <w:szCs w:val="24"/>
        </w:rPr>
        <w:t>Anthropol. Sci.</w:t>
      </w:r>
      <w:r>
        <w:rPr>
          <w:noProof/>
          <w:szCs w:val="24"/>
        </w:rPr>
        <w:t xml:space="preserve"> </w:t>
      </w:r>
      <w:r>
        <w:rPr>
          <w:b/>
          <w:noProof/>
          <w:szCs w:val="24"/>
        </w:rPr>
        <w:t>123</w:t>
      </w:r>
      <w:r>
        <w:rPr>
          <w:noProof/>
          <w:szCs w:val="24"/>
        </w:rPr>
        <w:t>, 1-12 (2015).</w:t>
      </w:r>
    </w:p>
    <w:p w14:paraId="4F0570B7" w14:textId="77777777" w:rsidR="00F272EB" w:rsidRDefault="00F272EB" w:rsidP="00F272EB">
      <w:pPr>
        <w:pStyle w:val="EndNoteBibliography"/>
        <w:spacing w:after="0" w:line="360" w:lineRule="auto"/>
        <w:rPr>
          <w:noProof/>
          <w:szCs w:val="24"/>
        </w:rPr>
      </w:pPr>
      <w:r>
        <w:rPr>
          <w:noProof/>
          <w:szCs w:val="24"/>
        </w:rPr>
        <w:lastRenderedPageBreak/>
        <w:t xml:space="preserve">59. Matsumura, H. et. al. </w:t>
      </w:r>
      <w:r>
        <w:rPr>
          <w:i/>
          <w:noProof/>
          <w:szCs w:val="24"/>
        </w:rPr>
        <w:t>Bio-anthropological Studies of Early Holocene Hunter-Gatherer Sites at Huiyaotian and Liyupo in Guangxi, China</w:t>
      </w:r>
      <w:r>
        <w:rPr>
          <w:noProof/>
          <w:szCs w:val="24"/>
        </w:rPr>
        <w:t>. National Museum of Nature and Science, Tokyo (2017).</w:t>
      </w:r>
    </w:p>
    <w:p w14:paraId="1EC2053C" w14:textId="77777777" w:rsidR="00F272EB" w:rsidRDefault="00F272EB" w:rsidP="00F272EB">
      <w:pPr>
        <w:pStyle w:val="EndNoteBibliography"/>
        <w:spacing w:after="0" w:line="360" w:lineRule="auto"/>
        <w:rPr>
          <w:noProof/>
          <w:szCs w:val="24"/>
        </w:rPr>
      </w:pPr>
      <w:r>
        <w:rPr>
          <w:noProof/>
          <w:szCs w:val="24"/>
        </w:rPr>
        <w:t xml:space="preserve">60. Institute of Archaeology (CASS), Guangxi Archaeological Team, Zengpiyan Museum &amp; Guilin Archaeological Team. </w:t>
      </w:r>
      <w:r>
        <w:rPr>
          <w:i/>
          <w:noProof/>
          <w:szCs w:val="24"/>
        </w:rPr>
        <w:t>Guilin Zengpiyan (The Zengpiyan Cave in Guilin)</w:t>
      </w:r>
      <w:r>
        <w:rPr>
          <w:noProof/>
          <w:szCs w:val="24"/>
        </w:rPr>
        <w:t>. Cultural Relics Publishing House, 497-499 (2003).</w:t>
      </w:r>
    </w:p>
    <w:p w14:paraId="144F7FBA" w14:textId="77777777" w:rsidR="00F272EB" w:rsidRDefault="00F272EB" w:rsidP="00F272EB">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61. Matsumura, H. et al. Morphometric affinity of the late Neolithic human remains from Man Bac, </w:t>
      </w:r>
      <w:proofErr w:type="spellStart"/>
      <w:r>
        <w:rPr>
          <w:rFonts w:ascii="Times New Roman" w:hAnsi="Times New Roman" w:cs="Times New Roman"/>
          <w:sz w:val="24"/>
          <w:szCs w:val="24"/>
        </w:rPr>
        <w:t>Ninh</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Binh</w:t>
      </w:r>
      <w:proofErr w:type="spellEnd"/>
      <w:r>
        <w:rPr>
          <w:rFonts w:ascii="Times New Roman" w:hAnsi="Times New Roman" w:cs="Times New Roman"/>
          <w:sz w:val="24"/>
          <w:szCs w:val="24"/>
        </w:rPr>
        <w:t xml:space="preserve"> Province, Vietnam: Key skeletons with which to debate the ‘Two Layer’ Hypothesis. </w:t>
      </w:r>
      <w:proofErr w:type="spellStart"/>
      <w:r>
        <w:rPr>
          <w:rFonts w:ascii="Times New Roman" w:hAnsi="Times New Roman" w:cs="Times New Roman"/>
          <w:i/>
          <w:sz w:val="24"/>
          <w:szCs w:val="24"/>
        </w:rPr>
        <w:t>Anthropol</w:t>
      </w:r>
      <w:proofErr w:type="spellEnd"/>
      <w:r>
        <w:rPr>
          <w:rFonts w:ascii="Times New Roman" w:hAnsi="Times New Roman" w:cs="Times New Roman"/>
          <w:i/>
          <w:sz w:val="24"/>
          <w:szCs w:val="24"/>
        </w:rPr>
        <w:t>. Sci</w:t>
      </w:r>
      <w:r>
        <w:rPr>
          <w:rFonts w:ascii="Times New Roman" w:hAnsi="Times New Roman" w:cs="Times New Roman"/>
          <w:sz w:val="24"/>
          <w:szCs w:val="24"/>
        </w:rPr>
        <w:t xml:space="preserve">. </w:t>
      </w:r>
      <w:r>
        <w:rPr>
          <w:rFonts w:ascii="Times New Roman" w:hAnsi="Times New Roman" w:cs="Times New Roman"/>
          <w:b/>
          <w:sz w:val="24"/>
          <w:szCs w:val="24"/>
        </w:rPr>
        <w:t>116</w:t>
      </w:r>
      <w:r>
        <w:rPr>
          <w:rFonts w:ascii="Times New Roman" w:hAnsi="Times New Roman" w:cs="Times New Roman"/>
          <w:sz w:val="24"/>
          <w:szCs w:val="24"/>
        </w:rPr>
        <w:t>, 135-148 (2008).</w:t>
      </w:r>
    </w:p>
    <w:p w14:paraId="48E3CD80" w14:textId="77777777" w:rsidR="00F272EB" w:rsidRDefault="00F272EB" w:rsidP="00F272EB">
      <w:pPr>
        <w:pStyle w:val="EndNoteBibliography"/>
        <w:spacing w:after="0" w:line="360" w:lineRule="auto"/>
        <w:rPr>
          <w:szCs w:val="24"/>
        </w:rPr>
      </w:pPr>
      <w:r>
        <w:rPr>
          <w:szCs w:val="24"/>
        </w:rPr>
        <w:t xml:space="preserve">62. Reimer, P.J. et al. The IntCal20 Northern Hemisphere Radiocarbon Age Calibration Curve (0–55 </w:t>
      </w:r>
      <w:proofErr w:type="spellStart"/>
      <w:r>
        <w:rPr>
          <w:szCs w:val="24"/>
        </w:rPr>
        <w:t>cal</w:t>
      </w:r>
      <w:proofErr w:type="spellEnd"/>
      <w:r>
        <w:rPr>
          <w:szCs w:val="24"/>
        </w:rPr>
        <w:t xml:space="preserve"> </w:t>
      </w:r>
      <w:proofErr w:type="spellStart"/>
      <w:r>
        <w:rPr>
          <w:szCs w:val="24"/>
        </w:rPr>
        <w:t>kBP</w:t>
      </w:r>
      <w:proofErr w:type="spellEnd"/>
      <w:r>
        <w:rPr>
          <w:szCs w:val="24"/>
        </w:rPr>
        <w:t xml:space="preserve">). </w:t>
      </w:r>
      <w:r>
        <w:rPr>
          <w:i/>
          <w:iCs/>
          <w:szCs w:val="24"/>
        </w:rPr>
        <w:t>Radiocarbon</w:t>
      </w:r>
      <w:r>
        <w:rPr>
          <w:szCs w:val="24"/>
        </w:rPr>
        <w:t xml:space="preserve"> </w:t>
      </w:r>
      <w:r>
        <w:rPr>
          <w:b/>
          <w:szCs w:val="24"/>
        </w:rPr>
        <w:t>62</w:t>
      </w:r>
      <w:r>
        <w:rPr>
          <w:szCs w:val="24"/>
        </w:rPr>
        <w:t>(4), 725-757 (2020).</w:t>
      </w:r>
    </w:p>
    <w:p w14:paraId="664F738D" w14:textId="77777777" w:rsidR="00F272EB" w:rsidRDefault="00F272EB" w:rsidP="00F272EB">
      <w:pPr>
        <w:spacing w:after="0" w:line="360" w:lineRule="auto"/>
        <w:jc w:val="both"/>
        <w:rPr>
          <w:rFonts w:ascii="Times New Roman" w:hAnsi="Times New Roman" w:cs="Times New Roman"/>
          <w:sz w:val="24"/>
          <w:szCs w:val="24"/>
        </w:rPr>
      </w:pPr>
      <w:r>
        <w:rPr>
          <w:rFonts w:ascii="Times New Roman" w:hAnsi="Times New Roman" w:cs="Times New Roman"/>
          <w:sz w:val="24"/>
          <w:szCs w:val="24"/>
        </w:rPr>
        <w:t>63. McKinley, J. Compiling a Skeletal Inventory: Disarticulated and co-Mingled remains,</w:t>
      </w:r>
    </w:p>
    <w:p w14:paraId="1110D014" w14:textId="77777777" w:rsidR="00F272EB" w:rsidRDefault="00F272EB" w:rsidP="00F272EB">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in: </w:t>
      </w:r>
      <w:proofErr w:type="spellStart"/>
      <w:r>
        <w:rPr>
          <w:rFonts w:ascii="Times New Roman" w:hAnsi="Times New Roman" w:cs="Times New Roman"/>
          <w:sz w:val="24"/>
          <w:szCs w:val="24"/>
        </w:rPr>
        <w:t>Brickley</w:t>
      </w:r>
      <w:proofErr w:type="spellEnd"/>
      <w:r>
        <w:rPr>
          <w:rFonts w:ascii="Times New Roman" w:hAnsi="Times New Roman" w:cs="Times New Roman"/>
          <w:sz w:val="24"/>
          <w:szCs w:val="24"/>
        </w:rPr>
        <w:t>, M., McKinley, J. (Eds.), Guidelines to the Standards for Recording Human</w:t>
      </w:r>
    </w:p>
    <w:p w14:paraId="4D0B394D" w14:textId="77777777" w:rsidR="00F272EB" w:rsidRDefault="00F272EB" w:rsidP="00F272EB">
      <w:pPr>
        <w:spacing w:after="0" w:line="360" w:lineRule="auto"/>
        <w:jc w:val="both"/>
        <w:rPr>
          <w:rFonts w:ascii="Times New Roman" w:hAnsi="Times New Roman" w:cs="Times New Roman"/>
          <w:sz w:val="24"/>
          <w:szCs w:val="24"/>
        </w:rPr>
      </w:pPr>
      <w:r>
        <w:rPr>
          <w:rFonts w:ascii="Times New Roman" w:hAnsi="Times New Roman" w:cs="Times New Roman"/>
          <w:sz w:val="24"/>
          <w:szCs w:val="24"/>
        </w:rPr>
        <w:t>Remains. BABAO/ Institute of Field Archaeologists, Reading</w:t>
      </w:r>
      <w:r>
        <w:rPr>
          <w:rFonts w:ascii="Times New Roman" w:hAnsi="Times New Roman" w:cs="Times New Roman"/>
          <w:i/>
          <w:sz w:val="24"/>
          <w:szCs w:val="24"/>
        </w:rPr>
        <w:t xml:space="preserve"> </w:t>
      </w:r>
      <w:r>
        <w:rPr>
          <w:rFonts w:ascii="Times New Roman" w:hAnsi="Times New Roman" w:cs="Times New Roman"/>
          <w:sz w:val="24"/>
          <w:szCs w:val="24"/>
        </w:rPr>
        <w:t>(2004).</w:t>
      </w:r>
    </w:p>
    <w:p w14:paraId="42A214FE" w14:textId="77777777" w:rsidR="00F272EB" w:rsidRDefault="00F272EB" w:rsidP="00F272EB">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64. Lovejoy, C.O. et al. Chronological metamorphosis of the auricular surface of the Ilium: A new method for the determination of adult skeletal age at death. </w:t>
      </w:r>
      <w:r>
        <w:rPr>
          <w:rFonts w:ascii="Times New Roman" w:hAnsi="Times New Roman" w:cs="Times New Roman"/>
          <w:i/>
          <w:sz w:val="24"/>
          <w:szCs w:val="24"/>
        </w:rPr>
        <w:t xml:space="preserve">Am. J. Phys. </w:t>
      </w:r>
      <w:proofErr w:type="spellStart"/>
      <w:r>
        <w:rPr>
          <w:rFonts w:ascii="Times New Roman" w:hAnsi="Times New Roman" w:cs="Times New Roman"/>
          <w:i/>
          <w:sz w:val="24"/>
          <w:szCs w:val="24"/>
        </w:rPr>
        <w:t>Anthropol</w:t>
      </w:r>
      <w:proofErr w:type="spellEnd"/>
      <w:r>
        <w:rPr>
          <w:rFonts w:ascii="Times New Roman" w:hAnsi="Times New Roman" w:cs="Times New Roman"/>
          <w:sz w:val="24"/>
          <w:szCs w:val="24"/>
        </w:rPr>
        <w:t xml:space="preserve">. </w:t>
      </w:r>
      <w:r>
        <w:rPr>
          <w:rFonts w:ascii="Times New Roman" w:hAnsi="Times New Roman" w:cs="Times New Roman"/>
          <w:b/>
          <w:sz w:val="24"/>
          <w:szCs w:val="24"/>
        </w:rPr>
        <w:t>68</w:t>
      </w:r>
      <w:r>
        <w:rPr>
          <w:rFonts w:ascii="Times New Roman" w:hAnsi="Times New Roman" w:cs="Times New Roman"/>
          <w:sz w:val="24"/>
          <w:szCs w:val="24"/>
        </w:rPr>
        <w:t xml:space="preserve"> 15-28 (1985).</w:t>
      </w:r>
    </w:p>
    <w:p w14:paraId="5F0C1BD4" w14:textId="77777777" w:rsidR="00F272EB" w:rsidRDefault="00F272EB" w:rsidP="00F272EB">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65. Brooks, S. </w:t>
      </w:r>
      <w:proofErr w:type="spellStart"/>
      <w:r>
        <w:rPr>
          <w:rFonts w:ascii="Times New Roman" w:hAnsi="Times New Roman" w:cs="Times New Roman"/>
          <w:sz w:val="24"/>
          <w:szCs w:val="24"/>
        </w:rPr>
        <w:t>Suchey</w:t>
      </w:r>
      <w:proofErr w:type="spellEnd"/>
      <w:r>
        <w:rPr>
          <w:rFonts w:ascii="Times New Roman" w:hAnsi="Times New Roman" w:cs="Times New Roman"/>
          <w:sz w:val="24"/>
          <w:szCs w:val="24"/>
        </w:rPr>
        <w:t xml:space="preserve">, J.M. Skeletal age determination based on the </w:t>
      </w:r>
      <w:proofErr w:type="spellStart"/>
      <w:r>
        <w:rPr>
          <w:rFonts w:ascii="Times New Roman" w:hAnsi="Times New Roman" w:cs="Times New Roman"/>
          <w:sz w:val="24"/>
          <w:szCs w:val="24"/>
        </w:rPr>
        <w:t>Os</w:t>
      </w:r>
      <w:proofErr w:type="spellEnd"/>
      <w:r>
        <w:rPr>
          <w:rFonts w:ascii="Times New Roman" w:hAnsi="Times New Roman" w:cs="Times New Roman"/>
          <w:sz w:val="24"/>
          <w:szCs w:val="24"/>
        </w:rPr>
        <w:t xml:space="preserve"> Pubis: A comparison of the </w:t>
      </w:r>
      <w:proofErr w:type="spellStart"/>
      <w:r>
        <w:rPr>
          <w:rFonts w:ascii="Times New Roman" w:hAnsi="Times New Roman" w:cs="Times New Roman"/>
          <w:sz w:val="24"/>
          <w:szCs w:val="24"/>
        </w:rPr>
        <w:t>Acsádi-Nemeskéri</w:t>
      </w:r>
      <w:proofErr w:type="spellEnd"/>
      <w:r>
        <w:rPr>
          <w:rFonts w:ascii="Times New Roman" w:hAnsi="Times New Roman" w:cs="Times New Roman"/>
          <w:sz w:val="24"/>
          <w:szCs w:val="24"/>
        </w:rPr>
        <w:t xml:space="preserve"> and </w:t>
      </w:r>
      <w:proofErr w:type="spellStart"/>
      <w:r>
        <w:rPr>
          <w:rFonts w:ascii="Times New Roman" w:hAnsi="Times New Roman" w:cs="Times New Roman"/>
          <w:sz w:val="24"/>
          <w:szCs w:val="24"/>
        </w:rPr>
        <w:t>Suchey</w:t>
      </w:r>
      <w:proofErr w:type="spellEnd"/>
      <w:r>
        <w:rPr>
          <w:rFonts w:ascii="Times New Roman" w:hAnsi="Times New Roman" w:cs="Times New Roman"/>
          <w:sz w:val="24"/>
          <w:szCs w:val="24"/>
        </w:rPr>
        <w:t xml:space="preserve">-Brooks methods. </w:t>
      </w:r>
      <w:r>
        <w:rPr>
          <w:rFonts w:ascii="Times New Roman" w:hAnsi="Times New Roman" w:cs="Times New Roman"/>
          <w:i/>
          <w:sz w:val="24"/>
          <w:szCs w:val="24"/>
        </w:rPr>
        <w:t xml:space="preserve">J. Hum. </w:t>
      </w:r>
      <w:proofErr w:type="spellStart"/>
      <w:r>
        <w:rPr>
          <w:rFonts w:ascii="Times New Roman" w:hAnsi="Times New Roman" w:cs="Times New Roman"/>
          <w:i/>
          <w:sz w:val="24"/>
          <w:szCs w:val="24"/>
        </w:rPr>
        <w:t>Evol</w:t>
      </w:r>
      <w:proofErr w:type="spellEnd"/>
      <w:r>
        <w:rPr>
          <w:rFonts w:ascii="Times New Roman" w:hAnsi="Times New Roman" w:cs="Times New Roman"/>
          <w:sz w:val="24"/>
          <w:szCs w:val="24"/>
        </w:rPr>
        <w:t xml:space="preserve">. </w:t>
      </w:r>
      <w:r>
        <w:rPr>
          <w:rFonts w:ascii="Times New Roman" w:hAnsi="Times New Roman" w:cs="Times New Roman"/>
          <w:b/>
          <w:sz w:val="24"/>
          <w:szCs w:val="24"/>
        </w:rPr>
        <w:t>5</w:t>
      </w:r>
      <w:r>
        <w:rPr>
          <w:rFonts w:ascii="Times New Roman" w:hAnsi="Times New Roman" w:cs="Times New Roman"/>
          <w:sz w:val="24"/>
          <w:szCs w:val="24"/>
        </w:rPr>
        <w:t>, 227-238 (1990).</w:t>
      </w:r>
    </w:p>
    <w:p w14:paraId="6E947FC3" w14:textId="77777777" w:rsidR="00F272EB" w:rsidRDefault="00F272EB" w:rsidP="00F272EB">
      <w:p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66. </w:t>
      </w:r>
      <w:r>
        <w:rPr>
          <w:rFonts w:ascii="Times New Roman" w:hAnsi="Times New Roman" w:cs="Times New Roman"/>
          <w:sz w:val="24"/>
          <w:szCs w:val="24"/>
          <w:lang w:val="en-US"/>
        </w:rPr>
        <w:t xml:space="preserve">Young, D. et al. Tibial changes in experimental disuse osteoporosis in the monkey. </w:t>
      </w:r>
      <w:r>
        <w:rPr>
          <w:rFonts w:ascii="Times New Roman" w:hAnsi="Times New Roman" w:cs="Times New Roman"/>
          <w:i/>
          <w:sz w:val="24"/>
          <w:szCs w:val="24"/>
          <w:lang w:val="en-US"/>
        </w:rPr>
        <w:t>Calcified tissue int.</w:t>
      </w:r>
      <w:r>
        <w:rPr>
          <w:rFonts w:ascii="Times New Roman" w:hAnsi="Times New Roman" w:cs="Times New Roman"/>
          <w:sz w:val="24"/>
          <w:szCs w:val="24"/>
          <w:lang w:val="en-US"/>
        </w:rPr>
        <w:t xml:space="preserve"> </w:t>
      </w:r>
      <w:r>
        <w:rPr>
          <w:rFonts w:ascii="Times New Roman" w:hAnsi="Times New Roman" w:cs="Times New Roman"/>
          <w:b/>
          <w:sz w:val="24"/>
          <w:szCs w:val="24"/>
          <w:lang w:val="en-US"/>
        </w:rPr>
        <w:t>35</w:t>
      </w:r>
      <w:r>
        <w:rPr>
          <w:rFonts w:ascii="Times New Roman" w:hAnsi="Times New Roman" w:cs="Times New Roman"/>
          <w:sz w:val="24"/>
          <w:szCs w:val="24"/>
          <w:lang w:val="en-US"/>
        </w:rPr>
        <w:t>, 304-308 (1983).</w:t>
      </w:r>
    </w:p>
    <w:p w14:paraId="51F63D52" w14:textId="77777777" w:rsidR="00F272EB" w:rsidRDefault="00F272EB" w:rsidP="00F272EB">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67. Barber, C.G. Immediate and eventual features of healing in amputated bones. </w:t>
      </w:r>
      <w:r>
        <w:rPr>
          <w:rFonts w:ascii="Times New Roman" w:hAnsi="Times New Roman" w:cs="Times New Roman"/>
          <w:i/>
          <w:sz w:val="24"/>
          <w:szCs w:val="24"/>
        </w:rPr>
        <w:t>Ann. Surg.</w:t>
      </w:r>
      <w:r>
        <w:rPr>
          <w:rFonts w:ascii="Times New Roman" w:hAnsi="Times New Roman" w:cs="Times New Roman"/>
          <w:sz w:val="24"/>
          <w:szCs w:val="24"/>
        </w:rPr>
        <w:t xml:space="preserve"> </w:t>
      </w:r>
      <w:r>
        <w:rPr>
          <w:rFonts w:ascii="Times New Roman" w:hAnsi="Times New Roman" w:cs="Times New Roman"/>
          <w:b/>
          <w:sz w:val="24"/>
          <w:szCs w:val="24"/>
        </w:rPr>
        <w:t>90</w:t>
      </w:r>
      <w:r>
        <w:rPr>
          <w:rFonts w:ascii="Times New Roman" w:hAnsi="Times New Roman" w:cs="Times New Roman"/>
          <w:sz w:val="24"/>
          <w:szCs w:val="24"/>
        </w:rPr>
        <w:t>, 985 (1929).</w:t>
      </w:r>
    </w:p>
    <w:p w14:paraId="6E9B58C4" w14:textId="77777777" w:rsidR="00F272EB" w:rsidRDefault="00F272EB" w:rsidP="00F272EB">
      <w:p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68. </w:t>
      </w:r>
      <w:proofErr w:type="spellStart"/>
      <w:r>
        <w:rPr>
          <w:rFonts w:ascii="Times New Roman" w:hAnsi="Times New Roman" w:cs="Times New Roman"/>
          <w:sz w:val="24"/>
          <w:szCs w:val="24"/>
        </w:rPr>
        <w:t>Oxenham</w:t>
      </w:r>
      <w:proofErr w:type="spellEnd"/>
      <w:r>
        <w:rPr>
          <w:rFonts w:ascii="Times New Roman" w:hAnsi="Times New Roman" w:cs="Times New Roman"/>
          <w:sz w:val="24"/>
          <w:szCs w:val="24"/>
        </w:rPr>
        <w:t xml:space="preserve">, M. et al. Paralysis and severe disability requiring intensive care in Neolithic Asia. </w:t>
      </w:r>
      <w:proofErr w:type="spellStart"/>
      <w:r>
        <w:rPr>
          <w:rFonts w:ascii="Times New Roman" w:hAnsi="Times New Roman" w:cs="Times New Roman"/>
          <w:i/>
          <w:sz w:val="24"/>
          <w:szCs w:val="24"/>
        </w:rPr>
        <w:t>Anthropol</w:t>
      </w:r>
      <w:proofErr w:type="spellEnd"/>
      <w:r>
        <w:rPr>
          <w:rFonts w:ascii="Times New Roman" w:hAnsi="Times New Roman" w:cs="Times New Roman"/>
          <w:i/>
          <w:sz w:val="24"/>
          <w:szCs w:val="24"/>
        </w:rPr>
        <w:t>. Sci</w:t>
      </w:r>
      <w:r>
        <w:rPr>
          <w:rFonts w:ascii="Times New Roman" w:hAnsi="Times New Roman" w:cs="Times New Roman"/>
          <w:sz w:val="24"/>
          <w:szCs w:val="24"/>
        </w:rPr>
        <w:t xml:space="preserve">. </w:t>
      </w:r>
      <w:r>
        <w:rPr>
          <w:rFonts w:ascii="Times New Roman" w:hAnsi="Times New Roman" w:cs="Times New Roman"/>
          <w:b/>
          <w:sz w:val="24"/>
          <w:szCs w:val="24"/>
        </w:rPr>
        <w:t>117</w:t>
      </w:r>
      <w:r>
        <w:rPr>
          <w:rFonts w:ascii="Times New Roman" w:hAnsi="Times New Roman" w:cs="Times New Roman"/>
          <w:sz w:val="24"/>
          <w:szCs w:val="24"/>
        </w:rPr>
        <w:t>, 107-112 (2009).</w:t>
      </w:r>
    </w:p>
    <w:p w14:paraId="58A93935" w14:textId="77777777" w:rsidR="00F272EB" w:rsidRDefault="00F272EB" w:rsidP="00F272EB">
      <w:pPr>
        <w:spacing w:after="0" w:line="360" w:lineRule="auto"/>
        <w:rPr>
          <w:rFonts w:ascii="Times New Roman" w:hAnsi="Times New Roman" w:cs="Times New Roman"/>
          <w:sz w:val="24"/>
          <w:szCs w:val="24"/>
          <w:lang w:val="en-US"/>
        </w:rPr>
      </w:pPr>
      <w:r>
        <w:rPr>
          <w:rFonts w:ascii="Times New Roman" w:hAnsi="Times New Roman" w:cs="Times New Roman"/>
          <w:sz w:val="24"/>
          <w:szCs w:val="24"/>
        </w:rPr>
        <w:t xml:space="preserve">69. </w:t>
      </w:r>
      <w:r>
        <w:rPr>
          <w:rFonts w:ascii="Times New Roman" w:hAnsi="Times New Roman" w:cs="Times New Roman"/>
          <w:sz w:val="24"/>
          <w:szCs w:val="24"/>
          <w:lang w:val="en-US"/>
        </w:rPr>
        <w:t xml:space="preserve">Tilley, L. </w:t>
      </w:r>
      <w:proofErr w:type="spellStart"/>
      <w:r>
        <w:rPr>
          <w:rFonts w:ascii="Times New Roman" w:hAnsi="Times New Roman" w:cs="Times New Roman"/>
          <w:sz w:val="24"/>
          <w:szCs w:val="24"/>
          <w:lang w:val="en-US"/>
        </w:rPr>
        <w:t>Oxenham</w:t>
      </w:r>
      <w:proofErr w:type="spellEnd"/>
      <w:r>
        <w:rPr>
          <w:rFonts w:ascii="Times New Roman" w:hAnsi="Times New Roman" w:cs="Times New Roman"/>
          <w:sz w:val="24"/>
          <w:szCs w:val="24"/>
          <w:lang w:val="en-US"/>
        </w:rPr>
        <w:t xml:space="preserve">, M.F. Survival against the odds: Modeling the Social Implications of Care Provision to Seriously Disabled Individuals. </w:t>
      </w:r>
      <w:r>
        <w:rPr>
          <w:rFonts w:ascii="Times New Roman" w:hAnsi="Times New Roman" w:cs="Times New Roman"/>
          <w:i/>
          <w:sz w:val="24"/>
          <w:szCs w:val="24"/>
          <w:lang w:val="en-US"/>
        </w:rPr>
        <w:t xml:space="preserve">Int. J. </w:t>
      </w:r>
      <w:proofErr w:type="spellStart"/>
      <w:r>
        <w:rPr>
          <w:rFonts w:ascii="Times New Roman" w:hAnsi="Times New Roman" w:cs="Times New Roman"/>
          <w:i/>
          <w:sz w:val="24"/>
          <w:szCs w:val="24"/>
          <w:lang w:val="en-US"/>
        </w:rPr>
        <w:t>Paleopath</w:t>
      </w:r>
      <w:proofErr w:type="spellEnd"/>
      <w:r>
        <w:rPr>
          <w:rFonts w:ascii="Times New Roman" w:hAnsi="Times New Roman" w:cs="Times New Roman"/>
          <w:i/>
          <w:sz w:val="24"/>
          <w:szCs w:val="24"/>
          <w:lang w:val="en-US"/>
        </w:rPr>
        <w:t>.</w:t>
      </w:r>
      <w:r>
        <w:rPr>
          <w:rFonts w:ascii="Times New Roman" w:hAnsi="Times New Roman" w:cs="Times New Roman"/>
          <w:sz w:val="24"/>
          <w:szCs w:val="24"/>
          <w:lang w:val="en-US"/>
        </w:rPr>
        <w:t xml:space="preserve"> </w:t>
      </w:r>
      <w:r>
        <w:rPr>
          <w:rFonts w:ascii="Times New Roman" w:hAnsi="Times New Roman" w:cs="Times New Roman"/>
          <w:b/>
          <w:sz w:val="24"/>
          <w:szCs w:val="24"/>
          <w:lang w:val="en-US"/>
        </w:rPr>
        <w:t>1,</w:t>
      </w:r>
      <w:r>
        <w:rPr>
          <w:rFonts w:ascii="Times New Roman" w:hAnsi="Times New Roman" w:cs="Times New Roman"/>
          <w:sz w:val="24"/>
          <w:szCs w:val="24"/>
          <w:lang w:val="en-US"/>
        </w:rPr>
        <w:t xml:space="preserve"> 35-42 (2011).</w:t>
      </w:r>
    </w:p>
    <w:p w14:paraId="6F049692" w14:textId="77777777" w:rsidR="00F272EB" w:rsidRDefault="00F272EB" w:rsidP="00F272EB">
      <w:pPr>
        <w:spacing w:after="0" w:line="360" w:lineRule="auto"/>
        <w:rPr>
          <w:rFonts w:ascii="Times New Roman" w:hAnsi="Times New Roman" w:cs="Times New Roman"/>
          <w:sz w:val="24"/>
          <w:szCs w:val="24"/>
          <w:lang w:val="en-US"/>
        </w:rPr>
      </w:pPr>
      <w:r>
        <w:rPr>
          <w:rFonts w:ascii="Times New Roman" w:hAnsi="Times New Roman" w:cs="Times New Roman"/>
          <w:sz w:val="24"/>
          <w:szCs w:val="24"/>
        </w:rPr>
        <w:t>70.</w:t>
      </w:r>
      <w:r>
        <w:rPr>
          <w:rFonts w:ascii="Times New Roman" w:hAnsi="Times New Roman" w:cs="Times New Roman"/>
          <w:sz w:val="24"/>
          <w:szCs w:val="24"/>
          <w:lang w:val="en-US"/>
        </w:rPr>
        <w:t xml:space="preserve"> Young, D. et al. Tibial changes in experimental disuse osteoporosis in the monkey. </w:t>
      </w:r>
      <w:r>
        <w:rPr>
          <w:rFonts w:ascii="Times New Roman" w:hAnsi="Times New Roman" w:cs="Times New Roman"/>
          <w:i/>
          <w:sz w:val="24"/>
          <w:szCs w:val="24"/>
          <w:lang w:val="en-US"/>
        </w:rPr>
        <w:t>Calcified Tissue Int.</w:t>
      </w:r>
      <w:r>
        <w:rPr>
          <w:rFonts w:ascii="Times New Roman" w:hAnsi="Times New Roman" w:cs="Times New Roman"/>
          <w:sz w:val="24"/>
          <w:szCs w:val="24"/>
          <w:lang w:val="en-US"/>
        </w:rPr>
        <w:t xml:space="preserve"> </w:t>
      </w:r>
      <w:r>
        <w:rPr>
          <w:rFonts w:ascii="Times New Roman" w:hAnsi="Times New Roman" w:cs="Times New Roman"/>
          <w:b/>
          <w:sz w:val="24"/>
          <w:szCs w:val="24"/>
          <w:lang w:val="en-US"/>
        </w:rPr>
        <w:t>35</w:t>
      </w:r>
      <w:r>
        <w:rPr>
          <w:rFonts w:ascii="Times New Roman" w:hAnsi="Times New Roman" w:cs="Times New Roman"/>
          <w:sz w:val="24"/>
          <w:szCs w:val="24"/>
          <w:lang w:val="en-US"/>
        </w:rPr>
        <w:t>, 304-308 (1983).</w:t>
      </w:r>
    </w:p>
    <w:p w14:paraId="1E114398" w14:textId="77777777" w:rsidR="00F272EB" w:rsidRDefault="00F272EB" w:rsidP="00F272EB">
      <w:pPr>
        <w:autoSpaceDE w:val="0"/>
        <w:autoSpaceDN w:val="0"/>
        <w:adjustRightInd w:val="0"/>
        <w:spacing w:after="0"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71. </w:t>
      </w:r>
      <w:proofErr w:type="spellStart"/>
      <w:r>
        <w:rPr>
          <w:rFonts w:ascii="Times New Roman" w:hAnsi="Times New Roman" w:cs="Times New Roman"/>
          <w:sz w:val="24"/>
          <w:szCs w:val="24"/>
          <w:lang w:val="en-US"/>
        </w:rPr>
        <w:t>Sherk</w:t>
      </w:r>
      <w:proofErr w:type="spellEnd"/>
      <w:r>
        <w:rPr>
          <w:rFonts w:ascii="Times New Roman" w:hAnsi="Times New Roman" w:cs="Times New Roman"/>
          <w:sz w:val="24"/>
          <w:szCs w:val="24"/>
          <w:lang w:val="en-US"/>
        </w:rPr>
        <w:t xml:space="preserve">, V.D. et al. BMD and bone geometry in transtibial and transfemoral amputees. </w:t>
      </w:r>
      <w:r>
        <w:rPr>
          <w:rFonts w:ascii="Times New Roman" w:hAnsi="Times New Roman" w:cs="Times New Roman"/>
          <w:i/>
          <w:sz w:val="24"/>
          <w:szCs w:val="24"/>
          <w:lang w:val="en-US"/>
        </w:rPr>
        <w:t>J Bone Min. Res.</w:t>
      </w:r>
      <w:r>
        <w:rPr>
          <w:rFonts w:ascii="Times New Roman" w:hAnsi="Times New Roman" w:cs="Times New Roman"/>
          <w:sz w:val="24"/>
          <w:szCs w:val="24"/>
          <w:lang w:val="en-US"/>
        </w:rPr>
        <w:t xml:space="preserve"> </w:t>
      </w:r>
      <w:r>
        <w:rPr>
          <w:rFonts w:ascii="Times New Roman" w:hAnsi="Times New Roman" w:cs="Times New Roman"/>
          <w:b/>
          <w:sz w:val="24"/>
          <w:szCs w:val="24"/>
          <w:lang w:val="en-US"/>
        </w:rPr>
        <w:t>23</w:t>
      </w:r>
      <w:r>
        <w:rPr>
          <w:rFonts w:ascii="Times New Roman" w:hAnsi="Times New Roman" w:cs="Times New Roman"/>
          <w:sz w:val="24"/>
          <w:szCs w:val="24"/>
          <w:lang w:val="en-US"/>
        </w:rPr>
        <w:t>, 1449-1457 (2008).</w:t>
      </w:r>
    </w:p>
    <w:p w14:paraId="175AEF12" w14:textId="77777777" w:rsidR="00F272EB" w:rsidRDefault="00F272EB" w:rsidP="00F272EB">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lang w:val="en-US"/>
        </w:rPr>
        <w:lastRenderedPageBreak/>
        <w:t xml:space="preserve">72. </w:t>
      </w:r>
      <w:proofErr w:type="spellStart"/>
      <w:r>
        <w:rPr>
          <w:rFonts w:ascii="Times New Roman" w:hAnsi="Times New Roman" w:cs="Times New Roman"/>
          <w:sz w:val="24"/>
          <w:szCs w:val="24"/>
        </w:rPr>
        <w:t>Donnally</w:t>
      </w:r>
      <w:proofErr w:type="spellEnd"/>
      <w:r>
        <w:rPr>
          <w:rFonts w:ascii="Times New Roman" w:hAnsi="Times New Roman" w:cs="Times New Roman"/>
          <w:sz w:val="24"/>
          <w:szCs w:val="24"/>
        </w:rPr>
        <w:t xml:space="preserve"> III, C. et al. </w:t>
      </w:r>
      <w:proofErr w:type="spellStart"/>
      <w:r>
        <w:rPr>
          <w:rFonts w:ascii="Times New Roman" w:hAnsi="Times New Roman" w:cs="Times New Roman"/>
          <w:sz w:val="24"/>
          <w:szCs w:val="24"/>
        </w:rPr>
        <w:t>Orthopedic</w:t>
      </w:r>
      <w:proofErr w:type="spellEnd"/>
      <w:r>
        <w:rPr>
          <w:rFonts w:ascii="Times New Roman" w:hAnsi="Times New Roman" w:cs="Times New Roman"/>
          <w:sz w:val="24"/>
          <w:szCs w:val="24"/>
        </w:rPr>
        <w:t xml:space="preserve"> injuries associated with jet-skis (personal watercrafts): A review of 127 patients. </w:t>
      </w:r>
      <w:r>
        <w:rPr>
          <w:rFonts w:ascii="Times New Roman" w:hAnsi="Times New Roman" w:cs="Times New Roman"/>
          <w:i/>
          <w:sz w:val="24"/>
          <w:szCs w:val="24"/>
        </w:rPr>
        <w:t>Ortho. &amp; Trauma. Surg. Res</w:t>
      </w:r>
      <w:r>
        <w:rPr>
          <w:rFonts w:ascii="Times New Roman" w:hAnsi="Times New Roman" w:cs="Times New Roman"/>
          <w:sz w:val="24"/>
          <w:szCs w:val="24"/>
        </w:rPr>
        <w:t xml:space="preserve">. </w:t>
      </w:r>
      <w:r>
        <w:rPr>
          <w:rFonts w:ascii="Times New Roman" w:hAnsi="Times New Roman" w:cs="Times New Roman"/>
          <w:b/>
          <w:sz w:val="24"/>
          <w:szCs w:val="24"/>
        </w:rPr>
        <w:t>104</w:t>
      </w:r>
      <w:r>
        <w:rPr>
          <w:rFonts w:ascii="Times New Roman" w:hAnsi="Times New Roman" w:cs="Times New Roman"/>
          <w:sz w:val="24"/>
          <w:szCs w:val="24"/>
        </w:rPr>
        <w:t>, 267-271 (2018).</w:t>
      </w:r>
    </w:p>
    <w:p w14:paraId="169238A5" w14:textId="77777777" w:rsidR="00F272EB" w:rsidRDefault="00F272EB" w:rsidP="00F272EB">
      <w:pPr>
        <w:autoSpaceDE w:val="0"/>
        <w:autoSpaceDN w:val="0"/>
        <w:adjustRightInd w:val="0"/>
        <w:spacing w:after="0" w:line="360" w:lineRule="auto"/>
        <w:jc w:val="both"/>
        <w:rPr>
          <w:rFonts w:ascii="Times New Roman" w:hAnsi="Times New Roman" w:cs="Times New Roman"/>
          <w:sz w:val="24"/>
          <w:szCs w:val="24"/>
          <w:lang w:val="en-US"/>
        </w:rPr>
      </w:pPr>
      <w:r>
        <w:rPr>
          <w:rFonts w:ascii="Times New Roman" w:hAnsi="Times New Roman" w:cs="Times New Roman"/>
          <w:sz w:val="24"/>
          <w:szCs w:val="24"/>
        </w:rPr>
        <w:t xml:space="preserve">73. </w:t>
      </w:r>
      <w:r>
        <w:rPr>
          <w:rFonts w:ascii="Times New Roman" w:hAnsi="Times New Roman" w:cs="Times New Roman"/>
          <w:sz w:val="24"/>
          <w:szCs w:val="24"/>
          <w:lang w:val="en-US"/>
        </w:rPr>
        <w:t xml:space="preserve">Pennoyer, G.P. Traumatic amputation of the thigh, complicated by both tetanus and gas gangrene with recovery. </w:t>
      </w:r>
      <w:r>
        <w:rPr>
          <w:rFonts w:ascii="Times New Roman" w:hAnsi="Times New Roman" w:cs="Times New Roman"/>
          <w:i/>
          <w:sz w:val="24"/>
          <w:szCs w:val="24"/>
          <w:lang w:val="en-US"/>
        </w:rPr>
        <w:t>J. Ameri. Med. Ass.</w:t>
      </w:r>
      <w:r>
        <w:rPr>
          <w:rFonts w:ascii="Times New Roman" w:hAnsi="Times New Roman" w:cs="Times New Roman"/>
          <w:sz w:val="24"/>
          <w:szCs w:val="24"/>
          <w:lang w:val="en-US"/>
        </w:rPr>
        <w:t xml:space="preserve"> </w:t>
      </w:r>
      <w:r>
        <w:rPr>
          <w:rFonts w:ascii="Times New Roman" w:hAnsi="Times New Roman" w:cs="Times New Roman"/>
          <w:b/>
          <w:sz w:val="24"/>
          <w:szCs w:val="24"/>
          <w:lang w:val="en-US"/>
        </w:rPr>
        <w:t>95</w:t>
      </w:r>
      <w:r>
        <w:rPr>
          <w:rFonts w:ascii="Times New Roman" w:hAnsi="Times New Roman" w:cs="Times New Roman"/>
          <w:sz w:val="24"/>
          <w:szCs w:val="24"/>
          <w:lang w:val="en-US"/>
        </w:rPr>
        <w:t>, 342-343 (1930).</w:t>
      </w:r>
    </w:p>
    <w:p w14:paraId="0293C0C7" w14:textId="77777777" w:rsidR="00F272EB" w:rsidRDefault="00F272EB" w:rsidP="00F272EB">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74. Aydin, K., </w:t>
      </w:r>
      <w:proofErr w:type="spellStart"/>
      <w:r>
        <w:rPr>
          <w:rFonts w:ascii="Times New Roman" w:hAnsi="Times New Roman" w:cs="Times New Roman"/>
          <w:sz w:val="24"/>
          <w:szCs w:val="24"/>
        </w:rPr>
        <w:t>Cokluk</w:t>
      </w:r>
      <w:proofErr w:type="spellEnd"/>
      <w:r>
        <w:rPr>
          <w:rFonts w:ascii="Times New Roman" w:hAnsi="Times New Roman" w:cs="Times New Roman"/>
          <w:sz w:val="24"/>
          <w:szCs w:val="24"/>
        </w:rPr>
        <w:t xml:space="preserve">, C.A. Fracture of unilateral pars interarticularis of the axis: A case report. </w:t>
      </w:r>
      <w:r>
        <w:rPr>
          <w:rFonts w:ascii="Times New Roman" w:hAnsi="Times New Roman" w:cs="Times New Roman"/>
          <w:i/>
          <w:sz w:val="24"/>
          <w:szCs w:val="24"/>
        </w:rPr>
        <w:t>Turkish Neurosurgery</w:t>
      </w:r>
      <w:r>
        <w:rPr>
          <w:rFonts w:ascii="Times New Roman" w:hAnsi="Times New Roman" w:cs="Times New Roman"/>
          <w:sz w:val="24"/>
          <w:szCs w:val="24"/>
        </w:rPr>
        <w:t xml:space="preserve"> </w:t>
      </w:r>
      <w:r>
        <w:rPr>
          <w:rFonts w:ascii="Times New Roman" w:hAnsi="Times New Roman" w:cs="Times New Roman"/>
          <w:b/>
          <w:sz w:val="24"/>
          <w:szCs w:val="24"/>
        </w:rPr>
        <w:t>17</w:t>
      </w:r>
      <w:r>
        <w:rPr>
          <w:rFonts w:ascii="Times New Roman" w:hAnsi="Times New Roman" w:cs="Times New Roman"/>
          <w:sz w:val="24"/>
          <w:szCs w:val="24"/>
        </w:rPr>
        <w:t>, 155-157 (2007).</w:t>
      </w:r>
    </w:p>
    <w:p w14:paraId="7957338F" w14:textId="77777777" w:rsidR="00F272EB" w:rsidRDefault="00F272EB" w:rsidP="00F272EB">
      <w:pPr>
        <w:spacing w:after="0" w:line="360" w:lineRule="auto"/>
        <w:jc w:val="both"/>
        <w:rPr>
          <w:rFonts w:ascii="Times New Roman" w:hAnsi="Times New Roman" w:cs="Times New Roman"/>
          <w:sz w:val="24"/>
          <w:szCs w:val="24"/>
        </w:rPr>
      </w:pPr>
      <w:r>
        <w:rPr>
          <w:rFonts w:ascii="Times New Roman" w:hAnsi="Times New Roman" w:cs="Times New Roman"/>
          <w:sz w:val="24"/>
          <w:szCs w:val="24"/>
        </w:rPr>
        <w:t>75. Hillson, S., 1996. Dental Anthropology. Cambridge University Press.</w:t>
      </w:r>
    </w:p>
    <w:p w14:paraId="2161E7AB" w14:textId="77777777" w:rsidR="00F272EB" w:rsidRDefault="00F272EB" w:rsidP="00F272EB">
      <w:pPr>
        <w:autoSpaceDE w:val="0"/>
        <w:autoSpaceDN w:val="0"/>
        <w:adjustRightInd w:val="0"/>
        <w:spacing w:after="0" w:line="360" w:lineRule="auto"/>
        <w:rPr>
          <w:rFonts w:ascii="Times New Roman" w:hAnsi="Times New Roman" w:cs="Times New Roman"/>
          <w:sz w:val="24"/>
          <w:szCs w:val="24"/>
        </w:rPr>
      </w:pPr>
      <w:r>
        <w:rPr>
          <w:rFonts w:ascii="Times New Roman" w:hAnsi="Times New Roman" w:cs="Times New Roman"/>
          <w:sz w:val="24"/>
          <w:szCs w:val="24"/>
        </w:rPr>
        <w:t>76. Gagnon, C.M., 2020. Exploring oral paleopathology in the Central Andes: A review.</w:t>
      </w:r>
    </w:p>
    <w:p w14:paraId="4401591F" w14:textId="77777777" w:rsidR="00F272EB" w:rsidRDefault="00F272EB" w:rsidP="00F272EB">
      <w:pPr>
        <w:tabs>
          <w:tab w:val="num" w:pos="900"/>
        </w:tabs>
        <w:spacing w:after="0" w:line="360" w:lineRule="auto"/>
        <w:rPr>
          <w:rFonts w:ascii="Times New Roman" w:hAnsi="Times New Roman" w:cs="Times New Roman"/>
          <w:sz w:val="24"/>
          <w:szCs w:val="24"/>
        </w:rPr>
      </w:pPr>
      <w:r>
        <w:rPr>
          <w:rFonts w:ascii="Times New Roman" w:hAnsi="Times New Roman" w:cs="Times New Roman"/>
          <w:sz w:val="24"/>
          <w:szCs w:val="24"/>
        </w:rPr>
        <w:t xml:space="preserve">International journal of paleopathology </w:t>
      </w:r>
      <w:r>
        <w:rPr>
          <w:rFonts w:ascii="Times New Roman" w:hAnsi="Times New Roman" w:cs="Times New Roman"/>
          <w:b/>
          <w:sz w:val="24"/>
          <w:szCs w:val="24"/>
        </w:rPr>
        <w:t>29</w:t>
      </w:r>
      <w:r>
        <w:rPr>
          <w:rFonts w:ascii="Times New Roman" w:hAnsi="Times New Roman" w:cs="Times New Roman"/>
          <w:sz w:val="24"/>
          <w:szCs w:val="24"/>
        </w:rPr>
        <w:t>, 24-34.</w:t>
      </w:r>
    </w:p>
    <w:p w14:paraId="02C4D77A" w14:textId="77777777" w:rsidR="00F272EB" w:rsidRDefault="00F272EB" w:rsidP="00F272EB">
      <w:pPr>
        <w:tabs>
          <w:tab w:val="num" w:pos="900"/>
        </w:tabs>
        <w:spacing w:after="0" w:line="360" w:lineRule="auto"/>
        <w:rPr>
          <w:rFonts w:ascii="Times New Roman" w:eastAsiaTheme="minorEastAsia" w:hAnsi="Times New Roman" w:cs="Times New Roman"/>
          <w:sz w:val="24"/>
          <w:szCs w:val="24"/>
          <w:lang w:eastAsia="zh-CN"/>
        </w:rPr>
      </w:pPr>
      <w:r>
        <w:rPr>
          <w:rFonts w:ascii="Times New Roman" w:eastAsiaTheme="minorEastAsia" w:hAnsi="Times New Roman" w:cs="Times New Roman"/>
          <w:sz w:val="24"/>
          <w:szCs w:val="24"/>
          <w:lang w:eastAsia="zh-CN"/>
        </w:rPr>
        <w:t xml:space="preserve">77. Larsen, C.S., 1985. Dental modifications and tool use in the western Great Basin. American Journal of Physical Anthropology </w:t>
      </w:r>
      <w:r>
        <w:rPr>
          <w:rFonts w:ascii="Times New Roman" w:eastAsiaTheme="minorEastAsia" w:hAnsi="Times New Roman" w:cs="Times New Roman"/>
          <w:b/>
          <w:sz w:val="24"/>
          <w:szCs w:val="24"/>
          <w:lang w:eastAsia="zh-CN"/>
        </w:rPr>
        <w:t>67</w:t>
      </w:r>
      <w:r>
        <w:rPr>
          <w:rFonts w:ascii="Times New Roman" w:eastAsiaTheme="minorEastAsia" w:hAnsi="Times New Roman" w:cs="Times New Roman"/>
          <w:sz w:val="24"/>
          <w:szCs w:val="24"/>
          <w:lang w:eastAsia="zh-CN"/>
        </w:rPr>
        <w:t>, 393-402.</w:t>
      </w:r>
    </w:p>
    <w:p w14:paraId="548B154C" w14:textId="77777777" w:rsidR="00F272EB" w:rsidRDefault="00F272EB" w:rsidP="00F272EB">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78. </w:t>
      </w:r>
      <w:proofErr w:type="spellStart"/>
      <w:r>
        <w:rPr>
          <w:rFonts w:ascii="Times New Roman" w:hAnsi="Times New Roman" w:cs="Times New Roman"/>
          <w:sz w:val="24"/>
          <w:szCs w:val="24"/>
        </w:rPr>
        <w:t>Vlok</w:t>
      </w:r>
      <w:proofErr w:type="spellEnd"/>
      <w:r>
        <w:rPr>
          <w:rFonts w:ascii="Times New Roman" w:hAnsi="Times New Roman" w:cs="Times New Roman"/>
          <w:sz w:val="24"/>
          <w:szCs w:val="24"/>
        </w:rPr>
        <w:t xml:space="preserve">, M., Paz, V., Crozier, R., </w:t>
      </w:r>
      <w:proofErr w:type="spellStart"/>
      <w:r>
        <w:rPr>
          <w:rFonts w:ascii="Times New Roman" w:hAnsi="Times New Roman" w:cs="Times New Roman"/>
          <w:sz w:val="24"/>
          <w:szCs w:val="24"/>
        </w:rPr>
        <w:t>Oxenham</w:t>
      </w:r>
      <w:proofErr w:type="spellEnd"/>
      <w:r>
        <w:rPr>
          <w:rFonts w:ascii="Times New Roman" w:hAnsi="Times New Roman" w:cs="Times New Roman"/>
          <w:sz w:val="24"/>
          <w:szCs w:val="24"/>
        </w:rPr>
        <w:t xml:space="preserve">, M.F., 2017. A New Application of the Bioarchaeology of Care Approach: A Case Study from the Metal Period, the Philippines. International Journal of Osteoarchaeology </w:t>
      </w:r>
      <w:r>
        <w:rPr>
          <w:rFonts w:ascii="Times New Roman" w:hAnsi="Times New Roman" w:cs="Times New Roman"/>
          <w:b/>
          <w:sz w:val="24"/>
          <w:szCs w:val="24"/>
        </w:rPr>
        <w:t>27</w:t>
      </w:r>
      <w:r>
        <w:rPr>
          <w:rFonts w:ascii="Times New Roman" w:hAnsi="Times New Roman" w:cs="Times New Roman"/>
          <w:sz w:val="24"/>
          <w:szCs w:val="24"/>
        </w:rPr>
        <w:t>, 662-671.</w:t>
      </w:r>
    </w:p>
    <w:p w14:paraId="76BCE45E" w14:textId="77777777" w:rsidR="00F272EB" w:rsidRDefault="00F272EB" w:rsidP="00F272EB">
      <w:pPr>
        <w:tabs>
          <w:tab w:val="num" w:pos="900"/>
        </w:tabs>
        <w:spacing w:after="0" w:line="360" w:lineRule="auto"/>
        <w:rPr>
          <w:rFonts w:ascii="Times New Roman" w:eastAsiaTheme="minorEastAsia" w:hAnsi="Times New Roman" w:cs="Times New Roman"/>
          <w:sz w:val="24"/>
          <w:szCs w:val="24"/>
          <w:lang w:eastAsia="zh-CN"/>
        </w:rPr>
      </w:pPr>
      <w:r>
        <w:rPr>
          <w:rFonts w:ascii="Times New Roman" w:hAnsi="Times New Roman" w:cs="Times New Roman"/>
          <w:sz w:val="24"/>
          <w:szCs w:val="24"/>
        </w:rPr>
        <w:t>79.</w:t>
      </w:r>
      <w:r>
        <w:rPr>
          <w:rFonts w:ascii="Times New Roman" w:eastAsiaTheme="minorEastAsia" w:hAnsi="Times New Roman" w:cs="Times New Roman"/>
          <w:sz w:val="24"/>
          <w:szCs w:val="24"/>
          <w:lang w:eastAsia="zh-CN"/>
        </w:rPr>
        <w:t xml:space="preserve"> Lew, D.P., </w:t>
      </w:r>
      <w:proofErr w:type="spellStart"/>
      <w:r>
        <w:rPr>
          <w:rFonts w:ascii="Times New Roman" w:eastAsiaTheme="minorEastAsia" w:hAnsi="Times New Roman" w:cs="Times New Roman"/>
          <w:sz w:val="24"/>
          <w:szCs w:val="24"/>
          <w:lang w:eastAsia="zh-CN"/>
        </w:rPr>
        <w:t>Waldvogel</w:t>
      </w:r>
      <w:proofErr w:type="spellEnd"/>
      <w:r>
        <w:rPr>
          <w:rFonts w:ascii="Times New Roman" w:eastAsiaTheme="minorEastAsia" w:hAnsi="Times New Roman" w:cs="Times New Roman"/>
          <w:sz w:val="24"/>
          <w:szCs w:val="24"/>
          <w:lang w:eastAsia="zh-CN"/>
        </w:rPr>
        <w:t xml:space="preserve">, F.A., 2004. Osteomyelitis. The Lancet </w:t>
      </w:r>
      <w:r>
        <w:rPr>
          <w:rFonts w:ascii="Times New Roman" w:eastAsiaTheme="minorEastAsia" w:hAnsi="Times New Roman" w:cs="Times New Roman"/>
          <w:b/>
          <w:sz w:val="24"/>
          <w:szCs w:val="24"/>
          <w:lang w:eastAsia="zh-CN"/>
        </w:rPr>
        <w:t>364</w:t>
      </w:r>
      <w:r>
        <w:rPr>
          <w:rFonts w:ascii="Times New Roman" w:eastAsiaTheme="minorEastAsia" w:hAnsi="Times New Roman" w:cs="Times New Roman"/>
          <w:sz w:val="24"/>
          <w:szCs w:val="24"/>
          <w:lang w:eastAsia="zh-CN"/>
        </w:rPr>
        <w:t>, 369-379.</w:t>
      </w:r>
    </w:p>
    <w:p w14:paraId="4791E03C" w14:textId="77777777" w:rsidR="00F272EB" w:rsidRDefault="00F272EB" w:rsidP="00F272EB">
      <w:pPr>
        <w:tabs>
          <w:tab w:val="num" w:pos="900"/>
        </w:tabs>
        <w:spacing w:after="0" w:line="360" w:lineRule="auto"/>
        <w:rPr>
          <w:rFonts w:ascii="Times New Roman" w:eastAsiaTheme="minorEastAsia" w:hAnsi="Times New Roman" w:cs="Times New Roman"/>
          <w:sz w:val="24"/>
          <w:szCs w:val="24"/>
          <w:lang w:eastAsia="zh-CN"/>
        </w:rPr>
      </w:pPr>
      <w:r>
        <w:rPr>
          <w:rFonts w:ascii="Times New Roman" w:hAnsi="Times New Roman" w:cs="Times New Roman"/>
          <w:sz w:val="24"/>
          <w:szCs w:val="24"/>
        </w:rPr>
        <w:t xml:space="preserve">80. </w:t>
      </w:r>
      <w:r>
        <w:rPr>
          <w:rFonts w:ascii="Times New Roman" w:eastAsiaTheme="minorEastAsia" w:hAnsi="Times New Roman" w:cs="Times New Roman"/>
          <w:sz w:val="24"/>
          <w:szCs w:val="24"/>
          <w:lang w:eastAsia="zh-CN"/>
        </w:rPr>
        <w:t>Lewis, M.E., 2017. Paleopathology of Children: Identification of Pathological Conditions in the Human Skeletal Remains of Non-Adults. Academic Press, London.</w:t>
      </w:r>
    </w:p>
    <w:p w14:paraId="425441D4" w14:textId="77777777" w:rsidR="00F272EB" w:rsidRDefault="00F272EB" w:rsidP="00F272EB">
      <w:p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81. Fielding, J.W. et al. Traumatic spondylolisthesis of the axis. </w:t>
      </w:r>
      <w:r>
        <w:rPr>
          <w:rFonts w:ascii="Times New Roman" w:hAnsi="Times New Roman" w:cs="Times New Roman"/>
          <w:i/>
          <w:sz w:val="24"/>
          <w:szCs w:val="24"/>
        </w:rPr>
        <w:t>Clin. Ortho. Related Res.</w:t>
      </w:r>
      <w:r>
        <w:rPr>
          <w:rFonts w:ascii="Times New Roman" w:hAnsi="Times New Roman" w:cs="Times New Roman"/>
          <w:sz w:val="24"/>
          <w:szCs w:val="24"/>
        </w:rPr>
        <w:t xml:space="preserve"> 47-52 (1989).</w:t>
      </w:r>
    </w:p>
    <w:p w14:paraId="356E284D" w14:textId="77777777" w:rsidR="00F272EB" w:rsidRDefault="00F272EB" w:rsidP="00F272EB">
      <w:p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82. Teo, E.C. et al. Experimental investigation of failure load and fracture patterns of C2 (axis). </w:t>
      </w:r>
      <w:r>
        <w:rPr>
          <w:rFonts w:ascii="Times New Roman" w:hAnsi="Times New Roman" w:cs="Times New Roman"/>
          <w:i/>
          <w:sz w:val="24"/>
          <w:szCs w:val="24"/>
        </w:rPr>
        <w:t>J. Biomechanics</w:t>
      </w:r>
      <w:r>
        <w:rPr>
          <w:rFonts w:ascii="Times New Roman" w:hAnsi="Times New Roman" w:cs="Times New Roman"/>
          <w:sz w:val="24"/>
          <w:szCs w:val="24"/>
        </w:rPr>
        <w:t xml:space="preserve"> </w:t>
      </w:r>
      <w:r>
        <w:rPr>
          <w:rFonts w:ascii="Times New Roman" w:hAnsi="Times New Roman" w:cs="Times New Roman"/>
          <w:b/>
          <w:sz w:val="24"/>
          <w:szCs w:val="24"/>
        </w:rPr>
        <w:t>34</w:t>
      </w:r>
      <w:r>
        <w:rPr>
          <w:rFonts w:ascii="Times New Roman" w:hAnsi="Times New Roman" w:cs="Times New Roman"/>
          <w:sz w:val="24"/>
          <w:szCs w:val="24"/>
        </w:rPr>
        <w:t>, 1005-1010 (2001).</w:t>
      </w:r>
    </w:p>
    <w:p w14:paraId="5E0CD3FC" w14:textId="77777777" w:rsidR="00F272EB" w:rsidRDefault="00F272EB" w:rsidP="00F272EB">
      <w:pPr>
        <w:autoSpaceDE w:val="0"/>
        <w:autoSpaceDN w:val="0"/>
        <w:adjustRightInd w:val="0"/>
        <w:spacing w:after="0" w:line="360" w:lineRule="auto"/>
        <w:rPr>
          <w:rFonts w:ascii="Times New Roman" w:hAnsi="Times New Roman" w:cs="Times New Roman"/>
          <w:sz w:val="24"/>
          <w:szCs w:val="24"/>
        </w:rPr>
      </w:pPr>
      <w:r>
        <w:rPr>
          <w:rFonts w:ascii="Times New Roman" w:hAnsi="Times New Roman" w:cs="Times New Roman"/>
          <w:bCs/>
          <w:sz w:val="24"/>
          <w:szCs w:val="24"/>
        </w:rPr>
        <w:t xml:space="preserve">83. </w:t>
      </w:r>
      <w:r>
        <w:rPr>
          <w:rFonts w:ascii="Times New Roman" w:hAnsi="Times New Roman" w:cs="Times New Roman"/>
          <w:sz w:val="24"/>
          <w:szCs w:val="24"/>
        </w:rPr>
        <w:t>Scott, R.M. et al. 2019. Domestication and large animal interactions: Skeletal trauma in</w:t>
      </w:r>
    </w:p>
    <w:p w14:paraId="2D2D455D" w14:textId="77777777" w:rsidR="00F272EB" w:rsidRDefault="00F272EB" w:rsidP="00F272EB">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northern Vietnam during the hunter-gatherer Da But Period. </w:t>
      </w:r>
      <w:proofErr w:type="spellStart"/>
      <w:r>
        <w:rPr>
          <w:rFonts w:ascii="Times New Roman" w:hAnsi="Times New Roman" w:cs="Times New Roman"/>
          <w:i/>
          <w:sz w:val="24"/>
          <w:szCs w:val="24"/>
        </w:rPr>
        <w:t>PloS</w:t>
      </w:r>
      <w:proofErr w:type="spellEnd"/>
      <w:r>
        <w:rPr>
          <w:rFonts w:ascii="Times New Roman" w:hAnsi="Times New Roman" w:cs="Times New Roman"/>
          <w:i/>
          <w:sz w:val="24"/>
          <w:szCs w:val="24"/>
        </w:rPr>
        <w:t xml:space="preserve"> one</w:t>
      </w:r>
      <w:r>
        <w:rPr>
          <w:rFonts w:ascii="Times New Roman" w:hAnsi="Times New Roman" w:cs="Times New Roman"/>
          <w:sz w:val="24"/>
          <w:szCs w:val="24"/>
        </w:rPr>
        <w:t xml:space="preserve"> </w:t>
      </w:r>
      <w:r>
        <w:rPr>
          <w:rFonts w:ascii="Times New Roman" w:hAnsi="Times New Roman" w:cs="Times New Roman"/>
          <w:b/>
          <w:sz w:val="24"/>
          <w:szCs w:val="24"/>
        </w:rPr>
        <w:t>14</w:t>
      </w:r>
      <w:r>
        <w:rPr>
          <w:rFonts w:ascii="Times New Roman" w:hAnsi="Times New Roman" w:cs="Times New Roman"/>
          <w:sz w:val="24"/>
          <w:szCs w:val="24"/>
        </w:rPr>
        <w:t>, (2019).</w:t>
      </w:r>
    </w:p>
    <w:p w14:paraId="3CCAB9F5" w14:textId="77777777" w:rsidR="00F272EB" w:rsidRDefault="00F272EB" w:rsidP="00F272EB">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84. </w:t>
      </w:r>
      <w:proofErr w:type="spellStart"/>
      <w:r>
        <w:rPr>
          <w:rFonts w:ascii="Times New Roman" w:hAnsi="Times New Roman" w:cs="Times New Roman"/>
          <w:sz w:val="24"/>
          <w:szCs w:val="24"/>
        </w:rPr>
        <w:t>Spiotta</w:t>
      </w:r>
      <w:proofErr w:type="spellEnd"/>
      <w:r>
        <w:rPr>
          <w:rFonts w:ascii="Times New Roman" w:hAnsi="Times New Roman" w:cs="Times New Roman"/>
          <w:sz w:val="24"/>
          <w:szCs w:val="24"/>
        </w:rPr>
        <w:t xml:space="preserve">, A.M., </w:t>
      </w:r>
      <w:proofErr w:type="spellStart"/>
      <w:r>
        <w:rPr>
          <w:rFonts w:ascii="Times New Roman" w:hAnsi="Times New Roman" w:cs="Times New Roman"/>
          <w:sz w:val="24"/>
          <w:szCs w:val="24"/>
        </w:rPr>
        <w:t>Matoses</w:t>
      </w:r>
      <w:proofErr w:type="spellEnd"/>
      <w:r>
        <w:rPr>
          <w:rFonts w:ascii="Times New Roman" w:hAnsi="Times New Roman" w:cs="Times New Roman"/>
          <w:sz w:val="24"/>
          <w:szCs w:val="24"/>
        </w:rPr>
        <w:t xml:space="preserve">, S.M. Neurosurgical considerations after bull goring during festivities in Spain and Latin America. </w:t>
      </w:r>
      <w:r>
        <w:rPr>
          <w:rFonts w:ascii="Times New Roman" w:hAnsi="Times New Roman" w:cs="Times New Roman"/>
          <w:i/>
          <w:sz w:val="24"/>
          <w:szCs w:val="24"/>
        </w:rPr>
        <w:t>Neurosurgery</w:t>
      </w:r>
      <w:r>
        <w:rPr>
          <w:rFonts w:ascii="Times New Roman" w:hAnsi="Times New Roman" w:cs="Times New Roman"/>
          <w:sz w:val="24"/>
          <w:szCs w:val="24"/>
        </w:rPr>
        <w:t xml:space="preserve"> </w:t>
      </w:r>
      <w:r>
        <w:rPr>
          <w:rFonts w:ascii="Times New Roman" w:hAnsi="Times New Roman" w:cs="Times New Roman"/>
          <w:b/>
          <w:sz w:val="24"/>
          <w:szCs w:val="24"/>
        </w:rPr>
        <w:t>69</w:t>
      </w:r>
      <w:r>
        <w:rPr>
          <w:rFonts w:ascii="Times New Roman" w:hAnsi="Times New Roman" w:cs="Times New Roman"/>
          <w:sz w:val="24"/>
          <w:szCs w:val="24"/>
        </w:rPr>
        <w:t>, 455-461 (2011).</w:t>
      </w:r>
    </w:p>
    <w:p w14:paraId="484CB62F" w14:textId="77777777" w:rsidR="00F272EB" w:rsidRDefault="00F272EB" w:rsidP="00F272EB">
      <w:p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85. Duval, M. Evaluating the accuracy of ESR dose determination of pseudo-Early Pleistocene fossil tooth enamel samples using dose recovery tests. </w:t>
      </w:r>
      <w:r>
        <w:rPr>
          <w:rFonts w:ascii="Times New Roman" w:hAnsi="Times New Roman" w:cs="Times New Roman"/>
          <w:i/>
          <w:sz w:val="24"/>
          <w:szCs w:val="24"/>
        </w:rPr>
        <w:t>Radiation Measurements</w:t>
      </w:r>
      <w:r>
        <w:rPr>
          <w:rFonts w:ascii="Times New Roman" w:hAnsi="Times New Roman" w:cs="Times New Roman"/>
          <w:sz w:val="24"/>
          <w:szCs w:val="24"/>
        </w:rPr>
        <w:t xml:space="preserve"> </w:t>
      </w:r>
      <w:r>
        <w:rPr>
          <w:rFonts w:ascii="Times New Roman" w:hAnsi="Times New Roman" w:cs="Times New Roman"/>
          <w:b/>
          <w:sz w:val="24"/>
          <w:szCs w:val="24"/>
        </w:rPr>
        <w:t>79</w:t>
      </w:r>
      <w:r>
        <w:rPr>
          <w:rFonts w:ascii="Times New Roman" w:hAnsi="Times New Roman" w:cs="Times New Roman"/>
          <w:sz w:val="24"/>
          <w:szCs w:val="24"/>
        </w:rPr>
        <w:t>, 24-32 (2015).</w:t>
      </w:r>
    </w:p>
    <w:p w14:paraId="41F5FC2B" w14:textId="77777777" w:rsidR="00F272EB" w:rsidRDefault="00F272EB" w:rsidP="00F272EB">
      <w:p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86. Duval, M., &amp; </w:t>
      </w:r>
      <w:proofErr w:type="spellStart"/>
      <w:r>
        <w:rPr>
          <w:rFonts w:ascii="Times New Roman" w:hAnsi="Times New Roman" w:cs="Times New Roman"/>
          <w:sz w:val="24"/>
          <w:szCs w:val="24"/>
        </w:rPr>
        <w:t>Grün</w:t>
      </w:r>
      <w:proofErr w:type="spellEnd"/>
      <w:r>
        <w:rPr>
          <w:rFonts w:ascii="Times New Roman" w:hAnsi="Times New Roman" w:cs="Times New Roman"/>
          <w:sz w:val="24"/>
          <w:szCs w:val="24"/>
        </w:rPr>
        <w:t xml:space="preserve">, R. Are published ESR dose assessments on fossil tooth enamel reliable? </w:t>
      </w:r>
      <w:r>
        <w:rPr>
          <w:rFonts w:ascii="Times New Roman" w:hAnsi="Times New Roman" w:cs="Times New Roman"/>
          <w:i/>
          <w:sz w:val="24"/>
          <w:szCs w:val="24"/>
        </w:rPr>
        <w:t>Quaternary Geochronology</w:t>
      </w:r>
      <w:r>
        <w:rPr>
          <w:rFonts w:ascii="Times New Roman" w:hAnsi="Times New Roman" w:cs="Times New Roman"/>
          <w:sz w:val="24"/>
          <w:szCs w:val="24"/>
        </w:rPr>
        <w:t xml:space="preserve"> </w:t>
      </w:r>
      <w:r>
        <w:rPr>
          <w:rFonts w:ascii="Times New Roman" w:hAnsi="Times New Roman" w:cs="Times New Roman"/>
          <w:b/>
          <w:sz w:val="24"/>
          <w:szCs w:val="24"/>
        </w:rPr>
        <w:t>31</w:t>
      </w:r>
      <w:r>
        <w:rPr>
          <w:rFonts w:ascii="Times New Roman" w:hAnsi="Times New Roman" w:cs="Times New Roman"/>
          <w:sz w:val="24"/>
          <w:szCs w:val="24"/>
        </w:rPr>
        <w:t>, 19-27 (2016).</w:t>
      </w:r>
    </w:p>
    <w:p w14:paraId="14D7E852" w14:textId="77777777" w:rsidR="00F272EB" w:rsidRDefault="00F272EB" w:rsidP="00F272EB">
      <w:pPr>
        <w:tabs>
          <w:tab w:val="num" w:pos="900"/>
        </w:tabs>
        <w:spacing w:after="0" w:line="360" w:lineRule="auto"/>
        <w:rPr>
          <w:rFonts w:ascii="Times New Roman" w:eastAsiaTheme="minorEastAsia" w:hAnsi="Times New Roman" w:cs="Times New Roman"/>
          <w:sz w:val="24"/>
          <w:szCs w:val="24"/>
          <w:lang w:eastAsia="zh-CN"/>
        </w:rPr>
      </w:pPr>
      <w:r>
        <w:rPr>
          <w:rFonts w:ascii="Times New Roman" w:eastAsiaTheme="minorEastAsia" w:hAnsi="Times New Roman" w:cs="Times New Roman"/>
          <w:sz w:val="24"/>
          <w:szCs w:val="24"/>
          <w:lang w:eastAsia="zh-CN"/>
        </w:rPr>
        <w:lastRenderedPageBreak/>
        <w:t xml:space="preserve">87. </w:t>
      </w:r>
      <w:proofErr w:type="spellStart"/>
      <w:r>
        <w:rPr>
          <w:rFonts w:ascii="Times New Roman" w:eastAsiaTheme="minorEastAsia" w:hAnsi="Times New Roman" w:cs="Times New Roman"/>
          <w:sz w:val="24"/>
          <w:szCs w:val="24"/>
          <w:lang w:eastAsia="zh-CN"/>
        </w:rPr>
        <w:t>Joannes-Boyau</w:t>
      </w:r>
      <w:proofErr w:type="spellEnd"/>
      <w:r>
        <w:rPr>
          <w:rFonts w:ascii="Times New Roman" w:eastAsiaTheme="minorEastAsia" w:hAnsi="Times New Roman" w:cs="Times New Roman"/>
          <w:sz w:val="24"/>
          <w:szCs w:val="24"/>
          <w:lang w:eastAsia="zh-CN"/>
        </w:rPr>
        <w:t xml:space="preserve">, R., </w:t>
      </w:r>
      <w:proofErr w:type="spellStart"/>
      <w:r>
        <w:rPr>
          <w:rFonts w:ascii="Times New Roman" w:eastAsiaTheme="minorEastAsia" w:hAnsi="Times New Roman" w:cs="Times New Roman"/>
          <w:sz w:val="24"/>
          <w:szCs w:val="24"/>
          <w:lang w:eastAsia="zh-CN"/>
        </w:rPr>
        <w:t>Grün</w:t>
      </w:r>
      <w:proofErr w:type="spellEnd"/>
      <w:r>
        <w:rPr>
          <w:rFonts w:ascii="Times New Roman" w:eastAsiaTheme="minorEastAsia" w:hAnsi="Times New Roman" w:cs="Times New Roman"/>
          <w:sz w:val="24"/>
          <w:szCs w:val="24"/>
          <w:lang w:eastAsia="zh-CN"/>
        </w:rPr>
        <w:t xml:space="preserve">, R. Decomposition of beta-induced ESR spectra of fossil tooth enamel. </w:t>
      </w:r>
      <w:r>
        <w:rPr>
          <w:rFonts w:ascii="Times New Roman" w:eastAsiaTheme="minorEastAsia" w:hAnsi="Times New Roman" w:cs="Times New Roman"/>
          <w:i/>
          <w:sz w:val="24"/>
          <w:szCs w:val="24"/>
          <w:lang w:eastAsia="zh-CN"/>
        </w:rPr>
        <w:t>Radiation Physics and Chemistry</w:t>
      </w:r>
      <w:r>
        <w:rPr>
          <w:rFonts w:ascii="Times New Roman" w:eastAsiaTheme="minorEastAsia" w:hAnsi="Times New Roman" w:cs="Times New Roman"/>
          <w:sz w:val="24"/>
          <w:szCs w:val="24"/>
          <w:lang w:eastAsia="zh-CN"/>
        </w:rPr>
        <w:t xml:space="preserve"> </w:t>
      </w:r>
      <w:r>
        <w:rPr>
          <w:rFonts w:ascii="Times New Roman" w:eastAsiaTheme="minorEastAsia" w:hAnsi="Times New Roman" w:cs="Times New Roman"/>
          <w:b/>
          <w:sz w:val="24"/>
          <w:szCs w:val="24"/>
          <w:lang w:eastAsia="zh-CN"/>
        </w:rPr>
        <w:t>80</w:t>
      </w:r>
      <w:r>
        <w:rPr>
          <w:rFonts w:ascii="Times New Roman" w:eastAsiaTheme="minorEastAsia" w:hAnsi="Times New Roman" w:cs="Times New Roman"/>
          <w:sz w:val="24"/>
          <w:szCs w:val="24"/>
          <w:lang w:eastAsia="zh-CN"/>
        </w:rPr>
        <w:t>, 335-342 (2011).</w:t>
      </w:r>
    </w:p>
    <w:p w14:paraId="39F85E71" w14:textId="77777777" w:rsidR="00F272EB" w:rsidRDefault="00F272EB" w:rsidP="00F272EB">
      <w:pPr>
        <w:tabs>
          <w:tab w:val="num" w:pos="900"/>
        </w:tabs>
        <w:spacing w:after="0" w:line="360" w:lineRule="auto"/>
        <w:rPr>
          <w:rFonts w:ascii="Times New Roman" w:eastAsiaTheme="minorEastAsia" w:hAnsi="Times New Roman" w:cs="Times New Roman"/>
          <w:sz w:val="24"/>
          <w:szCs w:val="24"/>
          <w:lang w:eastAsia="zh-CN"/>
        </w:rPr>
      </w:pPr>
      <w:r>
        <w:rPr>
          <w:rFonts w:ascii="Times New Roman" w:eastAsiaTheme="minorEastAsia" w:hAnsi="Times New Roman" w:cs="Times New Roman"/>
          <w:sz w:val="24"/>
          <w:szCs w:val="24"/>
          <w:lang w:eastAsia="zh-CN"/>
        </w:rPr>
        <w:t xml:space="preserve">88. </w:t>
      </w:r>
      <w:proofErr w:type="spellStart"/>
      <w:r>
        <w:rPr>
          <w:rFonts w:ascii="Times New Roman" w:eastAsiaTheme="minorEastAsia" w:hAnsi="Times New Roman" w:cs="Times New Roman"/>
          <w:sz w:val="24"/>
          <w:szCs w:val="24"/>
          <w:lang w:eastAsia="zh-CN"/>
        </w:rPr>
        <w:t>Joannes-Boyau</w:t>
      </w:r>
      <w:proofErr w:type="spellEnd"/>
      <w:r>
        <w:rPr>
          <w:rFonts w:ascii="Times New Roman" w:eastAsiaTheme="minorEastAsia" w:hAnsi="Times New Roman" w:cs="Times New Roman"/>
          <w:sz w:val="24"/>
          <w:szCs w:val="24"/>
          <w:lang w:eastAsia="zh-CN"/>
        </w:rPr>
        <w:t xml:space="preserve">, R., </w:t>
      </w:r>
      <w:proofErr w:type="spellStart"/>
      <w:r>
        <w:rPr>
          <w:rFonts w:ascii="Times New Roman" w:eastAsiaTheme="minorEastAsia" w:hAnsi="Times New Roman" w:cs="Times New Roman"/>
          <w:sz w:val="24"/>
          <w:szCs w:val="24"/>
          <w:lang w:eastAsia="zh-CN"/>
        </w:rPr>
        <w:t>Bodin</w:t>
      </w:r>
      <w:proofErr w:type="spellEnd"/>
      <w:r>
        <w:rPr>
          <w:rFonts w:ascii="Times New Roman" w:eastAsiaTheme="minorEastAsia" w:hAnsi="Times New Roman" w:cs="Times New Roman"/>
          <w:sz w:val="24"/>
          <w:szCs w:val="24"/>
          <w:lang w:eastAsia="zh-CN"/>
        </w:rPr>
        <w:t xml:space="preserve">, T., </w:t>
      </w:r>
      <w:proofErr w:type="spellStart"/>
      <w:r>
        <w:rPr>
          <w:rFonts w:ascii="Times New Roman" w:eastAsiaTheme="minorEastAsia" w:hAnsi="Times New Roman" w:cs="Times New Roman"/>
          <w:sz w:val="24"/>
          <w:szCs w:val="24"/>
          <w:lang w:eastAsia="zh-CN"/>
        </w:rPr>
        <w:t>Grün</w:t>
      </w:r>
      <w:proofErr w:type="spellEnd"/>
      <w:r>
        <w:rPr>
          <w:rFonts w:ascii="Times New Roman" w:eastAsiaTheme="minorEastAsia" w:hAnsi="Times New Roman" w:cs="Times New Roman"/>
          <w:sz w:val="24"/>
          <w:szCs w:val="24"/>
          <w:lang w:eastAsia="zh-CN"/>
        </w:rPr>
        <w:t xml:space="preserve">, R. Decomposition of the angular ESR spectra of fossil tooth enamel fragments. </w:t>
      </w:r>
      <w:r>
        <w:rPr>
          <w:rFonts w:ascii="Times New Roman" w:eastAsiaTheme="minorEastAsia" w:hAnsi="Times New Roman" w:cs="Times New Roman"/>
          <w:i/>
          <w:sz w:val="24"/>
          <w:szCs w:val="24"/>
          <w:lang w:eastAsia="zh-CN"/>
        </w:rPr>
        <w:t>Radiation Measurements</w:t>
      </w:r>
      <w:r>
        <w:rPr>
          <w:rFonts w:ascii="Times New Roman" w:eastAsiaTheme="minorEastAsia" w:hAnsi="Times New Roman" w:cs="Times New Roman"/>
          <w:sz w:val="24"/>
          <w:szCs w:val="24"/>
          <w:lang w:eastAsia="zh-CN"/>
        </w:rPr>
        <w:t xml:space="preserve"> </w:t>
      </w:r>
      <w:r>
        <w:rPr>
          <w:rFonts w:ascii="Times New Roman" w:eastAsiaTheme="minorEastAsia" w:hAnsi="Times New Roman" w:cs="Times New Roman"/>
          <w:b/>
          <w:sz w:val="24"/>
          <w:szCs w:val="24"/>
          <w:lang w:eastAsia="zh-CN"/>
        </w:rPr>
        <w:t>45</w:t>
      </w:r>
      <w:r>
        <w:rPr>
          <w:rFonts w:ascii="Times New Roman" w:eastAsiaTheme="minorEastAsia" w:hAnsi="Times New Roman" w:cs="Times New Roman"/>
          <w:sz w:val="24"/>
          <w:szCs w:val="24"/>
          <w:lang w:eastAsia="zh-CN"/>
        </w:rPr>
        <w:t>, 887-898 (2010).</w:t>
      </w:r>
    </w:p>
    <w:p w14:paraId="084BE7ED" w14:textId="77777777" w:rsidR="00F272EB" w:rsidRDefault="00F272EB" w:rsidP="00F272EB">
      <w:pPr>
        <w:tabs>
          <w:tab w:val="num" w:pos="900"/>
        </w:tabs>
        <w:spacing w:after="0" w:line="360" w:lineRule="auto"/>
        <w:rPr>
          <w:rFonts w:ascii="Times New Roman" w:eastAsiaTheme="minorEastAsia" w:hAnsi="Times New Roman" w:cs="Times New Roman"/>
          <w:sz w:val="24"/>
          <w:szCs w:val="24"/>
          <w:lang w:eastAsia="zh-CN"/>
        </w:rPr>
      </w:pPr>
      <w:r>
        <w:rPr>
          <w:rFonts w:ascii="Times New Roman" w:eastAsiaTheme="minorEastAsia" w:hAnsi="Times New Roman" w:cs="Times New Roman"/>
          <w:sz w:val="24"/>
          <w:szCs w:val="24"/>
          <w:lang w:eastAsia="zh-CN"/>
        </w:rPr>
        <w:t xml:space="preserve">89. </w:t>
      </w:r>
      <w:proofErr w:type="spellStart"/>
      <w:r>
        <w:rPr>
          <w:rFonts w:ascii="Times New Roman" w:eastAsiaTheme="minorEastAsia" w:hAnsi="Times New Roman" w:cs="Times New Roman"/>
          <w:sz w:val="24"/>
          <w:szCs w:val="24"/>
          <w:lang w:eastAsia="zh-CN"/>
        </w:rPr>
        <w:t>Grün</w:t>
      </w:r>
      <w:proofErr w:type="spellEnd"/>
      <w:r>
        <w:rPr>
          <w:rFonts w:ascii="Times New Roman" w:eastAsiaTheme="minorEastAsia" w:hAnsi="Times New Roman" w:cs="Times New Roman"/>
          <w:sz w:val="24"/>
          <w:szCs w:val="24"/>
          <w:lang w:eastAsia="zh-CN"/>
        </w:rPr>
        <w:t xml:space="preserve">, R., </w:t>
      </w:r>
      <w:proofErr w:type="spellStart"/>
      <w:r>
        <w:rPr>
          <w:rFonts w:ascii="Times New Roman" w:eastAsiaTheme="minorEastAsia" w:hAnsi="Times New Roman" w:cs="Times New Roman"/>
          <w:sz w:val="24"/>
          <w:szCs w:val="24"/>
          <w:lang w:eastAsia="zh-CN"/>
        </w:rPr>
        <w:t>Mahat</w:t>
      </w:r>
      <w:proofErr w:type="spellEnd"/>
      <w:r>
        <w:rPr>
          <w:rFonts w:ascii="Times New Roman" w:eastAsiaTheme="minorEastAsia" w:hAnsi="Times New Roman" w:cs="Times New Roman"/>
          <w:sz w:val="24"/>
          <w:szCs w:val="24"/>
          <w:lang w:eastAsia="zh-CN"/>
        </w:rPr>
        <w:t xml:space="preserve">, R., </w:t>
      </w:r>
      <w:proofErr w:type="spellStart"/>
      <w:r>
        <w:rPr>
          <w:rFonts w:ascii="Times New Roman" w:eastAsiaTheme="minorEastAsia" w:hAnsi="Times New Roman" w:cs="Times New Roman"/>
          <w:sz w:val="24"/>
          <w:szCs w:val="24"/>
          <w:lang w:eastAsia="zh-CN"/>
        </w:rPr>
        <w:t>Joannes-Boyau</w:t>
      </w:r>
      <w:proofErr w:type="spellEnd"/>
      <w:r>
        <w:rPr>
          <w:rFonts w:ascii="Times New Roman" w:eastAsiaTheme="minorEastAsia" w:hAnsi="Times New Roman" w:cs="Times New Roman"/>
          <w:sz w:val="24"/>
          <w:szCs w:val="24"/>
          <w:lang w:eastAsia="zh-CN"/>
        </w:rPr>
        <w:t xml:space="preserve">, R. Ionization efficiencies of alanine dosimeters and tooth enamel irradiated by gamma and X-ray sources. </w:t>
      </w:r>
      <w:r>
        <w:rPr>
          <w:rFonts w:ascii="Times New Roman" w:eastAsiaTheme="minorEastAsia" w:hAnsi="Times New Roman" w:cs="Times New Roman"/>
          <w:i/>
          <w:sz w:val="24"/>
          <w:szCs w:val="24"/>
          <w:lang w:eastAsia="zh-CN"/>
        </w:rPr>
        <w:t>Radiation Measurements</w:t>
      </w:r>
      <w:r>
        <w:rPr>
          <w:rFonts w:ascii="Times New Roman" w:eastAsiaTheme="minorEastAsia" w:hAnsi="Times New Roman" w:cs="Times New Roman"/>
          <w:sz w:val="24"/>
          <w:szCs w:val="24"/>
          <w:lang w:eastAsia="zh-CN"/>
        </w:rPr>
        <w:t xml:space="preserve"> </w:t>
      </w:r>
      <w:r>
        <w:rPr>
          <w:rFonts w:ascii="Times New Roman" w:eastAsiaTheme="minorEastAsia" w:hAnsi="Times New Roman" w:cs="Times New Roman"/>
          <w:b/>
          <w:sz w:val="24"/>
          <w:szCs w:val="24"/>
          <w:lang w:eastAsia="zh-CN"/>
        </w:rPr>
        <w:t>47</w:t>
      </w:r>
      <w:r>
        <w:rPr>
          <w:rFonts w:ascii="Times New Roman" w:eastAsiaTheme="minorEastAsia" w:hAnsi="Times New Roman" w:cs="Times New Roman"/>
          <w:sz w:val="24"/>
          <w:szCs w:val="24"/>
          <w:lang w:eastAsia="zh-CN"/>
        </w:rPr>
        <w:t>, 665-668 (2012).</w:t>
      </w:r>
    </w:p>
    <w:p w14:paraId="630D1E87" w14:textId="77777777" w:rsidR="00F272EB" w:rsidRDefault="00F272EB" w:rsidP="00F272EB">
      <w:pPr>
        <w:spacing w:after="0" w:line="360" w:lineRule="auto"/>
        <w:jc w:val="both"/>
        <w:rPr>
          <w:rFonts w:ascii="Times New Roman" w:hAnsi="Times New Roman" w:cs="Times New Roman"/>
          <w:sz w:val="24"/>
          <w:szCs w:val="24"/>
        </w:rPr>
      </w:pPr>
      <w:r>
        <w:rPr>
          <w:rFonts w:ascii="Times New Roman" w:eastAsiaTheme="minorEastAsia" w:hAnsi="Times New Roman" w:cs="Times New Roman"/>
          <w:sz w:val="24"/>
          <w:szCs w:val="24"/>
          <w:lang w:eastAsia="zh-CN"/>
        </w:rPr>
        <w:t xml:space="preserve">90. </w:t>
      </w:r>
      <w:proofErr w:type="spellStart"/>
      <w:r>
        <w:rPr>
          <w:rFonts w:ascii="Times New Roman" w:eastAsiaTheme="minorEastAsia" w:hAnsi="Times New Roman"/>
          <w:sz w:val="24"/>
          <w:szCs w:val="24"/>
          <w:lang w:eastAsia="zh-CN"/>
        </w:rPr>
        <w:t>Joannes-Boyau</w:t>
      </w:r>
      <w:proofErr w:type="spellEnd"/>
      <w:r>
        <w:rPr>
          <w:rFonts w:ascii="Times New Roman" w:eastAsiaTheme="minorEastAsia" w:hAnsi="Times New Roman"/>
          <w:sz w:val="24"/>
          <w:szCs w:val="24"/>
          <w:lang w:eastAsia="zh-CN"/>
        </w:rPr>
        <w:t xml:space="preserve">, R. Detailed protocol for an accurate non-destructive direct dating of tooth enamel fragment using Electron Spin Resonance. </w:t>
      </w:r>
      <w:proofErr w:type="spellStart"/>
      <w:r>
        <w:rPr>
          <w:rFonts w:ascii="Times New Roman" w:eastAsiaTheme="minorEastAsia" w:hAnsi="Times New Roman"/>
          <w:i/>
          <w:sz w:val="24"/>
          <w:szCs w:val="24"/>
          <w:lang w:eastAsia="zh-CN"/>
        </w:rPr>
        <w:t>Geochronometria</w:t>
      </w:r>
      <w:proofErr w:type="spellEnd"/>
      <w:r>
        <w:rPr>
          <w:rFonts w:ascii="Times New Roman" w:eastAsiaTheme="minorEastAsia" w:hAnsi="Times New Roman"/>
          <w:sz w:val="24"/>
          <w:szCs w:val="24"/>
          <w:lang w:eastAsia="zh-CN"/>
        </w:rPr>
        <w:t xml:space="preserve"> </w:t>
      </w:r>
      <w:r>
        <w:rPr>
          <w:rFonts w:ascii="Times New Roman" w:eastAsiaTheme="minorEastAsia" w:hAnsi="Times New Roman"/>
          <w:b/>
          <w:sz w:val="24"/>
          <w:szCs w:val="24"/>
          <w:lang w:eastAsia="zh-CN"/>
        </w:rPr>
        <w:t>40</w:t>
      </w:r>
      <w:r>
        <w:rPr>
          <w:rFonts w:ascii="Times New Roman" w:eastAsiaTheme="minorEastAsia" w:hAnsi="Times New Roman"/>
          <w:sz w:val="24"/>
          <w:szCs w:val="24"/>
          <w:lang w:eastAsia="zh-CN"/>
        </w:rPr>
        <w:t>, 322-333 (2013).</w:t>
      </w:r>
    </w:p>
    <w:p w14:paraId="0958FA10" w14:textId="77777777" w:rsidR="00F272EB" w:rsidRDefault="00F272EB" w:rsidP="00F272EB">
      <w:pPr>
        <w:tabs>
          <w:tab w:val="num" w:pos="900"/>
        </w:tabs>
        <w:spacing w:after="0" w:line="360" w:lineRule="auto"/>
        <w:rPr>
          <w:rFonts w:ascii="Times New Roman" w:eastAsiaTheme="minorEastAsia" w:hAnsi="Times New Roman" w:cs="Times New Roman"/>
          <w:sz w:val="24"/>
          <w:szCs w:val="24"/>
          <w:lang w:eastAsia="zh-CN"/>
        </w:rPr>
      </w:pPr>
      <w:r>
        <w:rPr>
          <w:rFonts w:ascii="Times New Roman" w:eastAsiaTheme="minorEastAsia" w:hAnsi="Times New Roman" w:cs="Times New Roman"/>
          <w:sz w:val="24"/>
          <w:szCs w:val="24"/>
          <w:lang w:eastAsia="zh-CN"/>
        </w:rPr>
        <w:t xml:space="preserve">91. </w:t>
      </w:r>
      <w:proofErr w:type="spellStart"/>
      <w:r>
        <w:rPr>
          <w:rFonts w:ascii="Times New Roman" w:eastAsiaTheme="minorEastAsia" w:hAnsi="Times New Roman" w:cs="Times New Roman"/>
          <w:sz w:val="24"/>
          <w:szCs w:val="24"/>
          <w:lang w:eastAsia="zh-CN"/>
        </w:rPr>
        <w:t>Joannes-Boyau</w:t>
      </w:r>
      <w:proofErr w:type="spellEnd"/>
      <w:r>
        <w:rPr>
          <w:rFonts w:ascii="Times New Roman" w:eastAsiaTheme="minorEastAsia" w:hAnsi="Times New Roman" w:cs="Times New Roman"/>
          <w:sz w:val="24"/>
          <w:szCs w:val="24"/>
          <w:lang w:eastAsia="zh-CN"/>
        </w:rPr>
        <w:t xml:space="preserve">, R., </w:t>
      </w:r>
      <w:proofErr w:type="spellStart"/>
      <w:r>
        <w:rPr>
          <w:rFonts w:ascii="Times New Roman" w:eastAsiaTheme="minorEastAsia" w:hAnsi="Times New Roman" w:cs="Times New Roman"/>
          <w:sz w:val="24"/>
          <w:szCs w:val="24"/>
          <w:lang w:eastAsia="zh-CN"/>
        </w:rPr>
        <w:t>Grün</w:t>
      </w:r>
      <w:proofErr w:type="spellEnd"/>
      <w:r>
        <w:rPr>
          <w:rFonts w:ascii="Times New Roman" w:eastAsiaTheme="minorEastAsia" w:hAnsi="Times New Roman" w:cs="Times New Roman"/>
          <w:sz w:val="24"/>
          <w:szCs w:val="24"/>
          <w:lang w:eastAsia="zh-CN"/>
        </w:rPr>
        <w:t xml:space="preserve">, R., </w:t>
      </w:r>
      <w:proofErr w:type="spellStart"/>
      <w:r>
        <w:rPr>
          <w:rFonts w:ascii="Times New Roman" w:eastAsiaTheme="minorEastAsia" w:hAnsi="Times New Roman" w:cs="Times New Roman"/>
          <w:sz w:val="24"/>
          <w:szCs w:val="24"/>
          <w:lang w:eastAsia="zh-CN"/>
        </w:rPr>
        <w:t>Bodin</w:t>
      </w:r>
      <w:proofErr w:type="spellEnd"/>
      <w:r>
        <w:rPr>
          <w:rFonts w:ascii="Times New Roman" w:eastAsiaTheme="minorEastAsia" w:hAnsi="Times New Roman" w:cs="Times New Roman"/>
          <w:sz w:val="24"/>
          <w:szCs w:val="24"/>
          <w:lang w:eastAsia="zh-CN"/>
        </w:rPr>
        <w:t xml:space="preserve">, T. Decomposition of the laboratory irradiation component of angular ESR spectra of fossil tooth enamel fragments. </w:t>
      </w:r>
      <w:r>
        <w:rPr>
          <w:rFonts w:ascii="Times New Roman" w:eastAsiaTheme="minorEastAsia" w:hAnsi="Times New Roman" w:cs="Times New Roman"/>
          <w:i/>
          <w:sz w:val="24"/>
          <w:szCs w:val="24"/>
          <w:lang w:eastAsia="zh-CN"/>
        </w:rPr>
        <w:t>Applied Radiation and Isotopes</w:t>
      </w:r>
      <w:r>
        <w:rPr>
          <w:rFonts w:ascii="Times New Roman" w:eastAsiaTheme="minorEastAsia" w:hAnsi="Times New Roman" w:cs="Times New Roman"/>
          <w:sz w:val="24"/>
          <w:szCs w:val="24"/>
          <w:lang w:eastAsia="zh-CN"/>
        </w:rPr>
        <w:t xml:space="preserve"> </w:t>
      </w:r>
      <w:r>
        <w:rPr>
          <w:rFonts w:ascii="Times New Roman" w:eastAsiaTheme="minorEastAsia" w:hAnsi="Times New Roman" w:cs="Times New Roman"/>
          <w:b/>
          <w:sz w:val="24"/>
          <w:szCs w:val="24"/>
          <w:lang w:eastAsia="zh-CN"/>
        </w:rPr>
        <w:t>68</w:t>
      </w:r>
      <w:r>
        <w:rPr>
          <w:rFonts w:ascii="Times New Roman" w:eastAsiaTheme="minorEastAsia" w:hAnsi="Times New Roman" w:cs="Times New Roman"/>
          <w:sz w:val="24"/>
          <w:szCs w:val="24"/>
          <w:lang w:eastAsia="zh-CN"/>
        </w:rPr>
        <w:t>, 1798-1808 (2010).</w:t>
      </w:r>
    </w:p>
    <w:p w14:paraId="357DE332" w14:textId="77777777" w:rsidR="00F272EB" w:rsidRDefault="00F272EB" w:rsidP="00F272EB">
      <w:pPr>
        <w:tabs>
          <w:tab w:val="num" w:pos="900"/>
        </w:tabs>
        <w:spacing w:after="0" w:line="360" w:lineRule="auto"/>
        <w:rPr>
          <w:rFonts w:ascii="Times New Roman" w:eastAsiaTheme="minorEastAsia" w:hAnsi="Times New Roman" w:cs="Times New Roman"/>
          <w:sz w:val="24"/>
          <w:szCs w:val="24"/>
          <w:lang w:eastAsia="zh-CN"/>
        </w:rPr>
      </w:pPr>
      <w:r>
        <w:rPr>
          <w:rFonts w:ascii="Times New Roman" w:eastAsiaTheme="minorEastAsia" w:hAnsi="Times New Roman" w:cs="Times New Roman"/>
          <w:sz w:val="24"/>
          <w:szCs w:val="24"/>
          <w:lang w:eastAsia="zh-CN"/>
        </w:rPr>
        <w:t xml:space="preserve">92. </w:t>
      </w:r>
      <w:proofErr w:type="spellStart"/>
      <w:r>
        <w:rPr>
          <w:rFonts w:ascii="Times New Roman" w:eastAsiaTheme="minorEastAsia" w:hAnsi="Times New Roman" w:cs="Times New Roman"/>
          <w:sz w:val="24"/>
          <w:szCs w:val="24"/>
          <w:lang w:eastAsia="zh-CN"/>
        </w:rPr>
        <w:t>Joannes-Boyau</w:t>
      </w:r>
      <w:proofErr w:type="spellEnd"/>
      <w:r>
        <w:rPr>
          <w:rFonts w:ascii="Times New Roman" w:eastAsiaTheme="minorEastAsia" w:hAnsi="Times New Roman" w:cs="Times New Roman"/>
          <w:sz w:val="24"/>
          <w:szCs w:val="24"/>
          <w:lang w:eastAsia="zh-CN"/>
        </w:rPr>
        <w:t xml:space="preserve">, R., </w:t>
      </w:r>
      <w:proofErr w:type="spellStart"/>
      <w:r>
        <w:rPr>
          <w:rFonts w:ascii="Times New Roman" w:eastAsiaTheme="minorEastAsia" w:hAnsi="Times New Roman" w:cs="Times New Roman"/>
          <w:sz w:val="24"/>
          <w:szCs w:val="24"/>
          <w:lang w:eastAsia="zh-CN"/>
        </w:rPr>
        <w:t>Grün</w:t>
      </w:r>
      <w:proofErr w:type="spellEnd"/>
      <w:r>
        <w:rPr>
          <w:rFonts w:ascii="Times New Roman" w:eastAsiaTheme="minorEastAsia" w:hAnsi="Times New Roman" w:cs="Times New Roman"/>
          <w:sz w:val="24"/>
          <w:szCs w:val="24"/>
          <w:lang w:eastAsia="zh-CN"/>
        </w:rPr>
        <w:t xml:space="preserve">, R. Decomposition of UV induced ESR spectra in enamel fragments of a modern and a fossil tooth. </w:t>
      </w:r>
      <w:r>
        <w:rPr>
          <w:rFonts w:ascii="Times New Roman" w:eastAsiaTheme="minorEastAsia" w:hAnsi="Times New Roman" w:cs="Times New Roman"/>
          <w:i/>
          <w:sz w:val="24"/>
          <w:szCs w:val="24"/>
          <w:lang w:eastAsia="zh-CN"/>
        </w:rPr>
        <w:t>Ancient TL</w:t>
      </w:r>
      <w:r>
        <w:rPr>
          <w:rFonts w:ascii="Times New Roman" w:eastAsiaTheme="minorEastAsia" w:hAnsi="Times New Roman" w:cs="Times New Roman"/>
          <w:sz w:val="24"/>
          <w:szCs w:val="24"/>
          <w:lang w:eastAsia="zh-CN"/>
        </w:rPr>
        <w:t xml:space="preserve"> </w:t>
      </w:r>
      <w:r>
        <w:rPr>
          <w:rFonts w:ascii="Times New Roman" w:eastAsiaTheme="minorEastAsia" w:hAnsi="Times New Roman" w:cs="Times New Roman"/>
          <w:b/>
          <w:sz w:val="24"/>
          <w:szCs w:val="24"/>
          <w:lang w:eastAsia="zh-CN"/>
        </w:rPr>
        <w:t>28</w:t>
      </w:r>
      <w:r>
        <w:rPr>
          <w:rFonts w:ascii="Times New Roman" w:eastAsiaTheme="minorEastAsia" w:hAnsi="Times New Roman" w:cs="Times New Roman"/>
          <w:sz w:val="24"/>
          <w:szCs w:val="24"/>
          <w:lang w:eastAsia="zh-CN"/>
        </w:rPr>
        <w:t>, 23-34 (2010).</w:t>
      </w:r>
    </w:p>
    <w:p w14:paraId="3981D586" w14:textId="77777777" w:rsidR="00F272EB" w:rsidRDefault="00F272EB" w:rsidP="00F272EB">
      <w:pPr>
        <w:tabs>
          <w:tab w:val="num" w:pos="900"/>
        </w:tabs>
        <w:spacing w:after="0" w:line="360" w:lineRule="auto"/>
        <w:rPr>
          <w:rFonts w:ascii="Times New Roman" w:eastAsiaTheme="minorEastAsia" w:hAnsi="Times New Roman" w:cs="Times New Roman"/>
          <w:sz w:val="24"/>
          <w:szCs w:val="24"/>
          <w:lang w:eastAsia="zh-CN"/>
        </w:rPr>
      </w:pPr>
      <w:r>
        <w:rPr>
          <w:rFonts w:ascii="Times New Roman" w:eastAsiaTheme="minorEastAsia" w:hAnsi="Times New Roman" w:cs="Times New Roman"/>
          <w:sz w:val="24"/>
          <w:szCs w:val="24"/>
          <w:lang w:eastAsia="zh-CN"/>
        </w:rPr>
        <w:t xml:space="preserve">93. </w:t>
      </w:r>
      <w:proofErr w:type="spellStart"/>
      <w:r>
        <w:rPr>
          <w:rFonts w:ascii="Times New Roman" w:eastAsiaTheme="minorEastAsia" w:hAnsi="Times New Roman" w:cs="Times New Roman"/>
          <w:sz w:val="24"/>
          <w:szCs w:val="24"/>
          <w:lang w:eastAsia="zh-CN"/>
        </w:rPr>
        <w:t>Joannes-Boyau</w:t>
      </w:r>
      <w:proofErr w:type="spellEnd"/>
      <w:r>
        <w:rPr>
          <w:rFonts w:ascii="Times New Roman" w:eastAsiaTheme="minorEastAsia" w:hAnsi="Times New Roman" w:cs="Times New Roman"/>
          <w:sz w:val="24"/>
          <w:szCs w:val="24"/>
          <w:lang w:eastAsia="zh-CN"/>
        </w:rPr>
        <w:t xml:space="preserve">, R., </w:t>
      </w:r>
      <w:proofErr w:type="spellStart"/>
      <w:r>
        <w:rPr>
          <w:rFonts w:ascii="Times New Roman" w:eastAsiaTheme="minorEastAsia" w:hAnsi="Times New Roman" w:cs="Times New Roman"/>
          <w:sz w:val="24"/>
          <w:szCs w:val="24"/>
          <w:lang w:eastAsia="zh-CN"/>
        </w:rPr>
        <w:t>Grün</w:t>
      </w:r>
      <w:proofErr w:type="spellEnd"/>
      <w:r>
        <w:rPr>
          <w:rFonts w:ascii="Times New Roman" w:eastAsiaTheme="minorEastAsia" w:hAnsi="Times New Roman" w:cs="Times New Roman"/>
          <w:sz w:val="24"/>
          <w:szCs w:val="24"/>
          <w:lang w:eastAsia="zh-CN"/>
        </w:rPr>
        <w:t xml:space="preserve">, R. Thermal </w:t>
      </w:r>
      <w:proofErr w:type="spellStart"/>
      <w:r>
        <w:rPr>
          <w:rFonts w:ascii="Times New Roman" w:eastAsiaTheme="minorEastAsia" w:hAnsi="Times New Roman" w:cs="Times New Roman"/>
          <w:sz w:val="24"/>
          <w:szCs w:val="24"/>
          <w:lang w:eastAsia="zh-CN"/>
        </w:rPr>
        <w:t>behavior</w:t>
      </w:r>
      <w:proofErr w:type="spellEnd"/>
      <w:r>
        <w:rPr>
          <w:rFonts w:ascii="Times New Roman" w:eastAsiaTheme="minorEastAsia" w:hAnsi="Times New Roman" w:cs="Times New Roman"/>
          <w:sz w:val="24"/>
          <w:szCs w:val="24"/>
          <w:lang w:eastAsia="zh-CN"/>
        </w:rPr>
        <w:t xml:space="preserve"> of oriented and non-oriented CO2− radicals in tooth enamel. </w:t>
      </w:r>
      <w:r>
        <w:rPr>
          <w:rFonts w:ascii="Times New Roman" w:eastAsiaTheme="minorEastAsia" w:hAnsi="Times New Roman" w:cs="Times New Roman"/>
          <w:i/>
          <w:sz w:val="24"/>
          <w:szCs w:val="24"/>
          <w:lang w:eastAsia="zh-CN"/>
        </w:rPr>
        <w:t>Radiation Measurements</w:t>
      </w:r>
      <w:r>
        <w:rPr>
          <w:rFonts w:ascii="Times New Roman" w:eastAsiaTheme="minorEastAsia" w:hAnsi="Times New Roman" w:cs="Times New Roman"/>
          <w:sz w:val="24"/>
          <w:szCs w:val="24"/>
          <w:lang w:eastAsia="zh-CN"/>
        </w:rPr>
        <w:t xml:space="preserve"> </w:t>
      </w:r>
      <w:r>
        <w:rPr>
          <w:rFonts w:ascii="Times New Roman" w:eastAsiaTheme="minorEastAsia" w:hAnsi="Times New Roman" w:cs="Times New Roman"/>
          <w:b/>
          <w:sz w:val="24"/>
          <w:szCs w:val="24"/>
          <w:lang w:eastAsia="zh-CN"/>
        </w:rPr>
        <w:t>44</w:t>
      </w:r>
      <w:r>
        <w:rPr>
          <w:rFonts w:ascii="Times New Roman" w:eastAsiaTheme="minorEastAsia" w:hAnsi="Times New Roman" w:cs="Times New Roman"/>
          <w:sz w:val="24"/>
          <w:szCs w:val="24"/>
          <w:lang w:eastAsia="zh-CN"/>
        </w:rPr>
        <w:t>, 505-511 (2009).</w:t>
      </w:r>
    </w:p>
    <w:p w14:paraId="44E93FC9" w14:textId="77777777" w:rsidR="00F272EB" w:rsidRDefault="00F272EB" w:rsidP="00F272EB">
      <w:pPr>
        <w:tabs>
          <w:tab w:val="num" w:pos="900"/>
        </w:tabs>
        <w:spacing w:after="0" w:line="360" w:lineRule="auto"/>
        <w:rPr>
          <w:rFonts w:ascii="Times New Roman" w:eastAsiaTheme="minorEastAsia" w:hAnsi="Times New Roman" w:cs="Times New Roman"/>
          <w:sz w:val="24"/>
          <w:szCs w:val="24"/>
          <w:lang w:eastAsia="zh-CN"/>
        </w:rPr>
      </w:pPr>
      <w:r>
        <w:rPr>
          <w:rFonts w:ascii="Times New Roman" w:eastAsiaTheme="minorEastAsia" w:hAnsi="Times New Roman" w:cs="Times New Roman"/>
          <w:sz w:val="24"/>
          <w:szCs w:val="24"/>
          <w:lang w:eastAsia="zh-CN"/>
        </w:rPr>
        <w:t>94. Shao, Q.</w:t>
      </w:r>
      <w:r>
        <w:rPr>
          <w:rFonts w:ascii="Times New Roman" w:hAnsi="Times New Roman" w:cs="Times New Roman"/>
          <w:sz w:val="24"/>
          <w:szCs w:val="24"/>
        </w:rPr>
        <w:t xml:space="preserve">, </w:t>
      </w:r>
      <w:proofErr w:type="spellStart"/>
      <w:r>
        <w:rPr>
          <w:rFonts w:ascii="Times New Roman" w:eastAsiaTheme="minorEastAsia" w:hAnsi="Times New Roman" w:cs="Times New Roman"/>
          <w:sz w:val="24"/>
          <w:szCs w:val="24"/>
          <w:lang w:eastAsia="zh-CN"/>
        </w:rPr>
        <w:t>Bahain</w:t>
      </w:r>
      <w:proofErr w:type="spellEnd"/>
      <w:r>
        <w:rPr>
          <w:rFonts w:ascii="Times New Roman" w:eastAsiaTheme="minorEastAsia" w:hAnsi="Times New Roman" w:cs="Times New Roman"/>
          <w:sz w:val="24"/>
          <w:szCs w:val="24"/>
          <w:lang w:eastAsia="zh-CN"/>
        </w:rPr>
        <w:t xml:space="preserve">, J. J., </w:t>
      </w:r>
      <w:proofErr w:type="spellStart"/>
      <w:r>
        <w:rPr>
          <w:rFonts w:ascii="Times New Roman" w:eastAsiaTheme="minorEastAsia" w:hAnsi="Times New Roman" w:cs="Times New Roman"/>
          <w:sz w:val="24"/>
          <w:szCs w:val="24"/>
          <w:lang w:eastAsia="zh-CN"/>
        </w:rPr>
        <w:t>Dolo</w:t>
      </w:r>
      <w:proofErr w:type="spellEnd"/>
      <w:r>
        <w:rPr>
          <w:rFonts w:ascii="Times New Roman" w:eastAsiaTheme="minorEastAsia" w:hAnsi="Times New Roman" w:cs="Times New Roman"/>
          <w:sz w:val="24"/>
          <w:szCs w:val="24"/>
          <w:lang w:eastAsia="zh-CN"/>
        </w:rPr>
        <w:t xml:space="preserve">, J. M., &amp; </w:t>
      </w:r>
      <w:proofErr w:type="spellStart"/>
      <w:r>
        <w:rPr>
          <w:rFonts w:ascii="Times New Roman" w:eastAsiaTheme="minorEastAsia" w:hAnsi="Times New Roman" w:cs="Times New Roman"/>
          <w:sz w:val="24"/>
          <w:szCs w:val="24"/>
          <w:lang w:eastAsia="zh-CN"/>
        </w:rPr>
        <w:t>Falguères</w:t>
      </w:r>
      <w:proofErr w:type="spellEnd"/>
      <w:r>
        <w:rPr>
          <w:rFonts w:ascii="Times New Roman" w:eastAsiaTheme="minorEastAsia" w:hAnsi="Times New Roman" w:cs="Times New Roman"/>
          <w:sz w:val="24"/>
          <w:szCs w:val="24"/>
          <w:lang w:eastAsia="zh-CN"/>
        </w:rPr>
        <w:t xml:space="preserve">, C. Monte Carlo approach to calculate US-ESR age and age uncertainty for tooth enamel. </w:t>
      </w:r>
      <w:r>
        <w:rPr>
          <w:rFonts w:ascii="Times New Roman" w:eastAsiaTheme="minorEastAsia" w:hAnsi="Times New Roman" w:cs="Times New Roman"/>
          <w:i/>
          <w:sz w:val="24"/>
          <w:szCs w:val="24"/>
          <w:lang w:eastAsia="zh-CN"/>
        </w:rPr>
        <w:t xml:space="preserve">Quat. </w:t>
      </w:r>
      <w:proofErr w:type="spellStart"/>
      <w:r>
        <w:rPr>
          <w:rFonts w:ascii="Times New Roman" w:eastAsiaTheme="minorEastAsia" w:hAnsi="Times New Roman" w:cs="Times New Roman"/>
          <w:i/>
          <w:sz w:val="24"/>
          <w:szCs w:val="24"/>
          <w:lang w:eastAsia="zh-CN"/>
        </w:rPr>
        <w:t>Geochron</w:t>
      </w:r>
      <w:proofErr w:type="spellEnd"/>
      <w:r>
        <w:rPr>
          <w:rFonts w:ascii="Times New Roman" w:eastAsiaTheme="minorEastAsia" w:hAnsi="Times New Roman" w:cs="Times New Roman"/>
          <w:i/>
          <w:sz w:val="24"/>
          <w:szCs w:val="24"/>
          <w:lang w:eastAsia="zh-CN"/>
        </w:rPr>
        <w:t>.</w:t>
      </w:r>
      <w:r>
        <w:rPr>
          <w:rFonts w:ascii="Times New Roman" w:eastAsiaTheme="minorEastAsia" w:hAnsi="Times New Roman" w:cs="Times New Roman"/>
          <w:sz w:val="24"/>
          <w:szCs w:val="24"/>
          <w:lang w:eastAsia="zh-CN"/>
        </w:rPr>
        <w:t xml:space="preserve"> </w:t>
      </w:r>
      <w:r>
        <w:rPr>
          <w:rFonts w:ascii="Times New Roman" w:eastAsiaTheme="minorEastAsia" w:hAnsi="Times New Roman" w:cs="Times New Roman"/>
          <w:b/>
          <w:sz w:val="24"/>
          <w:szCs w:val="24"/>
          <w:lang w:eastAsia="zh-CN"/>
        </w:rPr>
        <w:t>22</w:t>
      </w:r>
      <w:r>
        <w:rPr>
          <w:rFonts w:ascii="Times New Roman" w:eastAsiaTheme="minorEastAsia" w:hAnsi="Times New Roman" w:cs="Times New Roman"/>
          <w:sz w:val="24"/>
          <w:szCs w:val="24"/>
          <w:lang w:eastAsia="zh-CN"/>
        </w:rPr>
        <w:t>: 99-106 (2014).</w:t>
      </w:r>
    </w:p>
    <w:p w14:paraId="4340CE26" w14:textId="77777777" w:rsidR="00F272EB" w:rsidRDefault="00F272EB" w:rsidP="00F272EB">
      <w:pPr>
        <w:spacing w:after="0" w:line="360" w:lineRule="auto"/>
        <w:rPr>
          <w:rFonts w:ascii="Times New Roman" w:eastAsiaTheme="minorEastAsia" w:hAnsi="Times New Roman" w:cs="Times New Roman"/>
          <w:sz w:val="24"/>
          <w:szCs w:val="24"/>
          <w:lang w:eastAsia="zh-CN"/>
        </w:rPr>
      </w:pPr>
      <w:r>
        <w:rPr>
          <w:rFonts w:ascii="Times New Roman" w:eastAsiaTheme="minorEastAsia" w:hAnsi="Times New Roman" w:cs="Times New Roman"/>
          <w:sz w:val="24"/>
          <w:szCs w:val="24"/>
          <w:lang w:eastAsia="zh-CN"/>
        </w:rPr>
        <w:t xml:space="preserve">95. </w:t>
      </w:r>
      <w:proofErr w:type="spellStart"/>
      <w:r>
        <w:rPr>
          <w:rFonts w:ascii="Times New Roman" w:eastAsiaTheme="minorEastAsia" w:hAnsi="Times New Roman" w:cs="Times New Roman"/>
          <w:sz w:val="24"/>
          <w:szCs w:val="24"/>
          <w:lang w:eastAsia="zh-CN"/>
        </w:rPr>
        <w:t>Guérin</w:t>
      </w:r>
      <w:proofErr w:type="spellEnd"/>
      <w:r>
        <w:rPr>
          <w:rFonts w:ascii="Times New Roman" w:eastAsiaTheme="minorEastAsia" w:hAnsi="Times New Roman" w:cs="Times New Roman"/>
          <w:sz w:val="24"/>
          <w:szCs w:val="24"/>
          <w:lang w:eastAsia="zh-CN"/>
        </w:rPr>
        <w:t xml:space="preserve">, G., Mercier, N., &amp; </w:t>
      </w:r>
      <w:proofErr w:type="spellStart"/>
      <w:r>
        <w:rPr>
          <w:rFonts w:ascii="Times New Roman" w:eastAsiaTheme="minorEastAsia" w:hAnsi="Times New Roman" w:cs="Times New Roman"/>
          <w:sz w:val="24"/>
          <w:szCs w:val="24"/>
          <w:lang w:eastAsia="zh-CN"/>
        </w:rPr>
        <w:t>Adamiec</w:t>
      </w:r>
      <w:proofErr w:type="spellEnd"/>
      <w:r>
        <w:rPr>
          <w:rFonts w:ascii="Times New Roman" w:eastAsiaTheme="minorEastAsia" w:hAnsi="Times New Roman" w:cs="Times New Roman"/>
          <w:sz w:val="24"/>
          <w:szCs w:val="24"/>
          <w:lang w:eastAsia="zh-CN"/>
        </w:rPr>
        <w:t xml:space="preserve">, G. Dose rate conversion factors: update. </w:t>
      </w:r>
      <w:r>
        <w:rPr>
          <w:rFonts w:ascii="Times New Roman" w:eastAsiaTheme="minorEastAsia" w:hAnsi="Times New Roman" w:cs="Times New Roman"/>
          <w:i/>
          <w:sz w:val="24"/>
          <w:szCs w:val="24"/>
          <w:lang w:eastAsia="zh-CN"/>
        </w:rPr>
        <w:t>Ancient TL</w:t>
      </w:r>
      <w:r>
        <w:rPr>
          <w:rFonts w:ascii="Times New Roman" w:eastAsiaTheme="minorEastAsia" w:hAnsi="Times New Roman" w:cs="Times New Roman"/>
          <w:sz w:val="24"/>
          <w:szCs w:val="24"/>
          <w:lang w:eastAsia="zh-CN"/>
        </w:rPr>
        <w:t xml:space="preserve"> </w:t>
      </w:r>
      <w:r>
        <w:rPr>
          <w:rFonts w:ascii="Times New Roman" w:eastAsiaTheme="minorEastAsia" w:hAnsi="Times New Roman" w:cs="Times New Roman"/>
          <w:b/>
          <w:sz w:val="24"/>
          <w:szCs w:val="24"/>
          <w:lang w:eastAsia="zh-CN"/>
        </w:rPr>
        <w:t>29</w:t>
      </w:r>
      <w:r>
        <w:rPr>
          <w:rFonts w:ascii="Times New Roman" w:eastAsiaTheme="minorEastAsia" w:hAnsi="Times New Roman" w:cs="Times New Roman"/>
          <w:sz w:val="24"/>
          <w:szCs w:val="24"/>
          <w:lang w:eastAsia="zh-CN"/>
        </w:rPr>
        <w:t>, -8 (2011).</w:t>
      </w:r>
    </w:p>
    <w:p w14:paraId="23B732D7" w14:textId="77777777" w:rsidR="00AF2E74" w:rsidRDefault="00AF2E74"/>
    <w:sectPr w:rsidR="00AF2E7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72EB"/>
    <w:rsid w:val="00AF2E74"/>
    <w:rsid w:val="00F272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8073FA"/>
  <w15:chartTrackingRefBased/>
  <w15:docId w15:val="{AD21A7FA-2FA0-49B8-A5A9-67EB104CAE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272EB"/>
    <w:pPr>
      <w:spacing w:line="256" w:lineRule="auto"/>
    </w:pPr>
    <w:rPr>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F272EB"/>
    <w:rPr>
      <w:color w:val="0563C1" w:themeColor="hyperlink"/>
      <w:u w:val="single"/>
    </w:rPr>
  </w:style>
  <w:style w:type="character" w:customStyle="1" w:styleId="EndNoteBibliographyChar">
    <w:name w:val="EndNote Bibliography Char"/>
    <w:basedOn w:val="DefaultParagraphFont"/>
    <w:link w:val="EndNoteBibliography"/>
    <w:locked/>
    <w:rsid w:val="00F272EB"/>
    <w:rPr>
      <w:rFonts w:ascii="Times New Roman" w:hAnsi="Times New Roman" w:cs="Times New Roman"/>
      <w:sz w:val="24"/>
    </w:rPr>
  </w:style>
  <w:style w:type="paragraph" w:customStyle="1" w:styleId="EndNoteBibliography">
    <w:name w:val="EndNote Bibliography"/>
    <w:basedOn w:val="Normal"/>
    <w:link w:val="EndNoteBibliographyChar"/>
    <w:rsid w:val="00F272EB"/>
    <w:pPr>
      <w:spacing w:line="240" w:lineRule="auto"/>
      <w:jc w:val="both"/>
    </w:pPr>
    <w:rPr>
      <w:rFonts w:ascii="Times New Roman" w:hAnsi="Times New Roman" w:cs="Times New Roman"/>
      <w:sz w:val="24"/>
      <w:lang w:val="en-US"/>
    </w:rPr>
  </w:style>
  <w:style w:type="table" w:styleId="TableGrid">
    <w:name w:val="Table Grid"/>
    <w:basedOn w:val="TableNormal"/>
    <w:uiPriority w:val="39"/>
    <w:rsid w:val="00F272EB"/>
    <w:pPr>
      <w:spacing w:after="0" w:line="240" w:lineRule="auto"/>
    </w:pPr>
    <w:rPr>
      <w:lang w:val="en-A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841455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hyperlink" Target="http://labs.icahn.mssm.edu/lautenberglab/" TargetMode="External"/><Relationship Id="rId5" Type="http://schemas.openxmlformats.org/officeDocument/2006/relationships/image" Target="media/image2.jpeg"/><Relationship Id="rId10" Type="http://schemas.openxmlformats.org/officeDocument/2006/relationships/image" Target="media/image7.png"/><Relationship Id="rId4" Type="http://schemas.openxmlformats.org/officeDocument/2006/relationships/image" Target="media/image1.jpe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21</Pages>
  <Words>4589</Words>
  <Characters>26160</Characters>
  <Application>Microsoft Office Word</Application>
  <DocSecurity>0</DocSecurity>
  <Lines>218</Lines>
  <Paragraphs>61</Paragraphs>
  <ScaleCrop>false</ScaleCrop>
  <Company/>
  <LinksUpToDate>false</LinksUpToDate>
  <CharactersWithSpaces>30688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Turner</dc:creator>
  <cp:keywords/>
  <dc:description/>
  <cp:lastModifiedBy>Katie Turner</cp:lastModifiedBy>
  <cp:revision>1</cp:revision>
  <dcterms:created xsi:type="dcterms:W3CDTF">2022-04-11T23:11:00Z</dcterms:created>
  <dcterms:modified xsi:type="dcterms:W3CDTF">2022-04-11T23:11:00Z</dcterms:modified>
</cp:coreProperties>
</file>