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CF43C" w14:textId="1825BAED" w:rsidR="00D22C57" w:rsidRPr="000A04D3" w:rsidRDefault="00BD361D" w:rsidP="003E45E0">
      <w:pPr>
        <w:pStyle w:val="Heading1"/>
        <w:numPr>
          <w:ilvl w:val="0"/>
          <w:numId w:val="0"/>
        </w:numPr>
        <w:spacing w:before="0" w:after="0" w:line="360" w:lineRule="auto"/>
        <w:ind w:left="431" w:hanging="431"/>
      </w:pPr>
      <w:bookmarkStart w:id="0" w:name="_Ref78401962"/>
      <w:r>
        <w:t>Supplementary Information</w:t>
      </w:r>
    </w:p>
    <w:p w14:paraId="357D2016" w14:textId="3884387A" w:rsidR="009553C9" w:rsidRPr="003E45E0" w:rsidRDefault="00CD505B" w:rsidP="009553C9">
      <w:pPr>
        <w:pStyle w:val="Caption"/>
        <w:keepNext/>
        <w:spacing w:before="0" w:after="0" w:line="360" w:lineRule="auto"/>
        <w:ind w:firstLine="0"/>
        <w:jc w:val="left"/>
        <w:rPr>
          <w:b/>
          <w:bCs/>
          <w:i w:val="0"/>
          <w:iCs w:val="0"/>
          <w:color w:val="000000" w:themeColor="text1"/>
          <w:sz w:val="24"/>
          <w:szCs w:val="24"/>
        </w:rPr>
      </w:pPr>
      <w:bookmarkStart w:id="1" w:name="_Ref78734613"/>
      <w:bookmarkEnd w:id="0"/>
      <w:r w:rsidRPr="003E45E0">
        <w:rPr>
          <w:b/>
          <w:bCs/>
          <w:i w:val="0"/>
          <w:iCs w:val="0"/>
          <w:color w:val="000000" w:themeColor="text1"/>
          <w:sz w:val="24"/>
          <w:szCs w:val="24"/>
        </w:rPr>
        <w:t>Supplementary</w:t>
      </w:r>
      <w:r w:rsidR="000A04D3" w:rsidRPr="003E45E0">
        <w:rPr>
          <w:b/>
          <w:bCs/>
          <w:i w:val="0"/>
          <w:iCs w:val="0"/>
          <w:color w:val="000000" w:themeColor="text1"/>
          <w:sz w:val="24"/>
          <w:szCs w:val="24"/>
        </w:rPr>
        <w:t xml:space="preserve"> </w:t>
      </w:r>
      <w:r w:rsidR="009553C9" w:rsidRPr="003E45E0">
        <w:rPr>
          <w:b/>
          <w:bCs/>
          <w:i w:val="0"/>
          <w:iCs w:val="0"/>
          <w:color w:val="000000" w:themeColor="text1"/>
          <w:sz w:val="24"/>
          <w:szCs w:val="24"/>
        </w:rPr>
        <w:t>Information 1:</w:t>
      </w:r>
    </w:p>
    <w:p w14:paraId="698AC4FE" w14:textId="34E2D3E2" w:rsidR="000A04D3" w:rsidRPr="003E45E0" w:rsidRDefault="000A04D3" w:rsidP="009553C9">
      <w:pPr>
        <w:pStyle w:val="Caption"/>
        <w:keepNext/>
        <w:spacing w:before="0" w:after="0" w:line="360" w:lineRule="auto"/>
        <w:ind w:firstLine="0"/>
        <w:rPr>
          <w:rFonts w:ascii="Times" w:hAnsi="Times"/>
          <w:i w:val="0"/>
          <w:iCs w:val="0"/>
          <w:color w:val="000000" w:themeColor="text1"/>
          <w:sz w:val="24"/>
          <w:szCs w:val="24"/>
        </w:rPr>
      </w:pPr>
      <w:r w:rsidRPr="003E45E0">
        <w:rPr>
          <w:rFonts w:ascii="Times" w:hAnsi="Times"/>
          <w:i w:val="0"/>
          <w:iCs w:val="0"/>
          <w:color w:val="000000" w:themeColor="text1"/>
          <w:sz w:val="24"/>
          <w:szCs w:val="24"/>
        </w:rPr>
        <w:t xml:space="preserve">Table </w:t>
      </w:r>
      <w:r w:rsidR="00626600">
        <w:rPr>
          <w:rFonts w:ascii="Times" w:hAnsi="Times"/>
          <w:i w:val="0"/>
          <w:iCs w:val="0"/>
          <w:color w:val="000000" w:themeColor="text1"/>
          <w:sz w:val="24"/>
          <w:szCs w:val="24"/>
        </w:rPr>
        <w:fldChar w:fldCharType="begin"/>
      </w:r>
      <w:r w:rsidR="00626600">
        <w:rPr>
          <w:rFonts w:ascii="Times" w:hAnsi="Times"/>
          <w:i w:val="0"/>
          <w:iCs w:val="0"/>
          <w:color w:val="000000" w:themeColor="text1"/>
          <w:sz w:val="24"/>
          <w:szCs w:val="24"/>
        </w:rPr>
        <w:instrText xml:space="preserve"> SEQ Appendix_Table \* ARABIC \r5 </w:instrText>
      </w:r>
      <w:r w:rsidR="00626600">
        <w:rPr>
          <w:rFonts w:ascii="Times" w:hAnsi="Times"/>
          <w:i w:val="0"/>
          <w:iCs w:val="0"/>
          <w:color w:val="000000" w:themeColor="text1"/>
          <w:sz w:val="24"/>
          <w:szCs w:val="24"/>
        </w:rPr>
        <w:fldChar w:fldCharType="separate"/>
      </w:r>
      <w:r w:rsidR="00626600">
        <w:rPr>
          <w:rFonts w:ascii="Times" w:hAnsi="Times"/>
          <w:i w:val="0"/>
          <w:iCs w:val="0"/>
          <w:noProof/>
          <w:color w:val="000000" w:themeColor="text1"/>
          <w:sz w:val="24"/>
          <w:szCs w:val="24"/>
        </w:rPr>
        <w:t>5</w:t>
      </w:r>
      <w:r w:rsidR="00626600">
        <w:rPr>
          <w:rFonts w:ascii="Times" w:hAnsi="Times"/>
          <w:i w:val="0"/>
          <w:iCs w:val="0"/>
          <w:color w:val="000000" w:themeColor="text1"/>
          <w:sz w:val="24"/>
          <w:szCs w:val="24"/>
        </w:rPr>
        <w:fldChar w:fldCharType="end"/>
      </w:r>
      <w:bookmarkEnd w:id="1"/>
      <w:r w:rsidR="009553C9" w:rsidRPr="003E45E0">
        <w:rPr>
          <w:rFonts w:ascii="Times" w:hAnsi="Times"/>
          <w:i w:val="0"/>
          <w:iCs w:val="0"/>
          <w:color w:val="000000" w:themeColor="text1"/>
          <w:sz w:val="24"/>
          <w:szCs w:val="24"/>
        </w:rPr>
        <w:t xml:space="preserve">. </w:t>
      </w:r>
      <w:r w:rsidRPr="003E45E0">
        <w:rPr>
          <w:rFonts w:ascii="Times" w:hAnsi="Times"/>
          <w:i w:val="0"/>
          <w:iCs w:val="0"/>
          <w:color w:val="000000" w:themeColor="text1"/>
          <w:sz w:val="24"/>
          <w:szCs w:val="24"/>
        </w:rPr>
        <w:t>Most cited objectives of past tariff proposals</w:t>
      </w:r>
    </w:p>
    <w:tbl>
      <w:tblPr>
        <w:tblStyle w:val="GridTable3-Accent6"/>
        <w:tblW w:w="9072" w:type="dxa"/>
        <w:tblInd w:w="-5" w:type="dxa"/>
        <w:shd w:val="clear" w:color="auto" w:fill="FFFFFF" w:themeFill="background1"/>
        <w:tblLayout w:type="fixed"/>
        <w:tblLook w:val="04A0" w:firstRow="1" w:lastRow="0" w:firstColumn="1" w:lastColumn="0" w:noHBand="0" w:noVBand="1"/>
      </w:tblPr>
      <w:tblGrid>
        <w:gridCol w:w="1694"/>
        <w:gridCol w:w="725"/>
        <w:gridCol w:w="1512"/>
        <w:gridCol w:w="5141"/>
      </w:tblGrid>
      <w:tr w:rsidR="0021787E" w:rsidRPr="009553C9" w14:paraId="46DEC480" w14:textId="77777777" w:rsidTr="00E370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4" w:type="dxa"/>
            <w:tcBorders>
              <w:top w:val="single" w:sz="18" w:space="0" w:color="70AD47" w:themeColor="accent6"/>
              <w:bottom w:val="single" w:sz="12" w:space="0" w:color="70AD47" w:themeColor="accent6"/>
              <w:right w:val="single" w:sz="12" w:space="0" w:color="70AD47" w:themeColor="accent6"/>
            </w:tcBorders>
            <w:shd w:val="clear" w:color="auto" w:fill="F2FFEC"/>
            <w:hideMark/>
          </w:tcPr>
          <w:p w14:paraId="00333F58" w14:textId="77777777" w:rsidR="00E37020" w:rsidRPr="009553C9" w:rsidRDefault="00E37020" w:rsidP="009553C9">
            <w:pPr>
              <w:ind w:firstLine="0"/>
              <w:rPr>
                <w:i w:val="0"/>
                <w:iCs w:val="0"/>
                <w:sz w:val="20"/>
                <w:szCs w:val="20"/>
              </w:rPr>
            </w:pPr>
            <w:r w:rsidRPr="009553C9">
              <w:rPr>
                <w:i w:val="0"/>
                <w:iCs w:val="0"/>
                <w:sz w:val="20"/>
                <w:szCs w:val="20"/>
              </w:rPr>
              <w:t>Objective</w:t>
            </w:r>
          </w:p>
        </w:tc>
        <w:tc>
          <w:tcPr>
            <w:tcW w:w="2237" w:type="dxa"/>
            <w:gridSpan w:val="2"/>
            <w:tcBorders>
              <w:top w:val="single" w:sz="18" w:space="0" w:color="70AD47" w:themeColor="accent6"/>
              <w:left w:val="single" w:sz="12" w:space="0" w:color="70AD47" w:themeColor="accent6"/>
              <w:bottom w:val="single" w:sz="12" w:space="0" w:color="70AD47" w:themeColor="accent6"/>
              <w:right w:val="single" w:sz="12" w:space="0" w:color="70AD47" w:themeColor="accent6"/>
            </w:tcBorders>
            <w:shd w:val="clear" w:color="auto" w:fill="F2FFEC"/>
            <w:hideMark/>
          </w:tcPr>
          <w:p w14:paraId="59D684B5" w14:textId="71FBECA4" w:rsidR="00E37020" w:rsidRPr="009553C9" w:rsidRDefault="00E37020" w:rsidP="009553C9">
            <w:pPr>
              <w:ind w:firstLine="0"/>
              <w:cnfStyle w:val="100000000000" w:firstRow="1" w:lastRow="0" w:firstColumn="0" w:lastColumn="0" w:oddVBand="0" w:evenVBand="0" w:oddHBand="0" w:evenHBand="0" w:firstRowFirstColumn="0" w:firstRowLastColumn="0" w:lastRowFirstColumn="0" w:lastRowLastColumn="0"/>
              <w:rPr>
                <w:sz w:val="20"/>
                <w:szCs w:val="20"/>
              </w:rPr>
            </w:pPr>
            <w:r w:rsidRPr="009553C9">
              <w:rPr>
                <w:sz w:val="20"/>
                <w:szCs w:val="20"/>
              </w:rPr>
              <w:t>Research</w:t>
            </w:r>
          </w:p>
        </w:tc>
        <w:tc>
          <w:tcPr>
            <w:tcW w:w="5141" w:type="dxa"/>
            <w:tcBorders>
              <w:top w:val="single" w:sz="18" w:space="0" w:color="70AD47" w:themeColor="accent6"/>
              <w:left w:val="single" w:sz="12" w:space="0" w:color="70AD47" w:themeColor="accent6"/>
              <w:bottom w:val="single" w:sz="12" w:space="0" w:color="70AD47" w:themeColor="accent6"/>
            </w:tcBorders>
            <w:shd w:val="clear" w:color="auto" w:fill="F2FFEC"/>
            <w:hideMark/>
          </w:tcPr>
          <w:p w14:paraId="48F70099" w14:textId="2D66BFBD" w:rsidR="00E37020" w:rsidRPr="009553C9" w:rsidRDefault="00E37020" w:rsidP="009553C9">
            <w:pPr>
              <w:ind w:firstLine="0"/>
              <w:cnfStyle w:val="100000000000" w:firstRow="1" w:lastRow="0" w:firstColumn="0" w:lastColumn="0" w:oddVBand="0" w:evenVBand="0" w:oddHBand="0" w:evenHBand="0" w:firstRowFirstColumn="0" w:firstRowLastColumn="0" w:lastRowFirstColumn="0" w:lastRowLastColumn="0"/>
              <w:rPr>
                <w:sz w:val="20"/>
                <w:szCs w:val="20"/>
              </w:rPr>
            </w:pPr>
            <w:r w:rsidRPr="009553C9">
              <w:rPr>
                <w:sz w:val="20"/>
                <w:szCs w:val="20"/>
              </w:rPr>
              <w:t>Methodology and findings</w:t>
            </w:r>
          </w:p>
        </w:tc>
      </w:tr>
      <w:tr w:rsidR="0021787E" w:rsidRPr="009553C9" w14:paraId="3D9F2E2E" w14:textId="77777777" w:rsidTr="00E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vMerge w:val="restart"/>
            <w:tcBorders>
              <w:top w:val="single" w:sz="12" w:space="0" w:color="70AD47" w:themeColor="accent6"/>
              <w:right w:val="single" w:sz="12" w:space="0" w:color="70AD47" w:themeColor="accent6"/>
            </w:tcBorders>
            <w:hideMark/>
          </w:tcPr>
          <w:p w14:paraId="6B2530F3" w14:textId="77777777" w:rsidR="005F36B6" w:rsidRPr="009553C9" w:rsidRDefault="005F36B6" w:rsidP="00D44A34">
            <w:pPr>
              <w:ind w:firstLine="0"/>
              <w:jc w:val="left"/>
              <w:rPr>
                <w:i w:val="0"/>
                <w:iCs w:val="0"/>
                <w:sz w:val="20"/>
                <w:szCs w:val="20"/>
              </w:rPr>
            </w:pPr>
            <w:r w:rsidRPr="009553C9">
              <w:rPr>
                <w:i w:val="0"/>
                <w:iCs w:val="0"/>
                <w:sz w:val="20"/>
                <w:szCs w:val="20"/>
              </w:rPr>
              <w:t>Utility profit maximisation</w:t>
            </w:r>
          </w:p>
          <w:p w14:paraId="0CD3BAF0" w14:textId="77777777" w:rsidR="005F36B6" w:rsidRPr="009553C9" w:rsidRDefault="005F36B6" w:rsidP="009553C9">
            <w:pPr>
              <w:ind w:firstLine="0"/>
              <w:rPr>
                <w:i w:val="0"/>
                <w:iCs w:val="0"/>
                <w:sz w:val="20"/>
                <w:szCs w:val="20"/>
              </w:rPr>
            </w:pPr>
            <w:r w:rsidRPr="009553C9">
              <w:rPr>
                <w:i w:val="0"/>
                <w:iCs w:val="0"/>
                <w:sz w:val="20"/>
                <w:szCs w:val="20"/>
              </w:rPr>
              <w:t> </w:t>
            </w:r>
          </w:p>
          <w:p w14:paraId="31B748F4" w14:textId="77777777" w:rsidR="005F36B6" w:rsidRPr="009553C9" w:rsidRDefault="005F36B6" w:rsidP="009553C9">
            <w:pPr>
              <w:ind w:firstLine="0"/>
              <w:rPr>
                <w:i w:val="0"/>
                <w:iCs w:val="0"/>
                <w:sz w:val="20"/>
                <w:szCs w:val="20"/>
              </w:rPr>
            </w:pPr>
            <w:r w:rsidRPr="009553C9">
              <w:rPr>
                <w:i w:val="0"/>
                <w:iCs w:val="0"/>
                <w:sz w:val="20"/>
                <w:szCs w:val="20"/>
              </w:rPr>
              <w:t> </w:t>
            </w:r>
          </w:p>
          <w:p w14:paraId="5F768238" w14:textId="77777777" w:rsidR="005F36B6" w:rsidRPr="009553C9" w:rsidRDefault="005F36B6" w:rsidP="009553C9">
            <w:pPr>
              <w:ind w:firstLine="0"/>
              <w:rPr>
                <w:i w:val="0"/>
                <w:iCs w:val="0"/>
                <w:sz w:val="20"/>
                <w:szCs w:val="20"/>
              </w:rPr>
            </w:pPr>
            <w:r w:rsidRPr="009553C9">
              <w:rPr>
                <w:i w:val="0"/>
                <w:iCs w:val="0"/>
                <w:sz w:val="20"/>
                <w:szCs w:val="20"/>
              </w:rPr>
              <w:t> </w:t>
            </w:r>
          </w:p>
        </w:tc>
        <w:tc>
          <w:tcPr>
            <w:tcW w:w="725" w:type="dxa"/>
            <w:tcBorders>
              <w:top w:val="single" w:sz="12" w:space="0" w:color="70AD47" w:themeColor="accent6"/>
              <w:left w:val="single" w:sz="12" w:space="0" w:color="70AD47" w:themeColor="accent6"/>
              <w:bottom w:val="single" w:sz="4" w:space="0" w:color="A8D08D" w:themeColor="accent6" w:themeTint="99"/>
              <w:right w:val="nil"/>
            </w:tcBorders>
            <w:shd w:val="clear" w:color="auto" w:fill="FFFFFF" w:themeFill="background1"/>
            <w:hideMark/>
          </w:tcPr>
          <w:p w14:paraId="0B279C2D" w14:textId="1BBDBF40"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2krurt3n5l","properties":{"formattedCitation":"[74]","plainCitation":"[74]","noteIndex":0},"citationItems":[{"id":916,"uris":["http://zotero.org/users/2089623/items/T6SIKXX5"],"uri":["http://zotero.org/users/2089623/items/T6SIKXX5"],"itemData":{"id":916,"type":"paper-conference","container-title":"Thirtieth AAAI Conference on Artificial Intelligence","source":"Google Scholar","title":"Autonomous electricity trading using time-of-use tariffs in a competitive market","author":[{"family":"Urieli","given":"Daniel"},{"family":"Stone","given":"Peter"}],"issued":{"date-parts":[["2016"]]}}}],"schema":"https://github.com/citation-style-language/schema/raw/master/csl-citation.json"} </w:instrText>
            </w:r>
            <w:r w:rsidRPr="009553C9">
              <w:rPr>
                <w:sz w:val="20"/>
                <w:szCs w:val="20"/>
              </w:rPr>
              <w:fldChar w:fldCharType="separate"/>
            </w:r>
            <w:r w:rsidRPr="009553C9">
              <w:rPr>
                <w:sz w:val="20"/>
                <w:szCs w:val="20"/>
              </w:rPr>
              <w:t>[7</w:t>
            </w:r>
            <w:r w:rsidR="00EC655D">
              <w:rPr>
                <w:sz w:val="20"/>
                <w:szCs w:val="20"/>
              </w:rPr>
              <w:t>1</w:t>
            </w:r>
            <w:r w:rsidRPr="009553C9">
              <w:rPr>
                <w:sz w:val="20"/>
                <w:szCs w:val="20"/>
              </w:rPr>
              <w:t>]</w:t>
            </w:r>
            <w:r w:rsidRPr="009553C9">
              <w:rPr>
                <w:sz w:val="20"/>
                <w:szCs w:val="20"/>
              </w:rPr>
              <w:fldChar w:fldCharType="end"/>
            </w:r>
          </w:p>
          <w:p w14:paraId="099F3401"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512" w:type="dxa"/>
            <w:tcBorders>
              <w:top w:val="single" w:sz="12" w:space="0" w:color="70AD47" w:themeColor="accent6"/>
              <w:left w:val="nil"/>
              <w:bottom w:val="single" w:sz="4" w:space="0" w:color="A8D08D" w:themeColor="accent6" w:themeTint="99"/>
              <w:right w:val="single" w:sz="12" w:space="0" w:color="70AD47" w:themeColor="accent6"/>
            </w:tcBorders>
            <w:shd w:val="clear" w:color="auto" w:fill="FFFFFF" w:themeFill="background1"/>
          </w:tcPr>
          <w:p w14:paraId="0475A94C"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Urieli and Stone</w:t>
            </w:r>
          </w:p>
          <w:p w14:paraId="32222D0E" w14:textId="737E9F02"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(2016)</w:t>
            </w:r>
          </w:p>
          <w:p w14:paraId="5021281E"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p>
        </w:tc>
        <w:tc>
          <w:tcPr>
            <w:tcW w:w="5141" w:type="dxa"/>
            <w:tcBorders>
              <w:top w:val="single" w:sz="12" w:space="0" w:color="70AD47" w:themeColor="accent6"/>
              <w:left w:val="single" w:sz="12" w:space="0" w:color="70AD47" w:themeColor="accent6"/>
            </w:tcBorders>
            <w:shd w:val="clear" w:color="auto" w:fill="FFFFFF" w:themeFill="background1"/>
            <w:hideMark/>
          </w:tcPr>
          <w:p w14:paraId="3B9AD30B" w14:textId="15AE05CC"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Built an algorithm based on gradient-descent to formulate TOU tariffs that maximise the utility’s profit in competitive market settings.</w:t>
            </w:r>
          </w:p>
        </w:tc>
      </w:tr>
      <w:tr w:rsidR="0021787E" w:rsidRPr="009553C9" w14:paraId="530B4248" w14:textId="77777777" w:rsidTr="00E37020">
        <w:tc>
          <w:tcPr>
            <w:cnfStyle w:val="001000000000" w:firstRow="0" w:lastRow="0" w:firstColumn="1" w:lastColumn="0" w:oddVBand="0" w:evenVBand="0" w:oddHBand="0" w:evenHBand="0" w:firstRowFirstColumn="0" w:firstRowLastColumn="0" w:lastRowFirstColumn="0" w:lastRowLastColumn="0"/>
            <w:tcW w:w="1694" w:type="dxa"/>
            <w:vMerge/>
            <w:tcBorders>
              <w:right w:val="single" w:sz="12" w:space="0" w:color="70AD47" w:themeColor="accent6"/>
            </w:tcBorders>
            <w:hideMark/>
          </w:tcPr>
          <w:p w14:paraId="1EBB64BE" w14:textId="77777777" w:rsidR="005F36B6" w:rsidRPr="009553C9" w:rsidRDefault="005F36B6" w:rsidP="009553C9">
            <w:pPr>
              <w:ind w:firstLine="0"/>
              <w:rPr>
                <w:i w:val="0"/>
                <w:iCs w:val="0"/>
                <w:color w:val="000000" w:themeColor="text1"/>
                <w:sz w:val="20"/>
                <w:szCs w:val="20"/>
              </w:rPr>
            </w:pPr>
          </w:p>
        </w:tc>
        <w:tc>
          <w:tcPr>
            <w:tcW w:w="725" w:type="dxa"/>
            <w:tcBorders>
              <w:left w:val="single" w:sz="12" w:space="0" w:color="70AD47" w:themeColor="accent6"/>
              <w:bottom w:val="single" w:sz="4" w:space="0" w:color="A8D08D" w:themeColor="accent6" w:themeTint="99"/>
              <w:right w:val="nil"/>
            </w:tcBorders>
            <w:shd w:val="clear" w:color="auto" w:fill="E2F0D9"/>
            <w:hideMark/>
          </w:tcPr>
          <w:p w14:paraId="2E38E1A7" w14:textId="595EA9C1"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2ava9mio7n","properties":{"formattedCitation":"[41]","plainCitation":"[41]","noteIndex":0},"citationItems":[{"id":912,"uris":["http://zotero.org/users/2089623/items/QD9NY9HY"],"uri":["http://zotero.org/users/2089623/items/QD9NY9HY"],"itemData":{"id":912,"type":"article-journal","container-title":"IEEE Transactions on Power Systems","issue":"3","note":"publisher: IEEE","page":"1170–1181","source":"Google Scholar","title":"Time-of-use pricing in electricity markets under different market structures","volume":"27","author":[{"family":"Celebi","given":"Emre"},{"family":"Fuller","given":"J. David"}],"issued":{"date-parts":[["2012"]]}}}],"schema":"https://github.com/citation-style-language/schema/raw/master/csl-citation.json"} </w:instrText>
            </w:r>
            <w:r w:rsidRPr="009553C9">
              <w:rPr>
                <w:sz w:val="20"/>
                <w:szCs w:val="20"/>
              </w:rPr>
              <w:fldChar w:fldCharType="separate"/>
            </w:r>
            <w:r w:rsidRPr="009553C9">
              <w:rPr>
                <w:sz w:val="20"/>
                <w:szCs w:val="20"/>
              </w:rPr>
              <w:t>[</w:t>
            </w:r>
            <w:r w:rsidR="00EC655D">
              <w:rPr>
                <w:sz w:val="20"/>
                <w:szCs w:val="20"/>
              </w:rPr>
              <w:t>39</w:t>
            </w:r>
            <w:r w:rsidRPr="009553C9">
              <w:rPr>
                <w:sz w:val="20"/>
                <w:szCs w:val="20"/>
              </w:rPr>
              <w:t>]</w:t>
            </w:r>
            <w:r w:rsidRPr="009553C9">
              <w:rPr>
                <w:sz w:val="20"/>
                <w:szCs w:val="20"/>
              </w:rPr>
              <w:fldChar w:fldCharType="end"/>
            </w:r>
          </w:p>
          <w:p w14:paraId="57358F92" w14:textId="77777777"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br/>
            </w:r>
          </w:p>
        </w:tc>
        <w:tc>
          <w:tcPr>
            <w:tcW w:w="1512" w:type="dxa"/>
            <w:tcBorders>
              <w:left w:val="nil"/>
              <w:bottom w:val="single" w:sz="4" w:space="0" w:color="A8D08D" w:themeColor="accent6" w:themeTint="99"/>
              <w:right w:val="single" w:sz="12" w:space="0" w:color="70AD47" w:themeColor="accent6"/>
            </w:tcBorders>
            <w:shd w:val="clear" w:color="auto" w:fill="E2F0D9"/>
          </w:tcPr>
          <w:p w14:paraId="6899386C" w14:textId="77777777" w:rsidR="005F36B6" w:rsidRPr="009553C9" w:rsidRDefault="005F36B6" w:rsidP="00D44A34">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Celebi and Fuller </w:t>
            </w:r>
          </w:p>
          <w:p w14:paraId="41C2D110" w14:textId="635238D1"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(2012)</w:t>
            </w:r>
          </w:p>
        </w:tc>
        <w:tc>
          <w:tcPr>
            <w:tcW w:w="5141" w:type="dxa"/>
            <w:tcBorders>
              <w:left w:val="single" w:sz="12" w:space="0" w:color="70AD47" w:themeColor="accent6"/>
            </w:tcBorders>
            <w:shd w:val="clear" w:color="auto" w:fill="E2F0D9"/>
            <w:hideMark/>
          </w:tcPr>
          <w:p w14:paraId="3CD1ADF4" w14:textId="230CEBE7"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Formulated a multi-agent model of an independent system operator, utilities, and users and used variational inequality to determine TOU tariffs that minimise the costs of utilities and operators under different market structures.</w:t>
            </w:r>
          </w:p>
        </w:tc>
      </w:tr>
      <w:tr w:rsidR="0021787E" w:rsidRPr="009553C9" w14:paraId="53A7DCFD" w14:textId="77777777" w:rsidTr="00E3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vMerge/>
            <w:tcBorders>
              <w:right w:val="single" w:sz="12" w:space="0" w:color="70AD47" w:themeColor="accent6"/>
            </w:tcBorders>
            <w:hideMark/>
          </w:tcPr>
          <w:p w14:paraId="71FA996C" w14:textId="77777777" w:rsidR="005F36B6" w:rsidRPr="009553C9" w:rsidRDefault="005F36B6" w:rsidP="009553C9">
            <w:pPr>
              <w:ind w:firstLine="0"/>
              <w:rPr>
                <w:i w:val="0"/>
                <w:iCs w:val="0"/>
                <w:color w:val="000000" w:themeColor="text1"/>
                <w:sz w:val="20"/>
                <w:szCs w:val="20"/>
              </w:rPr>
            </w:pPr>
          </w:p>
        </w:tc>
        <w:tc>
          <w:tcPr>
            <w:tcW w:w="725" w:type="dxa"/>
            <w:tcBorders>
              <w:left w:val="single" w:sz="12" w:space="0" w:color="70AD47" w:themeColor="accent6"/>
              <w:bottom w:val="single" w:sz="8" w:space="0" w:color="70AD47" w:themeColor="accent6"/>
              <w:right w:val="nil"/>
            </w:tcBorders>
            <w:shd w:val="clear" w:color="auto" w:fill="FFFFFF" w:themeFill="background1"/>
            <w:hideMark/>
          </w:tcPr>
          <w:p w14:paraId="6FB9A1D5" w14:textId="1FA33119"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26k5ii1la3","properties":{"formattedCitation":"[75]","plainCitation":"[75]","noteIndex":0},"citationItems":[{"id":437,"uris":["http://zotero.org/users/2089623/items/Z62L8VKM"],"uri":["http://zotero.org/users/2089623/items/Z62L8VKM"],"itemData":{"id":437,"type":"article-journal","container-title":"International Journal of Production Economics","issue":"2","note":"publisher: Elsevier","page":"402–410","source":"Google Scholar","title":"Electricity time-of-use tariff with consumer behavior consideration","volume":"146","author":[{"family":"Yang","given":"Liu"},{"family":"Dong","given":"Ciwei"},{"family":"Wan","given":"CL Johnny"},{"family":"Ng","given":"Chi To"}],"issued":{"date-parts":[["2013"]]}}}],"schema":"https://github.com/citation-style-language/schema/raw/master/csl-citation.json"} </w:instrText>
            </w:r>
            <w:r w:rsidRPr="009553C9">
              <w:rPr>
                <w:sz w:val="20"/>
                <w:szCs w:val="20"/>
              </w:rPr>
              <w:fldChar w:fldCharType="separate"/>
            </w:r>
            <w:r w:rsidRPr="009553C9">
              <w:rPr>
                <w:sz w:val="20"/>
                <w:szCs w:val="20"/>
              </w:rPr>
              <w:t>[7</w:t>
            </w:r>
            <w:r w:rsidR="00EC655D">
              <w:rPr>
                <w:sz w:val="20"/>
                <w:szCs w:val="20"/>
              </w:rPr>
              <w:t>2</w:t>
            </w:r>
            <w:r w:rsidRPr="009553C9">
              <w:rPr>
                <w:sz w:val="20"/>
                <w:szCs w:val="20"/>
              </w:rPr>
              <w:t>]</w:t>
            </w:r>
            <w:r w:rsidRPr="009553C9">
              <w:rPr>
                <w:sz w:val="20"/>
                <w:szCs w:val="20"/>
              </w:rPr>
              <w:fldChar w:fldCharType="end"/>
            </w:r>
          </w:p>
          <w:p w14:paraId="3F824D15"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512" w:type="dxa"/>
            <w:tcBorders>
              <w:left w:val="nil"/>
              <w:bottom w:val="single" w:sz="8" w:space="0" w:color="70AD47" w:themeColor="accent6"/>
              <w:right w:val="single" w:sz="12" w:space="0" w:color="70AD47" w:themeColor="accent6"/>
            </w:tcBorders>
            <w:shd w:val="clear" w:color="auto" w:fill="FFFFFF" w:themeFill="background1"/>
          </w:tcPr>
          <w:p w14:paraId="6C0989E4"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 xml:space="preserve">Yang et al </w:t>
            </w:r>
          </w:p>
          <w:p w14:paraId="1832F582" w14:textId="0441D15D"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(2013)</w:t>
            </w:r>
          </w:p>
        </w:tc>
        <w:tc>
          <w:tcPr>
            <w:tcW w:w="5141" w:type="dxa"/>
            <w:tcBorders>
              <w:left w:val="single" w:sz="12" w:space="0" w:color="70AD47" w:themeColor="accent6"/>
              <w:bottom w:val="single" w:sz="8" w:space="0" w:color="70AD47" w:themeColor="accent6"/>
            </w:tcBorders>
            <w:shd w:val="clear" w:color="auto" w:fill="FFFFFF" w:themeFill="background1"/>
            <w:hideMark/>
          </w:tcPr>
          <w:p w14:paraId="04D3FD44" w14:textId="69DB2BFA"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Built a model that determines the best strategy to increase profit for utilities, while considering the behavioural changes of users due to the comfort cost induced by pricing change.</w:t>
            </w:r>
          </w:p>
        </w:tc>
      </w:tr>
      <w:tr w:rsidR="0021787E" w:rsidRPr="009553C9" w14:paraId="60EBD267" w14:textId="77777777" w:rsidTr="00E37020">
        <w:tc>
          <w:tcPr>
            <w:cnfStyle w:val="001000000000" w:firstRow="0" w:lastRow="0" w:firstColumn="1" w:lastColumn="0" w:oddVBand="0" w:evenVBand="0" w:oddHBand="0" w:evenHBand="0" w:firstRowFirstColumn="0" w:firstRowLastColumn="0" w:lastRowFirstColumn="0" w:lastRowLastColumn="0"/>
            <w:tcW w:w="1694" w:type="dxa"/>
            <w:vMerge/>
            <w:tcBorders>
              <w:top w:val="single" w:sz="8" w:space="0" w:color="70AD47" w:themeColor="accent6"/>
              <w:bottom w:val="single" w:sz="18" w:space="0" w:color="70AD47" w:themeColor="accent6"/>
              <w:right w:val="single" w:sz="12" w:space="0" w:color="70AD47" w:themeColor="accent6"/>
            </w:tcBorders>
            <w:hideMark/>
          </w:tcPr>
          <w:p w14:paraId="69D5B418" w14:textId="77777777" w:rsidR="005F36B6" w:rsidRPr="009553C9" w:rsidRDefault="005F36B6" w:rsidP="009553C9">
            <w:pPr>
              <w:ind w:firstLine="0"/>
              <w:rPr>
                <w:i w:val="0"/>
                <w:iCs w:val="0"/>
                <w:color w:val="000000" w:themeColor="text1"/>
                <w:sz w:val="20"/>
                <w:szCs w:val="20"/>
              </w:rPr>
            </w:pPr>
          </w:p>
        </w:tc>
        <w:tc>
          <w:tcPr>
            <w:tcW w:w="725" w:type="dxa"/>
            <w:tcBorders>
              <w:top w:val="single" w:sz="8" w:space="0" w:color="70AD47" w:themeColor="accent6"/>
              <w:left w:val="single" w:sz="12" w:space="0" w:color="70AD47" w:themeColor="accent6"/>
              <w:bottom w:val="single" w:sz="18" w:space="0" w:color="70AD47" w:themeColor="accent6"/>
              <w:right w:val="nil"/>
            </w:tcBorders>
            <w:shd w:val="clear" w:color="auto" w:fill="E2F0D9"/>
            <w:hideMark/>
          </w:tcPr>
          <w:p w14:paraId="0D904849" w14:textId="6C265CEE"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je7btr91n","properties":{"formattedCitation":"[21]","plainCitation":"[21]","noteIndex":0},"citationItems":[{"id":911,"uris":["http://zotero.org/users/2089623/items/HWD5RVJY"],"uri":["http://zotero.org/users/2089623/items/HWD5RVJY"],"itemData":{"id":911,"type":"article-journal","container-title":"Electric Power Systems Research","note":"publisher: Elsevier","page":"215–223","source":"Google Scholar","title":"Optimal use of incentive and price based demand response to reduce costs and price volatility","volume":"144","author":[{"family":"Asadinejad","given":"Ailin"},{"family":"Tomsovic","given":"Kevin"}],"issued":{"date-parts":[["2017"]]}}}],"schema":"https://github.com/citation-style-language/schema/raw/master/csl-citation.json"} </w:instrText>
            </w:r>
            <w:r w:rsidRPr="009553C9">
              <w:rPr>
                <w:sz w:val="20"/>
                <w:szCs w:val="20"/>
              </w:rPr>
              <w:fldChar w:fldCharType="separate"/>
            </w:r>
            <w:r w:rsidRPr="009553C9">
              <w:rPr>
                <w:color w:val="000000"/>
                <w:sz w:val="20"/>
                <w:szCs w:val="20"/>
              </w:rPr>
              <w:t>[21]</w:t>
            </w:r>
            <w:r w:rsidRPr="009553C9">
              <w:rPr>
                <w:sz w:val="20"/>
                <w:szCs w:val="20"/>
              </w:rPr>
              <w:fldChar w:fldCharType="end"/>
            </w:r>
          </w:p>
          <w:p w14:paraId="7331D61C" w14:textId="77777777"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512" w:type="dxa"/>
            <w:tcBorders>
              <w:top w:val="single" w:sz="8" w:space="0" w:color="70AD47" w:themeColor="accent6"/>
              <w:left w:val="nil"/>
              <w:bottom w:val="single" w:sz="18" w:space="0" w:color="70AD47" w:themeColor="accent6"/>
              <w:right w:val="single" w:sz="12" w:space="0" w:color="70AD47" w:themeColor="accent6"/>
            </w:tcBorders>
            <w:shd w:val="clear" w:color="auto" w:fill="E2F0D9"/>
          </w:tcPr>
          <w:p w14:paraId="11B01C31" w14:textId="0BFFBA78" w:rsidR="005F36B6" w:rsidRPr="009553C9" w:rsidRDefault="005F36B6" w:rsidP="00D44A34">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Asadinejad and Tomsovic</w:t>
            </w:r>
          </w:p>
          <w:p w14:paraId="264DC10A" w14:textId="5969EDCF"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(2017)</w:t>
            </w:r>
          </w:p>
        </w:tc>
        <w:tc>
          <w:tcPr>
            <w:tcW w:w="5141" w:type="dxa"/>
            <w:tcBorders>
              <w:top w:val="single" w:sz="8" w:space="0" w:color="70AD47" w:themeColor="accent6"/>
              <w:left w:val="single" w:sz="12" w:space="0" w:color="70AD47" w:themeColor="accent6"/>
              <w:bottom w:val="single" w:sz="18" w:space="0" w:color="70AD47" w:themeColor="accent6"/>
            </w:tcBorders>
            <w:shd w:val="clear" w:color="auto" w:fill="E2F0D9"/>
            <w:hideMark/>
          </w:tcPr>
          <w:p w14:paraId="59EFD5D9" w14:textId="76012DFA"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Developed a novel optimisation to adjust TOU prices to reduce utilities' costs and limit price volatility.</w:t>
            </w:r>
          </w:p>
        </w:tc>
      </w:tr>
      <w:tr w:rsidR="0021787E" w:rsidRPr="009553C9" w14:paraId="3CBBD94B" w14:textId="77777777" w:rsidTr="00561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vMerge w:val="restart"/>
            <w:tcBorders>
              <w:top w:val="single" w:sz="18" w:space="0" w:color="70AD47" w:themeColor="accent6"/>
              <w:right w:val="single" w:sz="12" w:space="0" w:color="70AD47" w:themeColor="accent6"/>
            </w:tcBorders>
            <w:hideMark/>
          </w:tcPr>
          <w:p w14:paraId="51F39AD3" w14:textId="77777777" w:rsidR="005F36B6" w:rsidRPr="009553C9" w:rsidRDefault="005F36B6" w:rsidP="00D44A34">
            <w:pPr>
              <w:ind w:firstLine="0"/>
              <w:jc w:val="left"/>
              <w:rPr>
                <w:b/>
                <w:bCs/>
                <w:i w:val="0"/>
                <w:iCs w:val="0"/>
                <w:caps/>
                <w:sz w:val="20"/>
                <w:szCs w:val="20"/>
              </w:rPr>
            </w:pPr>
            <w:r w:rsidRPr="009553C9">
              <w:rPr>
                <w:i w:val="0"/>
                <w:iCs w:val="0"/>
                <w:sz w:val="20"/>
                <w:szCs w:val="20"/>
              </w:rPr>
              <w:t>Peak load reduction</w:t>
            </w:r>
          </w:p>
          <w:p w14:paraId="09876F97" w14:textId="77777777" w:rsidR="005F36B6" w:rsidRPr="009553C9" w:rsidRDefault="005F36B6" w:rsidP="009553C9">
            <w:pPr>
              <w:ind w:firstLine="0"/>
              <w:rPr>
                <w:i w:val="0"/>
                <w:iCs w:val="0"/>
                <w:sz w:val="20"/>
                <w:szCs w:val="20"/>
              </w:rPr>
            </w:pPr>
            <w:r w:rsidRPr="009553C9">
              <w:rPr>
                <w:i w:val="0"/>
                <w:iCs w:val="0"/>
                <w:sz w:val="20"/>
                <w:szCs w:val="20"/>
              </w:rPr>
              <w:t> </w:t>
            </w:r>
          </w:p>
        </w:tc>
        <w:tc>
          <w:tcPr>
            <w:tcW w:w="725" w:type="dxa"/>
            <w:tcBorders>
              <w:top w:val="single" w:sz="18" w:space="0" w:color="70AD47" w:themeColor="accent6"/>
              <w:left w:val="single" w:sz="12" w:space="0" w:color="70AD47" w:themeColor="accent6"/>
              <w:right w:val="nil"/>
            </w:tcBorders>
            <w:shd w:val="clear" w:color="auto" w:fill="FFFFFF" w:themeFill="background1"/>
            <w:hideMark/>
          </w:tcPr>
          <w:p w14:paraId="7F7C505D" w14:textId="529F59B5"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1dmmgcj081","properties":{"formattedCitation":"[38]","plainCitation":"[38]","noteIndex":0},"citationItems":[{"id":913,"uris":["http://zotero.org/users/2089623/items/RKNQ2K29"],"uri":["http://zotero.org/users/2089623/items/RKNQ2K29"],"itemData":{"id":913,"type":"paper-conference","abstract":"In late 2011, the Brazilian Electricity Regulatory Agency approved a new tariff structure for distribution services. This included the creation of the White Tariff, a time-of-use (Toll) tariff modality for retail consumers connected to low-voltage distribution grids. Brazil is currently conducting an ambitions smart meter roll-out plan, and consumers will be able to opt for Toll tariffs in the coming years. In preparation for that, the regulator has started the definition of the economic signals embedded in Toll tariffs for several distribution utilities, at the occasion of their multi-annual Tariff Review processes. This has been done despite of the fact that virtually no country-specific data on demand response to electricity prices is currently available, which brings additional difficulties to the process. In this paper, we discuss the design and implementation of Toll tariffs in Brazil, highlighting lessons learned so far and coming challenges, from an economic and regulatory perspective.","container-title":"2013 IEEE PES Conference on Innovative Smart Grid Technologies (ISGT Latin America)","DOI":"10.1109/ISGT-LA.2013.6554486","event":"2013 IEEE PES Conference on Innovative Smart Grid Technologies (ISGT Latin America)","page":"1-8","source":"IEEE Xplore","title":"Time-of-use tariffs in Brazil: Design and implementation issues","title-short":"Time-of-use tariffs in Brazil","author":[{"family":"Ferreira","given":"R. S."},{"family":"Barroso","given":"L. A."},{"family":"Lino","given":"P. R."},{"family":"Valenzuela","given":"P."},{"family":"Carvalho","given":"M. M."}],"issued":{"date-parts":[["2013",4]]}}}],"schema":"https://github.com/citation-style-language/schema/raw/master/csl-citation.json"} </w:instrText>
            </w:r>
            <w:r w:rsidRPr="009553C9">
              <w:rPr>
                <w:sz w:val="20"/>
                <w:szCs w:val="20"/>
              </w:rPr>
              <w:fldChar w:fldCharType="separate"/>
            </w:r>
            <w:r w:rsidRPr="009553C9">
              <w:rPr>
                <w:color w:val="000000"/>
                <w:sz w:val="20"/>
                <w:szCs w:val="20"/>
              </w:rPr>
              <w:t>[3</w:t>
            </w:r>
            <w:r w:rsidR="00EC655D">
              <w:rPr>
                <w:color w:val="000000"/>
                <w:sz w:val="20"/>
                <w:szCs w:val="20"/>
              </w:rPr>
              <w:t>6</w:t>
            </w:r>
            <w:r w:rsidRPr="009553C9">
              <w:rPr>
                <w:color w:val="000000"/>
                <w:sz w:val="20"/>
                <w:szCs w:val="20"/>
              </w:rPr>
              <w:t>]</w:t>
            </w:r>
            <w:r w:rsidRPr="009553C9">
              <w:rPr>
                <w:sz w:val="20"/>
                <w:szCs w:val="20"/>
              </w:rPr>
              <w:fldChar w:fldCharType="end"/>
            </w:r>
          </w:p>
          <w:p w14:paraId="5F240DD9"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512" w:type="dxa"/>
            <w:tcBorders>
              <w:top w:val="single" w:sz="18" w:space="0" w:color="70AD47" w:themeColor="accent6"/>
              <w:left w:val="nil"/>
              <w:right w:val="single" w:sz="12" w:space="0" w:color="70AD47" w:themeColor="accent6"/>
            </w:tcBorders>
            <w:shd w:val="clear" w:color="auto" w:fill="FFFFFF" w:themeFill="background1"/>
          </w:tcPr>
          <w:p w14:paraId="25AFB91C" w14:textId="77777777" w:rsidR="005F36B6" w:rsidRPr="009553C9" w:rsidRDefault="005D6405"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 xml:space="preserve">Ferreira et al </w:t>
            </w:r>
          </w:p>
          <w:p w14:paraId="06FB7554" w14:textId="3BDF430E" w:rsidR="005D6405" w:rsidRPr="009553C9" w:rsidRDefault="005D6405"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(2013)</w:t>
            </w:r>
          </w:p>
        </w:tc>
        <w:tc>
          <w:tcPr>
            <w:tcW w:w="5141" w:type="dxa"/>
            <w:tcBorders>
              <w:top w:val="single" w:sz="18" w:space="0" w:color="70AD47" w:themeColor="accent6"/>
              <w:left w:val="single" w:sz="12" w:space="0" w:color="70AD47" w:themeColor="accent6"/>
            </w:tcBorders>
            <w:shd w:val="clear" w:color="auto" w:fill="FFFFFF" w:themeFill="background1"/>
            <w:hideMark/>
          </w:tcPr>
          <w:p w14:paraId="053426A9" w14:textId="0FF361CB"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Recorded the TOU design procedure used in Brazil to achieve the aim of reducing peak load.</w:t>
            </w:r>
          </w:p>
        </w:tc>
      </w:tr>
      <w:tr w:rsidR="0021787E" w:rsidRPr="009553C9" w14:paraId="05B73716" w14:textId="77777777" w:rsidTr="00E37020">
        <w:tc>
          <w:tcPr>
            <w:cnfStyle w:val="001000000000" w:firstRow="0" w:lastRow="0" w:firstColumn="1" w:lastColumn="0" w:oddVBand="0" w:evenVBand="0" w:oddHBand="0" w:evenHBand="0" w:firstRowFirstColumn="0" w:firstRowLastColumn="0" w:lastRowFirstColumn="0" w:lastRowLastColumn="0"/>
            <w:tcW w:w="1694" w:type="dxa"/>
            <w:vMerge/>
            <w:tcBorders>
              <w:bottom w:val="single" w:sz="18" w:space="0" w:color="70AD47" w:themeColor="accent6"/>
              <w:right w:val="single" w:sz="12" w:space="0" w:color="70AD47" w:themeColor="accent6"/>
            </w:tcBorders>
            <w:hideMark/>
          </w:tcPr>
          <w:p w14:paraId="0D8BD90F" w14:textId="77777777" w:rsidR="005F36B6" w:rsidRPr="009553C9" w:rsidRDefault="005F36B6" w:rsidP="009553C9">
            <w:pPr>
              <w:ind w:firstLine="0"/>
              <w:rPr>
                <w:i w:val="0"/>
                <w:iCs w:val="0"/>
                <w:color w:val="000000" w:themeColor="text1"/>
                <w:sz w:val="20"/>
                <w:szCs w:val="20"/>
              </w:rPr>
            </w:pPr>
          </w:p>
        </w:tc>
        <w:tc>
          <w:tcPr>
            <w:tcW w:w="725" w:type="dxa"/>
            <w:tcBorders>
              <w:left w:val="single" w:sz="12" w:space="0" w:color="70AD47" w:themeColor="accent6"/>
              <w:bottom w:val="single" w:sz="18" w:space="0" w:color="70AD47" w:themeColor="accent6"/>
              <w:right w:val="nil"/>
            </w:tcBorders>
            <w:shd w:val="clear" w:color="auto" w:fill="E2F0D9"/>
            <w:hideMark/>
          </w:tcPr>
          <w:p w14:paraId="4912BA83" w14:textId="4641557C"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1u7p1a4m55","properties":{"formattedCitation":"[76]","plainCitation":"[76]","noteIndex":0},"citationItems":[{"id":919,"uris":["http://zotero.org/users/2089623/items/83VIQ9QQ"],"uri":["http://zotero.org/users/2089623/items/83VIQ9QQ"],"itemData":{"id":919,"type":"paper-conference","abstract":"Multiple challenges in the power system, such as rapid increase in electricity demand, staggering growth in power plant construction and transmission network extension costs have caused a fast change in the power industry trend toward smart grid technologies. In addition, the increasing penetration of smart loads that are able to change their power consumption or operation state based on power system conditions (such as electricity prices) is the other important motivation for this change. One of the most popular smart grid technologies, especially in the distribution grid is the communication infrastructure which enables operation procedures such as establishing energy markets (e.g. active, interactive and transactive markets) in the distribution system. These markets enable several economic opportunities in the distribution system. Another beneficial gift of the smart grid communication infrastructure is increasing distribution system observability and controllability, which helps demand to actively participate in power system operations. In this paper, two aforementioned benefits of smart grid communications (distribution system markets and higher controllability) are combined together to reduce the system daily peak. An optimization is performed on the time-of-use (TOU) pricing patterns, and a multimarket approach is proposed for peak-shaving applications. Results show that both methods can help marketeers to reduce system peak more than a single-market approach. In addition, with the multimarket approach, the prices that are offered to consumers can be lower.","container-title":"2016 8th International Symposium on Telecommunications (IST)","DOI":"10.1109/IS</w:instrText>
            </w:r>
            <w:r w:rsidRPr="009553C9">
              <w:rPr>
                <w:rFonts w:ascii="Segoe UI Symbol" w:hAnsi="Segoe UI Symbol" w:cs="Segoe UI Symbol"/>
                <w:sz w:val="20"/>
                <w:szCs w:val="20"/>
              </w:rPr>
              <w:instrText>℡</w:instrText>
            </w:r>
            <w:r w:rsidRPr="009553C9">
              <w:rPr>
                <w:sz w:val="20"/>
                <w:szCs w:val="20"/>
              </w:rPr>
              <w:instrText xml:space="preserve">.2016.7881915","event":"2016 8th International Symposium on Telecommunications (IST)","page":"707-712","source":"IEEE Xplore","title":"A multimarket approach to peak-shaving in Smart Grid using time-of-use prices","author":[{"family":"Manoochehri","given":"Hamid"},{"family":"Fereidunian","given":"Alireza"}],"issued":{"date-parts":[["2016",9]]}}}],"schema":"https://github.com/citation-style-language/schema/raw/master/csl-citation.json"} </w:instrText>
            </w:r>
            <w:r w:rsidRPr="009553C9">
              <w:rPr>
                <w:sz w:val="20"/>
                <w:szCs w:val="20"/>
              </w:rPr>
              <w:fldChar w:fldCharType="separate"/>
            </w:r>
            <w:r w:rsidRPr="009553C9">
              <w:rPr>
                <w:color w:val="000000"/>
                <w:sz w:val="20"/>
                <w:szCs w:val="20"/>
              </w:rPr>
              <w:t>[7</w:t>
            </w:r>
            <w:r w:rsidR="00EC655D">
              <w:rPr>
                <w:color w:val="000000"/>
                <w:sz w:val="20"/>
                <w:szCs w:val="20"/>
              </w:rPr>
              <w:t>3</w:t>
            </w:r>
            <w:r w:rsidRPr="009553C9">
              <w:rPr>
                <w:color w:val="000000"/>
                <w:sz w:val="20"/>
                <w:szCs w:val="20"/>
              </w:rPr>
              <w:t>]</w:t>
            </w:r>
            <w:r w:rsidRPr="009553C9">
              <w:rPr>
                <w:sz w:val="20"/>
                <w:szCs w:val="20"/>
              </w:rPr>
              <w:fldChar w:fldCharType="end"/>
            </w:r>
          </w:p>
          <w:p w14:paraId="6E8A17EB" w14:textId="77777777"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512" w:type="dxa"/>
            <w:tcBorders>
              <w:left w:val="nil"/>
              <w:bottom w:val="single" w:sz="18" w:space="0" w:color="70AD47" w:themeColor="accent6"/>
              <w:right w:val="single" w:sz="12" w:space="0" w:color="70AD47" w:themeColor="accent6"/>
            </w:tcBorders>
            <w:shd w:val="clear" w:color="auto" w:fill="E2F0D9"/>
          </w:tcPr>
          <w:p w14:paraId="7F683023" w14:textId="77777777" w:rsidR="005F36B6" w:rsidRPr="009553C9" w:rsidRDefault="005D6405"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Manoochehri and Fereidunian </w:t>
            </w:r>
          </w:p>
          <w:p w14:paraId="1DF19C01" w14:textId="19D2DB7F" w:rsidR="005D6405" w:rsidRPr="009553C9" w:rsidRDefault="005D6405"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(2016)</w:t>
            </w:r>
          </w:p>
        </w:tc>
        <w:tc>
          <w:tcPr>
            <w:tcW w:w="5141" w:type="dxa"/>
            <w:tcBorders>
              <w:left w:val="single" w:sz="12" w:space="0" w:color="70AD47" w:themeColor="accent6"/>
              <w:bottom w:val="single" w:sz="18" w:space="0" w:color="70AD47" w:themeColor="accent6"/>
            </w:tcBorders>
            <w:shd w:val="clear" w:color="auto" w:fill="E2F0D9"/>
            <w:hideMark/>
          </w:tcPr>
          <w:p w14:paraId="42C47487" w14:textId="77D0BD0D"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Used a genetic algorithm to determine TOU pricings that could minimise the system daily load peak under single or multi-party entities.</w:t>
            </w:r>
          </w:p>
        </w:tc>
      </w:tr>
      <w:tr w:rsidR="0021787E" w:rsidRPr="009553C9" w14:paraId="7A238F47" w14:textId="77777777" w:rsidTr="00561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18" w:space="0" w:color="70AD47" w:themeColor="accent6"/>
              <w:right w:val="single" w:sz="12" w:space="0" w:color="70AD47" w:themeColor="accent6"/>
            </w:tcBorders>
            <w:hideMark/>
          </w:tcPr>
          <w:p w14:paraId="60C90AE0" w14:textId="77777777" w:rsidR="005F36B6" w:rsidRPr="009553C9" w:rsidRDefault="005F36B6" w:rsidP="009553C9">
            <w:pPr>
              <w:ind w:firstLine="0"/>
              <w:rPr>
                <w:i w:val="0"/>
                <w:iCs w:val="0"/>
                <w:sz w:val="20"/>
                <w:szCs w:val="20"/>
              </w:rPr>
            </w:pPr>
          </w:p>
          <w:p w14:paraId="1BB322F2" w14:textId="77777777" w:rsidR="005F36B6" w:rsidRPr="009553C9" w:rsidRDefault="005F36B6" w:rsidP="00D44A34">
            <w:pPr>
              <w:ind w:firstLine="0"/>
              <w:jc w:val="left"/>
              <w:rPr>
                <w:i w:val="0"/>
                <w:iCs w:val="0"/>
                <w:sz w:val="20"/>
                <w:szCs w:val="20"/>
              </w:rPr>
            </w:pPr>
            <w:r w:rsidRPr="009553C9">
              <w:rPr>
                <w:i w:val="0"/>
                <w:iCs w:val="0"/>
                <w:sz w:val="20"/>
                <w:szCs w:val="20"/>
              </w:rPr>
              <w:t>Cost reflectivity enhancement</w:t>
            </w:r>
          </w:p>
        </w:tc>
        <w:tc>
          <w:tcPr>
            <w:tcW w:w="0" w:type="dxa"/>
            <w:tcBorders>
              <w:top w:val="single" w:sz="18" w:space="0" w:color="70AD47" w:themeColor="accent6"/>
              <w:left w:val="single" w:sz="12" w:space="0" w:color="70AD47" w:themeColor="accent6"/>
              <w:bottom w:val="single" w:sz="4" w:space="0" w:color="A8D08D" w:themeColor="accent6" w:themeTint="99"/>
              <w:right w:val="nil"/>
            </w:tcBorders>
            <w:shd w:val="clear" w:color="auto" w:fill="FFFFFF" w:themeFill="background1"/>
            <w:hideMark/>
          </w:tcPr>
          <w:p w14:paraId="20F87C5A" w14:textId="537962FE"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ld6rigrek","properties":{"formattedCitation":"[77]","plainCitation":"[77]","noteIndex":0},"citationItems":[{"id":438,"uris":["http://zotero.org/users/2089623/items/PVNIRHUE"],"uri":["http://zotero.org/users/2089623/items/PVNIRHUE"],"itemData":{"id":438,"type":"article-journal","container-title":"IET Generation, Transmission &amp; Distribution","issue":"15","note":"publisher: IET","page":"2328–2336","source":"Google Scholar","title":"Multi-objective low voltage grid tariff setting","volume":"9","author":[{"family":"Jargstorf","given":"Johannes"},{"family":"Belmans","given":"Ronnie"}],"issued":{"date-parts":[["2015"]]}}}],"schema":"https://github.com/citation-style-language/schema/raw/master/csl-citation.json"} </w:instrText>
            </w:r>
            <w:r w:rsidRPr="009553C9">
              <w:rPr>
                <w:sz w:val="20"/>
                <w:szCs w:val="20"/>
              </w:rPr>
              <w:fldChar w:fldCharType="separate"/>
            </w:r>
            <w:r w:rsidRPr="009553C9">
              <w:rPr>
                <w:color w:val="000000"/>
                <w:sz w:val="20"/>
                <w:szCs w:val="20"/>
              </w:rPr>
              <w:t>[7</w:t>
            </w:r>
            <w:r w:rsidR="00EC655D">
              <w:rPr>
                <w:color w:val="000000"/>
                <w:sz w:val="20"/>
                <w:szCs w:val="20"/>
              </w:rPr>
              <w:t>4</w:t>
            </w:r>
            <w:r w:rsidRPr="009553C9">
              <w:rPr>
                <w:color w:val="000000"/>
                <w:sz w:val="20"/>
                <w:szCs w:val="20"/>
              </w:rPr>
              <w:t>]</w:t>
            </w:r>
            <w:r w:rsidRPr="009553C9">
              <w:rPr>
                <w:sz w:val="20"/>
                <w:szCs w:val="20"/>
              </w:rPr>
              <w:fldChar w:fldCharType="end"/>
            </w:r>
          </w:p>
          <w:p w14:paraId="77C75079"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p>
          <w:p w14:paraId="3467329C"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0" w:type="dxa"/>
            <w:tcBorders>
              <w:top w:val="single" w:sz="18" w:space="0" w:color="70AD47" w:themeColor="accent6"/>
              <w:left w:val="nil"/>
              <w:bottom w:val="single" w:sz="4" w:space="0" w:color="A8D08D" w:themeColor="accent6" w:themeTint="99"/>
              <w:right w:val="single" w:sz="12" w:space="0" w:color="70AD47" w:themeColor="accent6"/>
            </w:tcBorders>
            <w:shd w:val="clear" w:color="auto" w:fill="FFFFFF" w:themeFill="background1"/>
          </w:tcPr>
          <w:p w14:paraId="523E2B36" w14:textId="77777777" w:rsidR="005F36B6" w:rsidRPr="009553C9" w:rsidRDefault="005D6405" w:rsidP="00D44A34">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 xml:space="preserve">Jargstorf and Belmans </w:t>
            </w:r>
          </w:p>
          <w:p w14:paraId="1DBF5CD9" w14:textId="378D5358" w:rsidR="005D6405" w:rsidRPr="009553C9" w:rsidRDefault="005D6405"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(2015)</w:t>
            </w:r>
          </w:p>
        </w:tc>
        <w:tc>
          <w:tcPr>
            <w:tcW w:w="0" w:type="dxa"/>
            <w:tcBorders>
              <w:top w:val="single" w:sz="18" w:space="0" w:color="70AD47" w:themeColor="accent6"/>
              <w:left w:val="single" w:sz="12" w:space="0" w:color="70AD47" w:themeColor="accent6"/>
            </w:tcBorders>
            <w:shd w:val="clear" w:color="auto" w:fill="FFFFFF" w:themeFill="background1"/>
            <w:hideMark/>
          </w:tcPr>
          <w:p w14:paraId="760D5FDD" w14:textId="58FA84A4"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Built an optimisation model to achieve cost-reflectivity of TOU pricing along with two other objectives of energy conservation and bill predictability.</w:t>
            </w:r>
          </w:p>
        </w:tc>
      </w:tr>
      <w:tr w:rsidR="0021787E" w:rsidRPr="009553C9" w14:paraId="25FA7DCC" w14:textId="77777777" w:rsidTr="00645F7C">
        <w:tc>
          <w:tcPr>
            <w:cnfStyle w:val="001000000000" w:firstRow="0" w:lastRow="0" w:firstColumn="1" w:lastColumn="0" w:oddVBand="0" w:evenVBand="0" w:oddHBand="0" w:evenHBand="0" w:firstRowFirstColumn="0" w:firstRowLastColumn="0" w:lastRowFirstColumn="0" w:lastRowLastColumn="0"/>
            <w:tcW w:w="0" w:type="dxa"/>
            <w:vMerge/>
            <w:tcBorders>
              <w:bottom w:val="single" w:sz="18" w:space="0" w:color="70AD47" w:themeColor="accent6"/>
              <w:right w:val="single" w:sz="12" w:space="0" w:color="70AD47" w:themeColor="accent6"/>
            </w:tcBorders>
          </w:tcPr>
          <w:p w14:paraId="29B71E41" w14:textId="77777777" w:rsidR="005F36B6" w:rsidRPr="009553C9" w:rsidRDefault="005F36B6" w:rsidP="009553C9">
            <w:pPr>
              <w:ind w:firstLine="0"/>
              <w:rPr>
                <w:i w:val="0"/>
                <w:iCs w:val="0"/>
                <w:color w:val="000000" w:themeColor="text1"/>
                <w:sz w:val="20"/>
                <w:szCs w:val="20"/>
              </w:rPr>
            </w:pPr>
          </w:p>
        </w:tc>
        <w:tc>
          <w:tcPr>
            <w:tcW w:w="0" w:type="dxa"/>
            <w:tcBorders>
              <w:left w:val="single" w:sz="12" w:space="0" w:color="70AD47" w:themeColor="accent6"/>
              <w:bottom w:val="single" w:sz="18" w:space="0" w:color="70AD47" w:themeColor="accent6"/>
              <w:right w:val="nil"/>
            </w:tcBorders>
            <w:shd w:val="clear" w:color="auto" w:fill="E2F0D9"/>
          </w:tcPr>
          <w:p w14:paraId="71106B51" w14:textId="72D78828"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1csmn6sqeh","properties":{"formattedCitation":"[78]","plainCitation":"[78]","noteIndex":0},"citationItems":[{"id":917,"uris":["http://zotero.org/users/2089623/items/TRMTV2Z3"],"uri":["http://zotero.org/users/2089623/items/TRMTV2Z3"],"itemData":{"id":917,"type":"paper-conference","abstract":"Customized design of time-of-use (TOU) can be one building block for creating appropriate coordination mechanisms in the smart grid. This is because they mitigate the complexity arising from hourly real-time prices (RTP) while retaining the flexibility to match the underlying market dynamics. This way they can ensure both customer acceptance and coordination efficiency. This paper proposes a mixed-integer program (MIP) for optimal design of customized TOU rates. A marked difference to prior research in this area is the endogenous determination of the rate structure, that is the start and length of the time zones. The described approach provides a simple way to express rate structure requirements and to efficiently derive the corresponding optimal rate structure for different objective functions.","container-title":"IECON 2013 - 39th Annual Conference of the IEEE Industrial Electronics Society","DOI":"10.1109/IECON.2013.6699899","event":"IECON 2013 - 39th Annual Conference of the IEEE Industrial Electronics Society","note":"ISSN: 1553-572X","page":"4727-4732","source":"IEEE Xplore","title":"An optimization approach for the design of time-of-use rates","author":[{"family":"Flath","given":"Christoph M."}],"issued":{"date-parts":[["2013",11]]}}}],"schema":"https://github.com/citation-style-language/schema/raw/master/csl-citation.json"} </w:instrText>
            </w:r>
            <w:r w:rsidRPr="009553C9">
              <w:rPr>
                <w:sz w:val="20"/>
                <w:szCs w:val="20"/>
              </w:rPr>
              <w:fldChar w:fldCharType="separate"/>
            </w:r>
            <w:r w:rsidRPr="009553C9">
              <w:rPr>
                <w:color w:val="000000"/>
                <w:sz w:val="20"/>
                <w:szCs w:val="20"/>
              </w:rPr>
              <w:t>[7</w:t>
            </w:r>
            <w:r w:rsidR="00EC655D">
              <w:rPr>
                <w:color w:val="000000"/>
                <w:sz w:val="20"/>
                <w:szCs w:val="20"/>
              </w:rPr>
              <w:t>5</w:t>
            </w:r>
            <w:r w:rsidRPr="009553C9">
              <w:rPr>
                <w:color w:val="000000"/>
                <w:sz w:val="20"/>
                <w:szCs w:val="20"/>
              </w:rPr>
              <w:t>]</w:t>
            </w:r>
            <w:r w:rsidRPr="009553C9">
              <w:rPr>
                <w:sz w:val="20"/>
                <w:szCs w:val="20"/>
              </w:rPr>
              <w:fldChar w:fldCharType="end"/>
            </w:r>
          </w:p>
          <w:p w14:paraId="1DF1FC1D" w14:textId="77777777"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0" w:type="dxa"/>
            <w:tcBorders>
              <w:left w:val="nil"/>
              <w:bottom w:val="single" w:sz="18" w:space="0" w:color="70AD47" w:themeColor="accent6"/>
              <w:right w:val="single" w:sz="12" w:space="0" w:color="70AD47" w:themeColor="accent6"/>
            </w:tcBorders>
            <w:shd w:val="clear" w:color="auto" w:fill="E2F0D9"/>
          </w:tcPr>
          <w:p w14:paraId="248671E7" w14:textId="77777777" w:rsidR="005F36B6" w:rsidRPr="009553C9" w:rsidRDefault="005D6405"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Flath </w:t>
            </w:r>
          </w:p>
          <w:p w14:paraId="7B11CD8D" w14:textId="6A0883BB" w:rsidR="005D6405" w:rsidRPr="009553C9" w:rsidRDefault="005D6405"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(2013)</w:t>
            </w:r>
          </w:p>
        </w:tc>
        <w:tc>
          <w:tcPr>
            <w:tcW w:w="0" w:type="dxa"/>
            <w:tcBorders>
              <w:left w:val="single" w:sz="12" w:space="0" w:color="70AD47" w:themeColor="accent6"/>
              <w:bottom w:val="single" w:sz="18" w:space="0" w:color="70AD47" w:themeColor="accent6"/>
            </w:tcBorders>
            <w:shd w:val="clear" w:color="auto" w:fill="E2F0D9"/>
          </w:tcPr>
          <w:p w14:paraId="67619769" w14:textId="5159BF6E"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Used a mixed-integer programme to determine both price levels and price intervals of TOU that minimise the deviation between procurement costs and retail prices.</w:t>
            </w:r>
          </w:p>
        </w:tc>
      </w:tr>
    </w:tbl>
    <w:p w14:paraId="4FD5C6A4" w14:textId="77777777" w:rsidR="00AC6682" w:rsidRPr="009553C9" w:rsidRDefault="00AC6682" w:rsidP="009553C9">
      <w:pPr>
        <w:rPr>
          <w:sz w:val="20"/>
          <w:szCs w:val="20"/>
        </w:rPr>
      </w:pPr>
    </w:p>
    <w:p w14:paraId="7ED61A82" w14:textId="77777777" w:rsidR="00E37020" w:rsidRPr="009553C9" w:rsidRDefault="00E37020" w:rsidP="009553C9">
      <w:pPr>
        <w:spacing w:before="0" w:line="240" w:lineRule="auto"/>
        <w:ind w:firstLine="0"/>
        <w:rPr>
          <w:i/>
          <w:color w:val="44546A" w:themeColor="text2"/>
          <w:sz w:val="20"/>
          <w:szCs w:val="20"/>
          <w:lang w:val="en-GB"/>
        </w:rPr>
      </w:pPr>
      <w:bookmarkStart w:id="2" w:name="_Ref78734653"/>
      <w:r w:rsidRPr="009553C9">
        <w:rPr>
          <w:sz w:val="20"/>
          <w:szCs w:val="20"/>
        </w:rPr>
        <w:br w:type="page"/>
      </w:r>
    </w:p>
    <w:p w14:paraId="3610E12A" w14:textId="11E35F1E" w:rsidR="009553C9" w:rsidRPr="003E45E0" w:rsidRDefault="005E42A3" w:rsidP="009553C9">
      <w:pPr>
        <w:pStyle w:val="Caption"/>
        <w:keepNext/>
        <w:spacing w:before="0" w:after="0" w:line="360" w:lineRule="auto"/>
        <w:ind w:firstLine="0"/>
        <w:rPr>
          <w:rFonts w:ascii="Times" w:hAnsi="Times"/>
          <w:b/>
          <w:bCs/>
          <w:i w:val="0"/>
          <w:iCs w:val="0"/>
          <w:color w:val="000000" w:themeColor="text1"/>
          <w:sz w:val="24"/>
          <w:szCs w:val="24"/>
        </w:rPr>
      </w:pPr>
      <w:r w:rsidRPr="003E45E0">
        <w:rPr>
          <w:rFonts w:ascii="Times" w:hAnsi="Times"/>
          <w:b/>
          <w:bCs/>
          <w:i w:val="0"/>
          <w:iCs w:val="0"/>
          <w:color w:val="000000" w:themeColor="text1"/>
          <w:sz w:val="24"/>
          <w:szCs w:val="24"/>
        </w:rPr>
        <w:lastRenderedPageBreak/>
        <w:t>Supplementary</w:t>
      </w:r>
      <w:r w:rsidR="000A04D3" w:rsidRPr="003E45E0">
        <w:rPr>
          <w:rFonts w:ascii="Times" w:hAnsi="Times"/>
          <w:b/>
          <w:bCs/>
          <w:i w:val="0"/>
          <w:iCs w:val="0"/>
          <w:color w:val="000000" w:themeColor="text1"/>
          <w:sz w:val="24"/>
          <w:szCs w:val="24"/>
        </w:rPr>
        <w:t xml:space="preserve"> </w:t>
      </w:r>
      <w:r w:rsidR="009553C9" w:rsidRPr="003E45E0">
        <w:rPr>
          <w:rFonts w:ascii="Times" w:hAnsi="Times"/>
          <w:b/>
          <w:bCs/>
          <w:i w:val="0"/>
          <w:iCs w:val="0"/>
          <w:color w:val="000000" w:themeColor="text1"/>
          <w:sz w:val="24"/>
          <w:szCs w:val="24"/>
        </w:rPr>
        <w:t>Information 2:</w:t>
      </w:r>
    </w:p>
    <w:p w14:paraId="7AA7FE18" w14:textId="7CE75B91" w:rsidR="000A04D3" w:rsidRPr="003E45E0" w:rsidRDefault="000A04D3" w:rsidP="009553C9">
      <w:pPr>
        <w:pStyle w:val="Caption"/>
        <w:keepNext/>
        <w:spacing w:before="0" w:after="0" w:line="360" w:lineRule="auto"/>
        <w:ind w:firstLine="0"/>
        <w:rPr>
          <w:rFonts w:ascii="Times" w:hAnsi="Times"/>
          <w:i w:val="0"/>
          <w:iCs w:val="0"/>
          <w:color w:val="000000" w:themeColor="text1"/>
          <w:sz w:val="24"/>
          <w:szCs w:val="24"/>
        </w:rPr>
      </w:pPr>
      <w:r w:rsidRPr="003E45E0">
        <w:rPr>
          <w:rFonts w:ascii="Times" w:hAnsi="Times"/>
          <w:i w:val="0"/>
          <w:iCs w:val="0"/>
          <w:color w:val="000000" w:themeColor="text1"/>
          <w:sz w:val="24"/>
          <w:szCs w:val="24"/>
        </w:rPr>
        <w:t xml:space="preserve">Table </w:t>
      </w:r>
      <w:r w:rsidRPr="003E45E0">
        <w:rPr>
          <w:rFonts w:ascii="Times" w:hAnsi="Times"/>
          <w:i w:val="0"/>
          <w:iCs w:val="0"/>
          <w:color w:val="000000" w:themeColor="text1"/>
          <w:sz w:val="24"/>
          <w:szCs w:val="24"/>
        </w:rPr>
        <w:fldChar w:fldCharType="begin"/>
      </w:r>
      <w:r w:rsidRPr="003E45E0">
        <w:rPr>
          <w:rFonts w:ascii="Times" w:hAnsi="Times"/>
          <w:i w:val="0"/>
          <w:iCs w:val="0"/>
          <w:color w:val="000000" w:themeColor="text1"/>
          <w:sz w:val="24"/>
          <w:szCs w:val="24"/>
        </w:rPr>
        <w:instrText xml:space="preserve"> SEQ Appendix_Table \* ARABIC </w:instrText>
      </w:r>
      <w:r w:rsidRPr="003E45E0">
        <w:rPr>
          <w:rFonts w:ascii="Times" w:hAnsi="Times"/>
          <w:i w:val="0"/>
          <w:iCs w:val="0"/>
          <w:color w:val="000000" w:themeColor="text1"/>
          <w:sz w:val="24"/>
          <w:szCs w:val="24"/>
        </w:rPr>
        <w:fldChar w:fldCharType="separate"/>
      </w:r>
      <w:r w:rsidR="00626600">
        <w:rPr>
          <w:rFonts w:ascii="Times" w:hAnsi="Times"/>
          <w:i w:val="0"/>
          <w:iCs w:val="0"/>
          <w:noProof/>
          <w:color w:val="000000" w:themeColor="text1"/>
          <w:sz w:val="24"/>
          <w:szCs w:val="24"/>
        </w:rPr>
        <w:t>6</w:t>
      </w:r>
      <w:r w:rsidRPr="003E45E0">
        <w:rPr>
          <w:rFonts w:ascii="Times" w:hAnsi="Times"/>
          <w:i w:val="0"/>
          <w:iCs w:val="0"/>
          <w:color w:val="000000" w:themeColor="text1"/>
          <w:sz w:val="24"/>
          <w:szCs w:val="24"/>
        </w:rPr>
        <w:fldChar w:fldCharType="end"/>
      </w:r>
      <w:bookmarkEnd w:id="2"/>
      <w:r w:rsidR="009553C9" w:rsidRPr="003E45E0">
        <w:rPr>
          <w:rFonts w:ascii="Times" w:hAnsi="Times"/>
          <w:i w:val="0"/>
          <w:iCs w:val="0"/>
          <w:color w:val="000000" w:themeColor="text1"/>
          <w:sz w:val="24"/>
          <w:szCs w:val="24"/>
        </w:rPr>
        <w:t xml:space="preserve">. </w:t>
      </w:r>
      <w:r w:rsidRPr="003E45E0">
        <w:rPr>
          <w:rFonts w:ascii="Times" w:hAnsi="Times"/>
          <w:i w:val="0"/>
          <w:iCs w:val="0"/>
          <w:color w:val="000000" w:themeColor="text1"/>
          <w:sz w:val="24"/>
          <w:szCs w:val="24"/>
        </w:rPr>
        <w:t>Literature o</w:t>
      </w:r>
      <w:r w:rsidR="009553C9" w:rsidRPr="003E45E0">
        <w:rPr>
          <w:rFonts w:ascii="Times" w:hAnsi="Times"/>
          <w:i w:val="0"/>
          <w:iCs w:val="0"/>
          <w:color w:val="000000" w:themeColor="text1"/>
          <w:sz w:val="24"/>
          <w:szCs w:val="24"/>
        </w:rPr>
        <w:t>n</w:t>
      </w:r>
      <w:r w:rsidRPr="003E45E0">
        <w:rPr>
          <w:rFonts w:ascii="Times" w:hAnsi="Times"/>
          <w:i w:val="0"/>
          <w:iCs w:val="0"/>
          <w:color w:val="000000" w:themeColor="text1"/>
          <w:sz w:val="24"/>
          <w:szCs w:val="24"/>
        </w:rPr>
        <w:t xml:space="preserve"> smart user identification</w:t>
      </w:r>
    </w:p>
    <w:tbl>
      <w:tblPr>
        <w:tblStyle w:val="GridTable2-Accent6"/>
        <w:tblW w:w="9072" w:type="dxa"/>
        <w:tblLayout w:type="fixed"/>
        <w:tblLook w:val="04A0" w:firstRow="1" w:lastRow="0" w:firstColumn="1" w:lastColumn="0" w:noHBand="0" w:noVBand="1"/>
      </w:tblPr>
      <w:tblGrid>
        <w:gridCol w:w="1694"/>
        <w:gridCol w:w="725"/>
        <w:gridCol w:w="1512"/>
        <w:gridCol w:w="5141"/>
      </w:tblGrid>
      <w:tr w:rsidR="00561BE1" w:rsidRPr="009553C9" w14:paraId="002EE690" w14:textId="77777777" w:rsidTr="00645F7C">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70AD47" w:themeColor="accent6"/>
              <w:right w:val="single" w:sz="12" w:space="0" w:color="70AD47" w:themeColor="accent6"/>
            </w:tcBorders>
            <w:shd w:val="clear" w:color="auto" w:fill="F2FFEC"/>
            <w:hideMark/>
          </w:tcPr>
          <w:p w14:paraId="63E5B98B" w14:textId="77777777" w:rsidR="00E37020" w:rsidRPr="009553C9" w:rsidRDefault="00E37020" w:rsidP="009553C9">
            <w:pPr>
              <w:ind w:firstLine="0"/>
              <w:rPr>
                <w:sz w:val="20"/>
                <w:szCs w:val="20"/>
              </w:rPr>
            </w:pPr>
            <w:r w:rsidRPr="009553C9">
              <w:rPr>
                <w:sz w:val="20"/>
                <w:szCs w:val="20"/>
              </w:rPr>
              <w:t>Responsiveness Indicator</w:t>
            </w:r>
          </w:p>
        </w:tc>
        <w:tc>
          <w:tcPr>
            <w:tcW w:w="0" w:type="dxa"/>
            <w:gridSpan w:val="2"/>
            <w:tcBorders>
              <w:top w:val="single" w:sz="18" w:space="0" w:color="70AD47" w:themeColor="accent6"/>
              <w:left w:val="single" w:sz="12" w:space="0" w:color="70AD47" w:themeColor="accent6"/>
              <w:bottom w:val="single" w:sz="2" w:space="0" w:color="A8D08D" w:themeColor="accent6" w:themeTint="99"/>
              <w:right w:val="single" w:sz="12" w:space="0" w:color="70AD47" w:themeColor="accent6"/>
            </w:tcBorders>
            <w:shd w:val="clear" w:color="auto" w:fill="F2FFEC"/>
            <w:hideMark/>
          </w:tcPr>
          <w:p w14:paraId="2FC153B2" w14:textId="49D3017F" w:rsidR="00E37020" w:rsidRPr="009553C9" w:rsidRDefault="00E37020" w:rsidP="009553C9">
            <w:pPr>
              <w:ind w:firstLine="0"/>
              <w:cnfStyle w:val="100000000000" w:firstRow="1" w:lastRow="0" w:firstColumn="0" w:lastColumn="0" w:oddVBand="0" w:evenVBand="0" w:oddHBand="0" w:evenHBand="0" w:firstRowFirstColumn="0" w:firstRowLastColumn="0" w:lastRowFirstColumn="0" w:lastRowLastColumn="0"/>
              <w:rPr>
                <w:sz w:val="20"/>
                <w:szCs w:val="20"/>
              </w:rPr>
            </w:pPr>
            <w:r w:rsidRPr="009553C9">
              <w:rPr>
                <w:sz w:val="20"/>
                <w:szCs w:val="20"/>
              </w:rPr>
              <w:t>Publications</w:t>
            </w:r>
          </w:p>
        </w:tc>
        <w:tc>
          <w:tcPr>
            <w:tcW w:w="0" w:type="dxa"/>
            <w:tcBorders>
              <w:top w:val="single" w:sz="18" w:space="0" w:color="70AD47" w:themeColor="accent6"/>
              <w:left w:val="single" w:sz="12" w:space="0" w:color="70AD47" w:themeColor="accent6"/>
            </w:tcBorders>
            <w:shd w:val="clear" w:color="auto" w:fill="F2FFEC"/>
            <w:hideMark/>
          </w:tcPr>
          <w:p w14:paraId="09B50289" w14:textId="43B271B7" w:rsidR="00E37020" w:rsidRPr="009553C9" w:rsidRDefault="00E37020" w:rsidP="009553C9">
            <w:pPr>
              <w:ind w:firstLine="0"/>
              <w:cnfStyle w:val="100000000000" w:firstRow="1" w:lastRow="0" w:firstColumn="0" w:lastColumn="0" w:oddVBand="0" w:evenVBand="0" w:oddHBand="0" w:evenHBand="0" w:firstRowFirstColumn="0" w:firstRowLastColumn="0" w:lastRowFirstColumn="0" w:lastRowLastColumn="0"/>
              <w:rPr>
                <w:sz w:val="20"/>
                <w:szCs w:val="20"/>
              </w:rPr>
            </w:pPr>
            <w:r w:rsidRPr="009553C9">
              <w:rPr>
                <w:sz w:val="20"/>
                <w:szCs w:val="20"/>
              </w:rPr>
              <w:t>Methodology</w:t>
            </w:r>
          </w:p>
        </w:tc>
      </w:tr>
      <w:tr w:rsidR="00645F7C" w:rsidRPr="009553C9" w14:paraId="49B9E2FA" w14:textId="77777777" w:rsidTr="00645F7C">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694" w:type="dxa"/>
            <w:vMerge w:val="restart"/>
            <w:tcBorders>
              <w:right w:val="single" w:sz="12" w:space="0" w:color="70AD47" w:themeColor="accent6"/>
            </w:tcBorders>
            <w:shd w:val="clear" w:color="auto" w:fill="auto"/>
            <w:hideMark/>
          </w:tcPr>
          <w:p w14:paraId="224FDCE9" w14:textId="77777777" w:rsidR="005F36B6" w:rsidRPr="009553C9" w:rsidRDefault="005F36B6" w:rsidP="009553C9">
            <w:pPr>
              <w:ind w:firstLine="0"/>
              <w:rPr>
                <w:b w:val="0"/>
                <w:i/>
                <w:sz w:val="20"/>
                <w:szCs w:val="20"/>
              </w:rPr>
            </w:pPr>
            <w:r w:rsidRPr="009553C9">
              <w:rPr>
                <w:sz w:val="20"/>
                <w:szCs w:val="20"/>
              </w:rPr>
              <w:t>Thermal sensitivity</w:t>
            </w:r>
          </w:p>
        </w:tc>
        <w:tc>
          <w:tcPr>
            <w:tcW w:w="725" w:type="dxa"/>
            <w:tcBorders>
              <w:left w:val="single" w:sz="12" w:space="0" w:color="70AD47" w:themeColor="accent6"/>
              <w:right w:val="nil"/>
            </w:tcBorders>
            <w:hideMark/>
          </w:tcPr>
          <w:p w14:paraId="6CDA8BC5" w14:textId="2AE863EE"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1nlt2q1r4h","properties":{"formattedCitation":"[46]","plainCitation":"[46]","noteIndex":0},"citationItems":[{"id":740,"uris":["http://zotero.org/users/2089623/items/UQUSJID9"],"uri":["http://zotero.org/users/2089623/items/UQUSJID9"],"itemData":{"id":740,"type":"article-journal","abstract":"Selecting customers for demand response (DR) programs is challenging, and existing methodologies are hard to scale and poor in performance. The existing methods are limited by lack of temporal consumption information at the individual customer level. We propose a scalable methodology for DR program targeting utilizing novel data available from individual-level smart meters. The approach relies on formulating the problem as a stochastic knapsack problem involving predicted customer responses. A novel and efficient approximation algorithm is developed so it can scale to problems involving millions of customers. The methodology is tested experimentally using real smart meter data in more than 58k residential households.","container-title":"IEEE Transactions on Smart Grid","DOI":"10.1109/TSG.2015.2480841","ISSN":"1949-3061","issue":"5","page":"2199-2207","source":"IEEE Xplore","title":"Data-driven targeting of customers for demand response","volume":"7","author":[{"family":"Kwac","given":"Jungsuk"},{"family":"Rajagopal","given":"Ram"}],"issued":{"date-parts":[["2016",9]]}}}],"schema":"https://github.com/citation-style-language/schema/raw/master/csl-citation.json"} </w:instrText>
            </w:r>
            <w:r w:rsidRPr="009553C9">
              <w:rPr>
                <w:sz w:val="20"/>
                <w:szCs w:val="20"/>
              </w:rPr>
              <w:fldChar w:fldCharType="separate"/>
            </w:r>
            <w:r w:rsidRPr="009553C9">
              <w:rPr>
                <w:sz w:val="20"/>
                <w:szCs w:val="20"/>
              </w:rPr>
              <w:t>[46]</w:t>
            </w:r>
            <w:r w:rsidRPr="009553C9">
              <w:rPr>
                <w:sz w:val="20"/>
                <w:szCs w:val="20"/>
              </w:rPr>
              <w:fldChar w:fldCharType="end"/>
            </w:r>
          </w:p>
        </w:tc>
        <w:tc>
          <w:tcPr>
            <w:tcW w:w="1512" w:type="dxa"/>
            <w:tcBorders>
              <w:left w:val="nil"/>
              <w:right w:val="single" w:sz="12" w:space="0" w:color="70AD47" w:themeColor="accent6"/>
            </w:tcBorders>
          </w:tcPr>
          <w:p w14:paraId="392BCCC2" w14:textId="77777777" w:rsidR="005F36B6" w:rsidRPr="009553C9" w:rsidRDefault="00F52AD4" w:rsidP="009553C9">
            <w:pPr>
              <w:ind w:firstLine="0"/>
              <w:cnfStyle w:val="000000100000" w:firstRow="0" w:lastRow="0" w:firstColumn="0" w:lastColumn="0" w:oddVBand="0" w:evenVBand="0" w:oddHBand="1" w:evenHBand="0" w:firstRowFirstColumn="0" w:firstRowLastColumn="0" w:lastRowFirstColumn="0" w:lastRowLastColumn="0"/>
              <w:rPr>
                <w:color w:val="333333"/>
                <w:sz w:val="20"/>
                <w:szCs w:val="20"/>
              </w:rPr>
            </w:pPr>
            <w:r w:rsidRPr="009553C9">
              <w:rPr>
                <w:color w:val="333333"/>
                <w:sz w:val="20"/>
                <w:szCs w:val="20"/>
              </w:rPr>
              <w:t xml:space="preserve">Kwac and Rajagopal </w:t>
            </w:r>
          </w:p>
          <w:p w14:paraId="7AB093B5" w14:textId="57F79669" w:rsidR="00F52AD4" w:rsidRPr="009553C9" w:rsidRDefault="00F52AD4" w:rsidP="009553C9">
            <w:pPr>
              <w:ind w:firstLine="0"/>
              <w:cnfStyle w:val="000000100000" w:firstRow="0" w:lastRow="0" w:firstColumn="0" w:lastColumn="0" w:oddVBand="0" w:evenVBand="0" w:oddHBand="1" w:evenHBand="0" w:firstRowFirstColumn="0" w:firstRowLastColumn="0" w:lastRowFirstColumn="0" w:lastRowLastColumn="0"/>
              <w:rPr>
                <w:color w:val="333333"/>
                <w:sz w:val="20"/>
                <w:szCs w:val="20"/>
              </w:rPr>
            </w:pPr>
            <w:r w:rsidRPr="009553C9">
              <w:rPr>
                <w:color w:val="333333"/>
                <w:sz w:val="20"/>
                <w:szCs w:val="20"/>
              </w:rPr>
              <w:t>(2016)</w:t>
            </w:r>
          </w:p>
        </w:tc>
        <w:tc>
          <w:tcPr>
            <w:tcW w:w="5141" w:type="dxa"/>
            <w:tcBorders>
              <w:left w:val="single" w:sz="12" w:space="0" w:color="70AD47" w:themeColor="accent6"/>
            </w:tcBorders>
            <w:hideMark/>
          </w:tcPr>
          <w:p w14:paraId="1730E47A" w14:textId="26B4A1D1"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color w:val="333333"/>
                <w:sz w:val="20"/>
                <w:szCs w:val="20"/>
              </w:rPr>
              <w:t xml:space="preserve">Thermal sensitivity is assumed to be the energy reduction potential. </w:t>
            </w:r>
            <w:r w:rsidRPr="009553C9">
              <w:rPr>
                <w:sz w:val="20"/>
                <w:szCs w:val="20"/>
              </w:rPr>
              <w:t>A break point model was used to estimate the reduction response based on the customer's thermal sensitivity, i.e., the energy consumption increments due to temperature change.</w:t>
            </w:r>
          </w:p>
        </w:tc>
      </w:tr>
      <w:tr w:rsidR="00645F7C" w:rsidRPr="009553C9" w14:paraId="33FC4694" w14:textId="77777777" w:rsidTr="00645F7C">
        <w:trPr>
          <w:trHeight w:val="794"/>
        </w:trPr>
        <w:tc>
          <w:tcPr>
            <w:cnfStyle w:val="001000000000" w:firstRow="0" w:lastRow="0" w:firstColumn="1" w:lastColumn="0" w:oddVBand="0" w:evenVBand="0" w:oddHBand="0" w:evenHBand="0" w:firstRowFirstColumn="0" w:firstRowLastColumn="0" w:lastRowFirstColumn="0" w:lastRowLastColumn="0"/>
            <w:tcW w:w="1694" w:type="dxa"/>
            <w:vMerge/>
            <w:tcBorders>
              <w:right w:val="single" w:sz="12" w:space="0" w:color="70AD47" w:themeColor="accent6"/>
            </w:tcBorders>
            <w:shd w:val="clear" w:color="auto" w:fill="auto"/>
            <w:hideMark/>
          </w:tcPr>
          <w:p w14:paraId="7B4575AC" w14:textId="77777777" w:rsidR="005F36B6" w:rsidRPr="009553C9" w:rsidRDefault="005F36B6" w:rsidP="009553C9">
            <w:pPr>
              <w:ind w:firstLine="0"/>
              <w:rPr>
                <w:b w:val="0"/>
                <w:i/>
                <w:color w:val="000000"/>
                <w:sz w:val="20"/>
                <w:szCs w:val="20"/>
              </w:rPr>
            </w:pPr>
          </w:p>
        </w:tc>
        <w:tc>
          <w:tcPr>
            <w:tcW w:w="725" w:type="dxa"/>
            <w:tcBorders>
              <w:left w:val="single" w:sz="12" w:space="0" w:color="70AD47" w:themeColor="accent6"/>
              <w:right w:val="nil"/>
            </w:tcBorders>
            <w:hideMark/>
          </w:tcPr>
          <w:p w14:paraId="32C0340E" w14:textId="68FF4E90"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1e29ascdv8","properties":{"formattedCitation":"[47]","plainCitation":"[47]","noteIndex":0},"citationItems":[{"id":467,"uris":["http://zotero.org/users/2089623/items/G7V2HC2W"],"uri":["http://zotero.org/users/2089623/items/G7V2HC2W"],"itemData":{"id":467,"type":"article-journal","container-title":"IEEE Transactions on Smart Grid","issue":"2","page":"1501–1508","source":"Google Scholar","title":"Efficient customer selection process for various DR objectives","volume":"10","author":[{"family":"Kwac","given":"Jungsuk"},{"family":"Kim","given":"Jung In"},{"family":"Rajagopal","given":"Ram"}],"issued":{"date-parts":[["2017"]]}}}],"schema":"https://github.com/citation-style-language/schema/raw/master/csl-citation.json"} </w:instrText>
            </w:r>
            <w:r w:rsidRPr="009553C9">
              <w:rPr>
                <w:sz w:val="20"/>
                <w:szCs w:val="20"/>
              </w:rPr>
              <w:fldChar w:fldCharType="separate"/>
            </w:r>
            <w:r w:rsidRPr="009553C9">
              <w:rPr>
                <w:sz w:val="20"/>
                <w:szCs w:val="20"/>
              </w:rPr>
              <w:t>[47]</w:t>
            </w:r>
            <w:r w:rsidRPr="009553C9">
              <w:rPr>
                <w:sz w:val="20"/>
                <w:szCs w:val="20"/>
              </w:rPr>
              <w:fldChar w:fldCharType="end"/>
            </w:r>
          </w:p>
        </w:tc>
        <w:tc>
          <w:tcPr>
            <w:tcW w:w="1512" w:type="dxa"/>
            <w:tcBorders>
              <w:left w:val="nil"/>
              <w:right w:val="single" w:sz="12" w:space="0" w:color="70AD47" w:themeColor="accent6"/>
            </w:tcBorders>
          </w:tcPr>
          <w:p w14:paraId="7F8FA83C" w14:textId="77777777" w:rsidR="005F36B6" w:rsidRPr="009553C9" w:rsidRDefault="00F52AD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Kwac et al </w:t>
            </w:r>
          </w:p>
          <w:p w14:paraId="4A138790" w14:textId="30E3650D" w:rsidR="00F52AD4" w:rsidRPr="009553C9" w:rsidRDefault="00F52AD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(2017)</w:t>
            </w:r>
          </w:p>
        </w:tc>
        <w:tc>
          <w:tcPr>
            <w:tcW w:w="5141" w:type="dxa"/>
            <w:tcBorders>
              <w:left w:val="single" w:sz="12" w:space="0" w:color="70AD47" w:themeColor="accent6"/>
            </w:tcBorders>
            <w:hideMark/>
          </w:tcPr>
          <w:p w14:paraId="1299DE92" w14:textId="6B686388"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Improve</w:t>
            </w:r>
            <w:r w:rsidR="006E7F5C">
              <w:rPr>
                <w:sz w:val="20"/>
                <w:szCs w:val="20"/>
              </w:rPr>
              <w:t>d</w:t>
            </w:r>
            <w:r w:rsidRPr="009553C9">
              <w:rPr>
                <w:sz w:val="20"/>
                <w:szCs w:val="20"/>
              </w:rPr>
              <w:t xml:space="preserve"> Kwac and Rajagopal (2016) by including a compliance factor under voluntary programme. </w:t>
            </w:r>
            <w:r w:rsidRPr="009553C9">
              <w:rPr>
                <w:color w:val="333333"/>
                <w:sz w:val="20"/>
                <w:szCs w:val="20"/>
              </w:rPr>
              <w:t>Thermal sensitivity again is assumed to be the energy reduction potential.</w:t>
            </w:r>
          </w:p>
        </w:tc>
      </w:tr>
      <w:tr w:rsidR="00645F7C" w:rsidRPr="009553C9" w14:paraId="2A7862B1" w14:textId="77777777" w:rsidTr="00645F7C">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694" w:type="dxa"/>
            <w:vMerge/>
            <w:tcBorders>
              <w:right w:val="single" w:sz="12" w:space="0" w:color="70AD47" w:themeColor="accent6"/>
            </w:tcBorders>
            <w:shd w:val="clear" w:color="auto" w:fill="auto"/>
            <w:hideMark/>
          </w:tcPr>
          <w:p w14:paraId="702C76CD" w14:textId="77777777" w:rsidR="005F36B6" w:rsidRPr="009553C9" w:rsidRDefault="005F36B6" w:rsidP="009553C9">
            <w:pPr>
              <w:ind w:firstLine="0"/>
              <w:rPr>
                <w:b w:val="0"/>
                <w:i/>
                <w:color w:val="000000"/>
                <w:sz w:val="20"/>
                <w:szCs w:val="20"/>
              </w:rPr>
            </w:pPr>
          </w:p>
        </w:tc>
        <w:tc>
          <w:tcPr>
            <w:tcW w:w="725" w:type="dxa"/>
            <w:tcBorders>
              <w:left w:val="single" w:sz="12" w:space="0" w:color="70AD47" w:themeColor="accent6"/>
              <w:right w:val="nil"/>
            </w:tcBorders>
            <w:hideMark/>
          </w:tcPr>
          <w:p w14:paraId="74D68AE9" w14:textId="518F5739"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pqlu0tb3k","properties":{"formattedCitation":"[51]","plainCitation":"[51]","noteIndex":0},"citationItems":[{"id":760,"uris":["http://zotero.org/users/2089623/items/S957PQKL"],"uri":["http://zotero.org/users/2089623/items/S957PQKL"],"itemData":{"id":760,"type":"paper-conference","abstract":"Smart cities will have better managed smart grids thanks to demand response (DR) programs using thermostatically controlled loads (TCL). Selecting suitable customers is an essential part of a successful residential DR program. The current recruitment methodologies aim to enroll as many participants as possible. This method is costly as there is a cost associated with each recruitment such as providing the customers with remotely controllable air-conditioning systems. DR operators can reduce their cost by recruiting the customers that are more likely to be effective in the DR programs. In this paper, the customers' thermal sensitivity (CTS) is obtained from a modified breakpoint model to identify the customers with high demand reduction potential in a TLC-DR program. Specifically, the linear regression break-point model is extended by taking into account the impact of time to identify CTS using the noisy smart meter data of individual customers. The effectiveness of this customer selection methodology is tested with the real DR data of fifty-two residential customers in a DR trial conducted in Australia. The results show that customers with higher CTS contribute about four times more to the TCL-DR program compared to the customers with low CTS.","container-title":"2019 7th International Istanbul Smart Grids and Cities Congress and Fair (ICSG)","DOI":"10.1109/SGCF.2019.8782293","event":"2019 7th International Istanbul Smart Grids and Cities Congress and Fair (ICSG)","note":"ISSN: null","page":"99-103","source":"IEEE Xplore","title":"Customer selection for residential demand response with thermostatically controlled loads","author":[{"family":"Jazaeri","given":"Javad"},{"family":"Alpcan","given":"Tansu"},{"family":"Gordon","given":"Robert L."}],"issued":{"date-parts":[["2019",4]]}}}],"schema":"https://github.com/citation-style-language/schema/raw/master/csl-citation.json"} </w:instrText>
            </w:r>
            <w:r w:rsidRPr="009553C9">
              <w:rPr>
                <w:sz w:val="20"/>
                <w:szCs w:val="20"/>
              </w:rPr>
              <w:fldChar w:fldCharType="separate"/>
            </w:r>
            <w:r w:rsidRPr="009553C9">
              <w:rPr>
                <w:sz w:val="20"/>
                <w:szCs w:val="20"/>
              </w:rPr>
              <w:t>[</w:t>
            </w:r>
            <w:r w:rsidR="00891F4D">
              <w:rPr>
                <w:sz w:val="20"/>
                <w:szCs w:val="20"/>
              </w:rPr>
              <w:t>48</w:t>
            </w:r>
            <w:r w:rsidRPr="009553C9">
              <w:rPr>
                <w:sz w:val="20"/>
                <w:szCs w:val="20"/>
              </w:rPr>
              <w:t>]</w:t>
            </w:r>
            <w:r w:rsidRPr="009553C9">
              <w:rPr>
                <w:sz w:val="20"/>
                <w:szCs w:val="20"/>
              </w:rPr>
              <w:fldChar w:fldCharType="end"/>
            </w:r>
          </w:p>
        </w:tc>
        <w:tc>
          <w:tcPr>
            <w:tcW w:w="1512" w:type="dxa"/>
            <w:tcBorders>
              <w:left w:val="nil"/>
              <w:right w:val="single" w:sz="12" w:space="0" w:color="70AD47" w:themeColor="accent6"/>
            </w:tcBorders>
          </w:tcPr>
          <w:p w14:paraId="15D24D62" w14:textId="77777777" w:rsidR="005F36B6" w:rsidRPr="009553C9" w:rsidRDefault="00F52AD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 xml:space="preserve">Jazaeri et al </w:t>
            </w:r>
          </w:p>
          <w:p w14:paraId="60AEF5EA" w14:textId="720ED1C0" w:rsidR="00F52AD4" w:rsidRPr="009553C9" w:rsidRDefault="00F52AD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(2019)</w:t>
            </w:r>
          </w:p>
        </w:tc>
        <w:tc>
          <w:tcPr>
            <w:tcW w:w="5141" w:type="dxa"/>
            <w:tcBorders>
              <w:left w:val="single" w:sz="12" w:space="0" w:color="70AD47" w:themeColor="accent6"/>
            </w:tcBorders>
            <w:hideMark/>
          </w:tcPr>
          <w:p w14:paraId="659BF0F9" w14:textId="6A447E52"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 xml:space="preserve">Another improvement on Kwac and Rajagopal (2016).  Built a break point model by taking into account effects such as the day of the week </w:t>
            </w:r>
          </w:p>
        </w:tc>
      </w:tr>
      <w:tr w:rsidR="00645F7C" w:rsidRPr="009553C9" w14:paraId="2EC8D413" w14:textId="77777777" w:rsidTr="00645F7C">
        <w:trPr>
          <w:trHeight w:val="794"/>
        </w:trPr>
        <w:tc>
          <w:tcPr>
            <w:cnfStyle w:val="001000000000" w:firstRow="0" w:lastRow="0" w:firstColumn="1" w:lastColumn="0" w:oddVBand="0" w:evenVBand="0" w:oddHBand="0" w:evenHBand="0" w:firstRowFirstColumn="0" w:firstRowLastColumn="0" w:lastRowFirstColumn="0" w:lastRowLastColumn="0"/>
            <w:tcW w:w="1694" w:type="dxa"/>
            <w:vMerge/>
            <w:tcBorders>
              <w:bottom w:val="single" w:sz="12" w:space="0" w:color="70AD47" w:themeColor="accent6"/>
              <w:right w:val="single" w:sz="12" w:space="0" w:color="70AD47" w:themeColor="accent6"/>
            </w:tcBorders>
            <w:shd w:val="clear" w:color="auto" w:fill="auto"/>
            <w:hideMark/>
          </w:tcPr>
          <w:p w14:paraId="676ED8CB" w14:textId="77777777" w:rsidR="005F36B6" w:rsidRPr="009553C9" w:rsidRDefault="005F36B6" w:rsidP="009553C9">
            <w:pPr>
              <w:ind w:firstLine="0"/>
              <w:rPr>
                <w:b w:val="0"/>
                <w:i/>
                <w:color w:val="333333"/>
                <w:sz w:val="20"/>
                <w:szCs w:val="20"/>
              </w:rPr>
            </w:pPr>
          </w:p>
        </w:tc>
        <w:tc>
          <w:tcPr>
            <w:tcW w:w="725" w:type="dxa"/>
            <w:tcBorders>
              <w:left w:val="single" w:sz="12" w:space="0" w:color="70AD47" w:themeColor="accent6"/>
              <w:bottom w:val="single" w:sz="12" w:space="0" w:color="70AD47" w:themeColor="accent6"/>
              <w:right w:val="nil"/>
            </w:tcBorders>
            <w:hideMark/>
          </w:tcPr>
          <w:p w14:paraId="227FE24D" w14:textId="031206BE"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2o4u172qb6","properties":{"formattedCitation":"[52]","plainCitation":"[52]","noteIndex":0},"citationItems":[{"id":742,"uris":["http://zotero.org/users/2089623/items/QJ2W9JMF"],"uri":["http://zotero.org/users/2089623/items/QJ2W9JMF"],"itemData":{"id":742,"type":"paper-conference","abstract":"The uncertain and volatile nature of renewable energy tends to cause imbalance in the supply and demand of electricity. Residential demand response has emerged as a methodology to alleviate such imbalances in the electricity grid. By utilizing the flexibility of the electricity demand, residential demand response programs offer monetary incentives to the customers to bring about temporary reductions in energy consumption when the grid faces supply shortage or is overloaded. Utilities are interested in enrolling residential customers in their demand response programs in order to maintain a healthy demand-supply balance. Selecting the right set of customers for this is a demanding task, and what makes it even more challenging is the lack of use of the temporal consumption data in the existing customer recruiting methodologies. In this paper, by utilizing the granular smart meter data, we develop a methodology that estimates a customer's potential reduction in consumption based on his/her sensitivity to external temperature, which is then used to train a mixture density recurrent neural network. The network outputs the probability distribution of the demand reduction of the customer. The results can be utilized to accurately select customers, which can then ensure the reliable performance of the demand response program.","container-title":"2019 North American Power Symposium (NAPS)","DOI":"10.1109/NAPS46351.2019.9000246","event":"2019 North American Power Symposium (NAPS)","note":"ISSN: null","page":"1-6","source":"IEEE Xplore","title":"Identification of the potential of residential demand response using artificial neural networks","author":[{"family":"Shirsat","given":"Ashwin"},{"family":"Tang","given":"Wenyuan"}],"issued":{"date-parts":[["2019",10]]}}}],"schema":"https://github.com/citation-style-language/schema/raw/master/csl-citation.json"} </w:instrText>
            </w:r>
            <w:r w:rsidRPr="009553C9">
              <w:rPr>
                <w:sz w:val="20"/>
                <w:szCs w:val="20"/>
              </w:rPr>
              <w:fldChar w:fldCharType="separate"/>
            </w:r>
            <w:r w:rsidRPr="009553C9">
              <w:rPr>
                <w:sz w:val="20"/>
                <w:szCs w:val="20"/>
              </w:rPr>
              <w:t>[</w:t>
            </w:r>
            <w:r w:rsidR="00891F4D">
              <w:rPr>
                <w:sz w:val="20"/>
                <w:szCs w:val="20"/>
              </w:rPr>
              <w:t>49</w:t>
            </w:r>
            <w:r w:rsidRPr="009553C9">
              <w:rPr>
                <w:sz w:val="20"/>
                <w:szCs w:val="20"/>
              </w:rPr>
              <w:t>]</w:t>
            </w:r>
            <w:r w:rsidRPr="009553C9">
              <w:rPr>
                <w:sz w:val="20"/>
                <w:szCs w:val="20"/>
              </w:rPr>
              <w:fldChar w:fldCharType="end"/>
            </w:r>
          </w:p>
        </w:tc>
        <w:tc>
          <w:tcPr>
            <w:tcW w:w="1512" w:type="dxa"/>
            <w:tcBorders>
              <w:left w:val="nil"/>
              <w:bottom w:val="single" w:sz="12" w:space="0" w:color="70AD47" w:themeColor="accent6"/>
              <w:right w:val="single" w:sz="12" w:space="0" w:color="70AD47" w:themeColor="accent6"/>
            </w:tcBorders>
          </w:tcPr>
          <w:p w14:paraId="21700E2C" w14:textId="30CDD489" w:rsidR="005F36B6" w:rsidRPr="009553C9" w:rsidRDefault="00F52AD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Shirsat and Tang </w:t>
            </w:r>
          </w:p>
          <w:p w14:paraId="7AE0AF59" w14:textId="1D1C0A7B" w:rsidR="00F52AD4" w:rsidRPr="009553C9" w:rsidRDefault="00F52AD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(2019)</w:t>
            </w:r>
          </w:p>
        </w:tc>
        <w:tc>
          <w:tcPr>
            <w:tcW w:w="5141" w:type="dxa"/>
            <w:tcBorders>
              <w:left w:val="single" w:sz="12" w:space="0" w:color="70AD47" w:themeColor="accent6"/>
              <w:bottom w:val="single" w:sz="12" w:space="0" w:color="70AD47" w:themeColor="accent6"/>
            </w:tcBorders>
            <w:hideMark/>
          </w:tcPr>
          <w:p w14:paraId="1F1975CC" w14:textId="331D01F4"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As with Kwac and Rajagopal (2016), thermal sensitivity is assumed to be the energy reduction potential. An MD-RNN model was then trained to predict thermal sensitivity based on user consumption, temperature, and time stamp. The output thermal sensitivity is obtained following Kwac et al. (2017). </w:t>
            </w:r>
          </w:p>
        </w:tc>
      </w:tr>
      <w:tr w:rsidR="00645F7C" w:rsidRPr="009553C9" w14:paraId="16ED0109" w14:textId="77777777" w:rsidTr="00645F7C">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70AD47" w:themeColor="accent6"/>
              <w:bottom w:val="single" w:sz="12" w:space="0" w:color="70AD47" w:themeColor="accent6"/>
              <w:right w:val="single" w:sz="12" w:space="0" w:color="70AD47" w:themeColor="accent6"/>
            </w:tcBorders>
            <w:shd w:val="clear" w:color="auto" w:fill="auto"/>
            <w:hideMark/>
          </w:tcPr>
          <w:p w14:paraId="697CA2E2" w14:textId="77777777" w:rsidR="005F36B6" w:rsidRPr="009553C9" w:rsidRDefault="005F36B6" w:rsidP="009553C9">
            <w:pPr>
              <w:ind w:firstLine="0"/>
              <w:rPr>
                <w:b w:val="0"/>
                <w:i/>
                <w:sz w:val="20"/>
                <w:szCs w:val="20"/>
              </w:rPr>
            </w:pPr>
            <w:r w:rsidRPr="009553C9">
              <w:rPr>
                <w:sz w:val="20"/>
                <w:szCs w:val="20"/>
              </w:rPr>
              <w:t>Variability</w:t>
            </w:r>
          </w:p>
        </w:tc>
        <w:tc>
          <w:tcPr>
            <w:tcW w:w="0" w:type="dxa"/>
            <w:tcBorders>
              <w:top w:val="single" w:sz="12" w:space="0" w:color="70AD47" w:themeColor="accent6"/>
              <w:left w:val="single" w:sz="12" w:space="0" w:color="70AD47" w:themeColor="accent6"/>
              <w:bottom w:val="single" w:sz="12" w:space="0" w:color="70AD47" w:themeColor="accent6"/>
              <w:right w:val="nil"/>
            </w:tcBorders>
            <w:hideMark/>
          </w:tcPr>
          <w:p w14:paraId="6D81AAF7" w14:textId="6599631D"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1o4fh2up9o","properties":{"formattedCitation":"[48]","plainCitation":"[48]","noteIndex":0},"citationItems":[{"id":473,"uris":["http://zotero.org/users/2089623/items/JFFNGVJZ"],"uri":["http://zotero.org/users/2089623/items/JFFNGVJZ"],"itemData":{"id":473,"type":"paper-conference","abstract":"The large-scale deployment of Advanced Metering Infrastructure among residential energy customers has served as a boon for energy systems research relying on granular consumption data. Residential Demand Response aims to utilize the flexibility of consumers to reduce their energy usage during times when the grid is strained. Suitable incentive mechanisms to encourage customers to deviate from their usual behavior have to be implemented to correctly control the bids into the wholesale electricity market as a Demand Response provider. In this paper, we present a framework for shortterm load forecasting on an individual user level, and relate non-experimental estimates of Demand Response efficacy (the estimated reduction of consumption during Demand Response events) to the variability of a user's consumption. We apply our framework on a dataset from a residential Demand Response program in the Western United States. Our results suggest that users with more variable consumption patterns are more likely to reduce their consumption compared to users with a more regular consumption behavior.","container-title":"2016 IEEE 55th Conference on Decision and Control (CDC)","DOI":"10.1109/CDC.2016.7799295","event":"2016 IEEE 55th Conference on Decision and Control (CDC)","note":"ISSN: null","page":"6663-6668","source":"IEEE Xplore","title":"Residential demand response targeting using machine learning with observational data","author":[{"family":"Zhou","given":"Datong"},{"family":"Balandat","given":"Maximilian"},{"family":"Tomlin","given":"Claire"}],"issued":{"date-parts":[["2016",12]]}}}],"schema":"https://github.com/citation-style-language/schema/raw/master/csl-citation.json"} </w:instrText>
            </w:r>
            <w:r w:rsidRPr="009553C9">
              <w:rPr>
                <w:sz w:val="20"/>
                <w:szCs w:val="20"/>
              </w:rPr>
              <w:fldChar w:fldCharType="separate"/>
            </w:r>
            <w:r w:rsidRPr="009553C9">
              <w:rPr>
                <w:sz w:val="20"/>
                <w:szCs w:val="20"/>
              </w:rPr>
              <w:t>[</w:t>
            </w:r>
            <w:r w:rsidR="00891F4D">
              <w:rPr>
                <w:sz w:val="20"/>
                <w:szCs w:val="20"/>
              </w:rPr>
              <w:t>76</w:t>
            </w:r>
            <w:r w:rsidRPr="009553C9">
              <w:rPr>
                <w:sz w:val="20"/>
                <w:szCs w:val="20"/>
              </w:rPr>
              <w:t>]</w:t>
            </w:r>
            <w:r w:rsidRPr="009553C9">
              <w:rPr>
                <w:sz w:val="20"/>
                <w:szCs w:val="20"/>
              </w:rPr>
              <w:fldChar w:fldCharType="end"/>
            </w:r>
          </w:p>
          <w:p w14:paraId="2288B108" w14:textId="77777777"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0" w:type="dxa"/>
            <w:tcBorders>
              <w:top w:val="single" w:sz="12" w:space="0" w:color="70AD47" w:themeColor="accent6"/>
              <w:left w:val="nil"/>
              <w:bottom w:val="single" w:sz="12" w:space="0" w:color="70AD47" w:themeColor="accent6"/>
              <w:right w:val="single" w:sz="12" w:space="0" w:color="70AD47" w:themeColor="accent6"/>
            </w:tcBorders>
          </w:tcPr>
          <w:p w14:paraId="11E40CBA" w14:textId="2248C6CC" w:rsidR="005F36B6" w:rsidRPr="009553C9" w:rsidRDefault="00F52AD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Zhou et al</w:t>
            </w:r>
          </w:p>
          <w:p w14:paraId="5CFF4EEF" w14:textId="05341B4A" w:rsidR="00F52AD4" w:rsidRPr="009553C9" w:rsidRDefault="00F52AD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(2016)</w:t>
            </w:r>
          </w:p>
          <w:p w14:paraId="5A485F63" w14:textId="77777777" w:rsidR="00F52AD4" w:rsidRPr="009553C9" w:rsidRDefault="00F52AD4" w:rsidP="009553C9">
            <w:pPr>
              <w:cnfStyle w:val="000000100000" w:firstRow="0" w:lastRow="0" w:firstColumn="0" w:lastColumn="0" w:oddVBand="0" w:evenVBand="0" w:oddHBand="1" w:evenHBand="0" w:firstRowFirstColumn="0" w:firstRowLastColumn="0" w:lastRowFirstColumn="0" w:lastRowLastColumn="0"/>
              <w:rPr>
                <w:sz w:val="20"/>
                <w:szCs w:val="20"/>
              </w:rPr>
            </w:pPr>
          </w:p>
          <w:p w14:paraId="4ACACAA7" w14:textId="74C8E6BA" w:rsidR="00F52AD4" w:rsidRPr="009553C9" w:rsidRDefault="00F52AD4" w:rsidP="009553C9">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top w:val="single" w:sz="12" w:space="0" w:color="70AD47" w:themeColor="accent6"/>
              <w:left w:val="single" w:sz="12" w:space="0" w:color="70AD47" w:themeColor="accent6"/>
              <w:bottom w:val="single" w:sz="12" w:space="0" w:color="70AD47" w:themeColor="accent6"/>
            </w:tcBorders>
            <w:hideMark/>
          </w:tcPr>
          <w:p w14:paraId="70FC3793" w14:textId="18B3F500"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 xml:space="preserve">The authors concluded that customers who demonstrate highly variable consumption patterns have a high probability of reducing their consumption as opposed to those who have a regular consumption pattern. The study used machine learning methods for the prediction of residential energy consumption along with non-parametric hypothesis test to estimate customers' reduction during DR hours. </w:t>
            </w:r>
          </w:p>
        </w:tc>
      </w:tr>
      <w:tr w:rsidR="00645F7C" w:rsidRPr="009553C9" w14:paraId="5826C1E5" w14:textId="77777777" w:rsidTr="00645F7C">
        <w:trPr>
          <w:trHeight w:val="794"/>
        </w:trPr>
        <w:tc>
          <w:tcPr>
            <w:cnfStyle w:val="001000000000" w:firstRow="0" w:lastRow="0" w:firstColumn="1" w:lastColumn="0" w:oddVBand="0" w:evenVBand="0" w:oddHBand="0" w:evenHBand="0" w:firstRowFirstColumn="0" w:firstRowLastColumn="0" w:lastRowFirstColumn="0" w:lastRowLastColumn="0"/>
            <w:tcW w:w="1694" w:type="dxa"/>
            <w:vMerge w:val="restart"/>
            <w:tcBorders>
              <w:top w:val="single" w:sz="12" w:space="0" w:color="70AD47" w:themeColor="accent6"/>
              <w:right w:val="single" w:sz="12" w:space="0" w:color="70AD47" w:themeColor="accent6"/>
            </w:tcBorders>
            <w:shd w:val="clear" w:color="auto" w:fill="auto"/>
            <w:hideMark/>
          </w:tcPr>
          <w:p w14:paraId="1D4D68D9" w14:textId="77777777" w:rsidR="005F36B6" w:rsidRPr="009553C9" w:rsidRDefault="005F36B6" w:rsidP="009553C9">
            <w:pPr>
              <w:ind w:firstLine="0"/>
              <w:rPr>
                <w:b w:val="0"/>
                <w:i/>
                <w:sz w:val="20"/>
                <w:szCs w:val="20"/>
              </w:rPr>
            </w:pPr>
            <w:r w:rsidRPr="009553C9">
              <w:rPr>
                <w:sz w:val="20"/>
                <w:szCs w:val="20"/>
              </w:rPr>
              <w:t>Profile feature</w:t>
            </w:r>
          </w:p>
        </w:tc>
        <w:tc>
          <w:tcPr>
            <w:tcW w:w="725" w:type="dxa"/>
            <w:tcBorders>
              <w:top w:val="single" w:sz="12" w:space="0" w:color="70AD47" w:themeColor="accent6"/>
              <w:left w:val="single" w:sz="12" w:space="0" w:color="70AD47" w:themeColor="accent6"/>
              <w:right w:val="nil"/>
            </w:tcBorders>
            <w:hideMark/>
          </w:tcPr>
          <w:p w14:paraId="3DBC179C" w14:textId="487C434D" w:rsidR="005F36B6" w:rsidRPr="009553C9" w:rsidRDefault="005F36B6"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2ghqklfk3p","properties":{"formattedCitation":"[49]","plainCitation":"[49]","noteIndex":0},"citationItems":[{"id":468,"uris":["http://zotero.org/users/2089623/items/WK2HGLAQ"],"uri":["http://zotero.org/users/2089623/items/WK2HGLAQ"],"itemData":{"id":468,"type":"report","publisher":"Pacific Gas and Electric Company, Convergence Data Analytics, and Massachusets Institute of Technology","title":"Customer targeting for residential energy efficiency programs: enhancing electricity savings at the meter","URL":"https://pdfs.semanticscholar.org/12cc/9e1d448e6e4ebb6777b41c46b58827eab100.pdf","author":[{"family":"Scheer","given":"Adam"},{"family":"Borgeson","given":"Sam"},{"family":"Rosendo","given":"Kali"}],"issued":{"date-parts":[["2017"]]}}}],"schema":"https://github.com/citation-style-language/schema/raw/master/csl-citation.json"} </w:instrText>
            </w:r>
            <w:r w:rsidRPr="009553C9">
              <w:rPr>
                <w:sz w:val="20"/>
                <w:szCs w:val="20"/>
              </w:rPr>
              <w:fldChar w:fldCharType="separate"/>
            </w:r>
            <w:r w:rsidRPr="009553C9">
              <w:rPr>
                <w:sz w:val="20"/>
                <w:szCs w:val="20"/>
              </w:rPr>
              <w:t>[</w:t>
            </w:r>
            <w:r w:rsidR="00891F4D">
              <w:rPr>
                <w:sz w:val="20"/>
                <w:szCs w:val="20"/>
              </w:rPr>
              <w:t>77</w:t>
            </w:r>
            <w:r w:rsidRPr="009553C9">
              <w:rPr>
                <w:sz w:val="20"/>
                <w:szCs w:val="20"/>
              </w:rPr>
              <w:t>]</w:t>
            </w:r>
            <w:r w:rsidRPr="009553C9">
              <w:rPr>
                <w:sz w:val="20"/>
                <w:szCs w:val="20"/>
              </w:rPr>
              <w:fldChar w:fldCharType="end"/>
            </w:r>
          </w:p>
        </w:tc>
        <w:tc>
          <w:tcPr>
            <w:tcW w:w="1512" w:type="dxa"/>
            <w:tcBorders>
              <w:top w:val="single" w:sz="12" w:space="0" w:color="70AD47" w:themeColor="accent6"/>
              <w:left w:val="nil"/>
              <w:right w:val="single" w:sz="12" w:space="0" w:color="70AD47" w:themeColor="accent6"/>
            </w:tcBorders>
          </w:tcPr>
          <w:p w14:paraId="68C28E4A" w14:textId="77777777" w:rsidR="005F36B6" w:rsidRPr="009553C9" w:rsidRDefault="00F52AD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Scheer et al</w:t>
            </w:r>
          </w:p>
          <w:p w14:paraId="40AAC24D" w14:textId="02E20B33" w:rsidR="00F52AD4" w:rsidRPr="009553C9" w:rsidRDefault="00F52AD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(2017)</w:t>
            </w:r>
          </w:p>
        </w:tc>
        <w:tc>
          <w:tcPr>
            <w:tcW w:w="5141" w:type="dxa"/>
            <w:tcBorders>
              <w:top w:val="single" w:sz="12" w:space="0" w:color="70AD47" w:themeColor="accent6"/>
              <w:left w:val="single" w:sz="12" w:space="0" w:color="70AD47" w:themeColor="accent6"/>
            </w:tcBorders>
            <w:hideMark/>
          </w:tcPr>
          <w:p w14:paraId="73E2A026" w14:textId="1EBF39AA" w:rsidR="005F36B6" w:rsidRPr="009553C9" w:rsidRDefault="006E7F5C"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w:t>
            </w:r>
            <w:r w:rsidR="005F36B6" w:rsidRPr="009553C9">
              <w:rPr>
                <w:sz w:val="20"/>
                <w:szCs w:val="20"/>
              </w:rPr>
              <w:t>sed five features to select responsive users: 1. Strong correlation of consumption with temperature. 2. High ratio between summer and shoulder usage. 3. High total summer usage. 4. Strong ramp in daily profile 5. High max to min ratio.</w:t>
            </w:r>
          </w:p>
        </w:tc>
      </w:tr>
      <w:tr w:rsidR="00645F7C" w:rsidRPr="009553C9" w14:paraId="16AFB000" w14:textId="77777777" w:rsidTr="0052738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694" w:type="dxa"/>
            <w:vMerge/>
            <w:tcBorders>
              <w:bottom w:val="single" w:sz="12" w:space="0" w:color="70AD47" w:themeColor="accent6"/>
              <w:right w:val="single" w:sz="12" w:space="0" w:color="70AD47" w:themeColor="accent6"/>
            </w:tcBorders>
            <w:shd w:val="clear" w:color="auto" w:fill="auto"/>
            <w:hideMark/>
          </w:tcPr>
          <w:p w14:paraId="61E96434" w14:textId="77777777" w:rsidR="005F36B6" w:rsidRPr="009553C9" w:rsidRDefault="005F36B6" w:rsidP="009553C9">
            <w:pPr>
              <w:ind w:firstLine="0"/>
              <w:rPr>
                <w:b w:val="0"/>
                <w:i/>
                <w:color w:val="333333"/>
                <w:sz w:val="20"/>
                <w:szCs w:val="20"/>
              </w:rPr>
            </w:pPr>
          </w:p>
        </w:tc>
        <w:tc>
          <w:tcPr>
            <w:tcW w:w="725" w:type="dxa"/>
            <w:tcBorders>
              <w:left w:val="single" w:sz="12" w:space="0" w:color="70AD47" w:themeColor="accent6"/>
              <w:bottom w:val="single" w:sz="12" w:space="0" w:color="70AD47" w:themeColor="accent6"/>
              <w:right w:val="nil"/>
            </w:tcBorders>
            <w:hideMark/>
          </w:tcPr>
          <w:p w14:paraId="51B5FBF3" w14:textId="622EC3CD"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s2ni1sl5o","properties":{"formattedCitation":"[79]","plainCitation":"[79]","noteIndex":0},"citationItems":[{"id":474,"uris":["http://zotero.org/users/2089623/items/LIDU8QVV"],"uri":["http://zotero.org/users/2089623/items/LIDU8QVV"],"itemData":{"id":474,"type":"paper-conference","abstract":"We evaluate the causal effect of hour-ahead price interventions on the reduction of residential electricity consumption, using a large-scale experiment on 7,000 households in California. In addition to this experimental approach, we also develop a non-experimental framework that allows for an estimation of the desired treatment effect on an individual level by estimating user-level counterfactuals using time-series prediction. This approach crucially eliminates the need for a randomized experiment. Both approaches estimate a reduction of ≈0.10 kWh (11%) per Demand Response event and household. We also analyze an adaptive targeting scheme, which assigns customized interventions to users based on their histories to increase the reduction-per-payout ratio by 107%.","container-title":"2018 IEEE Conference on Control Technology and Applications (CCTA)","DOI":"10.1109/CCTA.2018.8511520","event":"2018 IEEE Conference on Control Technology and Applications (CCTA)","note":"ISSN: null","page":"18-23","source":"IEEE Xplore","title":"Estimation and Targeting of Residential Households for Hour-Ahead Demand Response Interventions – A Case Study in California","author":[{"family":"Zhou","given":"Datong P."},{"family":"Balandat","given":"Maximilian"},{"family":"Tomlin","given":"Claire J."}],"issued":{"date-parts":[["2018",8]]}}}],"schema":"https://github.com/citation-style-language/schema/raw/master/csl-citation.json"} </w:instrText>
            </w:r>
            <w:r w:rsidRPr="009553C9">
              <w:rPr>
                <w:sz w:val="20"/>
                <w:szCs w:val="20"/>
              </w:rPr>
              <w:fldChar w:fldCharType="separate"/>
            </w:r>
            <w:r w:rsidRPr="009553C9">
              <w:rPr>
                <w:sz w:val="20"/>
                <w:szCs w:val="20"/>
              </w:rPr>
              <w:t>[7</w:t>
            </w:r>
            <w:r w:rsidR="00891F4D">
              <w:rPr>
                <w:sz w:val="20"/>
                <w:szCs w:val="20"/>
              </w:rPr>
              <w:t>8</w:t>
            </w:r>
            <w:r w:rsidRPr="009553C9">
              <w:rPr>
                <w:sz w:val="20"/>
                <w:szCs w:val="20"/>
              </w:rPr>
              <w:t>]</w:t>
            </w:r>
            <w:r w:rsidRPr="009553C9">
              <w:rPr>
                <w:sz w:val="20"/>
                <w:szCs w:val="20"/>
              </w:rPr>
              <w:fldChar w:fldCharType="end"/>
            </w:r>
          </w:p>
        </w:tc>
        <w:tc>
          <w:tcPr>
            <w:tcW w:w="1512" w:type="dxa"/>
            <w:tcBorders>
              <w:left w:val="nil"/>
              <w:bottom w:val="single" w:sz="12" w:space="0" w:color="70AD47" w:themeColor="accent6"/>
              <w:right w:val="single" w:sz="12" w:space="0" w:color="70AD47" w:themeColor="accent6"/>
            </w:tcBorders>
          </w:tcPr>
          <w:p w14:paraId="7EBBE020" w14:textId="77777777" w:rsidR="005F36B6" w:rsidRPr="009553C9" w:rsidRDefault="00F52AD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Zhou et al</w:t>
            </w:r>
          </w:p>
          <w:p w14:paraId="24A7C186" w14:textId="662DA5AD" w:rsidR="00F52AD4" w:rsidRPr="009553C9" w:rsidRDefault="00F52AD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(2018)</w:t>
            </w:r>
          </w:p>
        </w:tc>
        <w:tc>
          <w:tcPr>
            <w:tcW w:w="5141" w:type="dxa"/>
            <w:tcBorders>
              <w:left w:val="single" w:sz="12" w:space="0" w:color="70AD47" w:themeColor="accent6"/>
              <w:bottom w:val="single" w:sz="12" w:space="0" w:color="70AD47" w:themeColor="accent6"/>
            </w:tcBorders>
            <w:hideMark/>
          </w:tcPr>
          <w:p w14:paraId="4D8F8A0B" w14:textId="2913FFE8" w:rsidR="005F36B6" w:rsidRPr="009553C9" w:rsidRDefault="005F36B6"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 xml:space="preserve">To aid consumer targeting, </w:t>
            </w:r>
            <w:r w:rsidR="006E7F5C">
              <w:rPr>
                <w:sz w:val="20"/>
                <w:szCs w:val="20"/>
              </w:rPr>
              <w:t>the authors</w:t>
            </w:r>
            <w:r w:rsidRPr="009553C9">
              <w:rPr>
                <w:sz w:val="20"/>
                <w:szCs w:val="20"/>
              </w:rPr>
              <w:t xml:space="preserve"> developed a non-experimental framework that allows for an estimation of the desired treatment effect on an individual level by estimating user-level counterfactuals using timeseries prediction.</w:t>
            </w:r>
          </w:p>
        </w:tc>
      </w:tr>
      <w:tr w:rsidR="0021787E" w:rsidRPr="009553C9" w14:paraId="7E4E2938" w14:textId="77777777" w:rsidTr="0021787E">
        <w:trPr>
          <w:trHeight w:val="794"/>
        </w:trPr>
        <w:tc>
          <w:tcPr>
            <w:cnfStyle w:val="001000000000" w:firstRow="0" w:lastRow="0" w:firstColumn="1" w:lastColumn="0" w:oddVBand="0" w:evenVBand="0" w:oddHBand="0" w:evenHBand="0" w:firstRowFirstColumn="0" w:firstRowLastColumn="0" w:lastRowFirstColumn="0" w:lastRowLastColumn="0"/>
            <w:tcW w:w="1694" w:type="dxa"/>
            <w:vMerge w:val="restart"/>
            <w:tcBorders>
              <w:top w:val="single" w:sz="12" w:space="0" w:color="70AD47" w:themeColor="accent6"/>
              <w:right w:val="single" w:sz="12" w:space="0" w:color="70AD47" w:themeColor="accent6"/>
            </w:tcBorders>
            <w:shd w:val="clear" w:color="auto" w:fill="auto"/>
            <w:hideMark/>
          </w:tcPr>
          <w:p w14:paraId="6CFFA7F8" w14:textId="77777777" w:rsidR="00765454" w:rsidRPr="009553C9" w:rsidRDefault="00765454" w:rsidP="009553C9">
            <w:pPr>
              <w:ind w:firstLine="0"/>
              <w:rPr>
                <w:b w:val="0"/>
                <w:i/>
                <w:sz w:val="20"/>
                <w:szCs w:val="20"/>
              </w:rPr>
            </w:pPr>
            <w:r w:rsidRPr="009553C9">
              <w:rPr>
                <w:sz w:val="20"/>
                <w:szCs w:val="20"/>
              </w:rPr>
              <w:lastRenderedPageBreak/>
              <w:t>Others</w:t>
            </w:r>
          </w:p>
          <w:p w14:paraId="26DBC93C" w14:textId="77777777" w:rsidR="00765454" w:rsidRPr="009553C9" w:rsidRDefault="00765454" w:rsidP="009553C9">
            <w:pPr>
              <w:ind w:firstLine="0"/>
              <w:rPr>
                <w:b w:val="0"/>
                <w:i/>
                <w:sz w:val="20"/>
                <w:szCs w:val="20"/>
              </w:rPr>
            </w:pPr>
            <w:r w:rsidRPr="009553C9">
              <w:rPr>
                <w:sz w:val="20"/>
                <w:szCs w:val="20"/>
              </w:rPr>
              <w:t> </w:t>
            </w:r>
          </w:p>
        </w:tc>
        <w:tc>
          <w:tcPr>
            <w:tcW w:w="725" w:type="dxa"/>
            <w:tcBorders>
              <w:top w:val="single" w:sz="12" w:space="0" w:color="70AD47" w:themeColor="accent6"/>
              <w:left w:val="single" w:sz="12" w:space="0" w:color="70AD47" w:themeColor="accent6"/>
              <w:right w:val="nil"/>
            </w:tcBorders>
            <w:hideMark/>
          </w:tcPr>
          <w:p w14:paraId="58C3CB40" w14:textId="371A7FB7" w:rsidR="00765454" w:rsidRPr="009553C9" w:rsidRDefault="0076545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6m061ua0t","properties":{"formattedCitation":"[50]","plainCitation":"[50]","noteIndex":0},"citationItems":[{"id":504,"uris":["http://zotero.org/users/2089623/items/DW32BJ8X"],"uri":["http://zotero.org/users/2089623/items/DW32BJ8X"],"itemData":{"id":504,"type":"article-journal","abstract":"Demand response (DR) is considered an effective approach in mitigating the ever-growing concerns for supplying the electricity peak demand. Recent attempts have shown that the contribution from the aggregate impact of flexible individual residential loads can add flexibility to the power grid as ancillary services. However, current DR schemes do not systematically distinguish the varying potential of user contribution due to the highly-varied usage behaviors. Thus, this paper proposes a data-driven approach for quantifying the potential of individual flexible load users for participation in DR. We introduced a metric to capture the predictability of usage in a future DR event using the historical consumption data for different load types. The metric helps to sort the users with flexible loads in a community according to their potential for load shifting scenarios. We then evaluated the applicability of the metric in the DR context to assess the extent of energy reduction for different segments of users. In our analysis, we included electric vehicle, wet appliances (dryer, washing machine, dishwasher), and air conditioning. The analysis of real-world data shows that the approach is effective in identifying suitable user segments with higher predictive potential for demand reduction. We also presented a cross-appliance comparison for assessing the flexibility potential of different user segments. As a case study based on Pecan Street Project, the findings suggest that potentially ~160</w:instrText>
            </w:r>
            <w:r w:rsidRPr="009553C9">
              <w:rPr>
                <w:rFonts w:ascii="Times New Roman" w:hAnsi="Times New Roman" w:cs="Times New Roman"/>
                <w:sz w:val="20"/>
                <w:szCs w:val="20"/>
              </w:rPr>
              <w:instrText> </w:instrText>
            </w:r>
            <w:r w:rsidRPr="009553C9">
              <w:rPr>
                <w:sz w:val="20"/>
                <w:szCs w:val="20"/>
              </w:rPr>
              <w:instrText xml:space="preserve">MWh reduction might be achieved in Austin, TX through only 20% participation of the selected flexible loads for the residential sector during a 2-h event.","container-title":"Applied Energy","DOI":"10.1016/j.apenergy.2019.113693","ISSN":"0306-2619","journalAbbreviation":"Applied Energy","language":"en","page":"113693","source":"ScienceDirect","title":"Residential loads flexibility potential for demand response using energy consumption patterns and user segments","volume":"254","author":[{"family":"Afzalan","given":"Milad"},{"family":"Jazizadeh","given":"Farrokh"}],"issued":{"date-parts":[["2019",11,15]]}}}],"schema":"https://github.com/citation-style-language/schema/raw/master/csl-citation.json"} </w:instrText>
            </w:r>
            <w:r w:rsidRPr="009553C9">
              <w:rPr>
                <w:sz w:val="20"/>
                <w:szCs w:val="20"/>
              </w:rPr>
              <w:fldChar w:fldCharType="separate"/>
            </w:r>
            <w:r w:rsidRPr="009553C9">
              <w:rPr>
                <w:sz w:val="20"/>
                <w:szCs w:val="20"/>
              </w:rPr>
              <w:t>[</w:t>
            </w:r>
            <w:r w:rsidR="00527387">
              <w:rPr>
                <w:sz w:val="20"/>
                <w:szCs w:val="20"/>
              </w:rPr>
              <w:t>79</w:t>
            </w:r>
            <w:r w:rsidRPr="009553C9">
              <w:rPr>
                <w:sz w:val="20"/>
                <w:szCs w:val="20"/>
              </w:rPr>
              <w:t>]</w:t>
            </w:r>
            <w:r w:rsidRPr="009553C9">
              <w:rPr>
                <w:sz w:val="20"/>
                <w:szCs w:val="20"/>
              </w:rPr>
              <w:fldChar w:fldCharType="end"/>
            </w:r>
          </w:p>
        </w:tc>
        <w:tc>
          <w:tcPr>
            <w:tcW w:w="1512" w:type="dxa"/>
            <w:tcBorders>
              <w:top w:val="single" w:sz="12" w:space="0" w:color="70AD47" w:themeColor="accent6"/>
              <w:left w:val="nil"/>
              <w:bottom w:val="single" w:sz="2" w:space="0" w:color="A8D08D" w:themeColor="accent6" w:themeTint="99"/>
              <w:right w:val="single" w:sz="12" w:space="0" w:color="70AD47" w:themeColor="accent6"/>
            </w:tcBorders>
          </w:tcPr>
          <w:p w14:paraId="03DECF55" w14:textId="77777777" w:rsidR="00765454" w:rsidRPr="009553C9" w:rsidRDefault="0076545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Afzalan et al </w:t>
            </w:r>
          </w:p>
          <w:p w14:paraId="77A4D5BF" w14:textId="15C4A3A8" w:rsidR="00765454" w:rsidRPr="009553C9" w:rsidRDefault="0076545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(2019)</w:t>
            </w:r>
          </w:p>
        </w:tc>
        <w:tc>
          <w:tcPr>
            <w:tcW w:w="5141" w:type="dxa"/>
            <w:tcBorders>
              <w:top w:val="single" w:sz="12" w:space="0" w:color="70AD47" w:themeColor="accent6"/>
              <w:left w:val="single" w:sz="12" w:space="0" w:color="70AD47" w:themeColor="accent6"/>
              <w:bottom w:val="single" w:sz="2" w:space="0" w:color="A8D08D" w:themeColor="accent6" w:themeTint="99"/>
            </w:tcBorders>
            <w:hideMark/>
          </w:tcPr>
          <w:p w14:paraId="6A5948E3" w14:textId="7F4D3641" w:rsidR="00765454" w:rsidRPr="009553C9" w:rsidRDefault="006E7F5C"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00765454" w:rsidRPr="009553C9">
              <w:rPr>
                <w:sz w:val="20"/>
                <w:szCs w:val="20"/>
              </w:rPr>
              <w:t>eveloped a metric to capture the predictability of usage in a future DR event by sorting users according to their flexible loads, including electric vehicles, wet appliances (dryers, washing machines, dishwashers), and air conditioning</w:t>
            </w:r>
          </w:p>
        </w:tc>
      </w:tr>
      <w:tr w:rsidR="0021787E" w:rsidRPr="009553C9" w14:paraId="4B480326" w14:textId="77777777" w:rsidTr="0021787E">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694" w:type="dxa"/>
            <w:vMerge/>
            <w:tcBorders>
              <w:right w:val="single" w:sz="12" w:space="0" w:color="70AD47" w:themeColor="accent6"/>
            </w:tcBorders>
            <w:shd w:val="clear" w:color="auto" w:fill="auto"/>
          </w:tcPr>
          <w:p w14:paraId="0216CECD" w14:textId="77777777" w:rsidR="00765454" w:rsidRPr="009553C9" w:rsidRDefault="00765454" w:rsidP="009553C9">
            <w:pPr>
              <w:ind w:firstLine="0"/>
              <w:rPr>
                <w:b w:val="0"/>
                <w:i/>
                <w:color w:val="000000"/>
                <w:sz w:val="20"/>
                <w:szCs w:val="20"/>
              </w:rPr>
            </w:pPr>
          </w:p>
        </w:tc>
        <w:tc>
          <w:tcPr>
            <w:tcW w:w="725" w:type="dxa"/>
            <w:tcBorders>
              <w:left w:val="single" w:sz="12" w:space="0" w:color="70AD47" w:themeColor="accent6"/>
              <w:bottom w:val="single" w:sz="2" w:space="0" w:color="A8D08D" w:themeColor="accent6" w:themeTint="99"/>
              <w:right w:val="nil"/>
            </w:tcBorders>
          </w:tcPr>
          <w:p w14:paraId="40082DA5" w14:textId="341FE1CA" w:rsidR="00765454" w:rsidRPr="009553C9" w:rsidRDefault="0076545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4g3oib0sq","properties":{"formattedCitation":"[80]","plainCitation":"[80]","noteIndex":0},"citationItems":[{"id":471,"uris":["http://zotero.org/users/2089623/items/7CPDNX48"],"uri":["http://zotero.org/users/2089623/items/7CPDNX48"],"itemData":{"id":471,"type":"paper-conference","abstract":"Demand Response is one of the most promising technology to improve the financial benefits of utility and consumers, reliability of the grid and ancillary services to the power system etc. Due to the growing use of renewable energy and electric vehicles in the electricity structure, the provision of DR from loads like residential buildings or electric vehicles has become out-dare. There are numerous challenges in the real implementation of DR programs for such customers. Therefore, in this work a novel potential customer identification process has been developed for residential customers which uses only the load profile rather than conventional pilot project data. This method can be used in countries like India where there is lack of field study data available to support residential customer selection process for demand response. The effectiveness of the customer selection process has been verified by a DR program with customer benefit maximization objective.","container-title":"2018 2nd IEEE International Conference on Power Electronics, Intelligent Control and Energy Systems (ICPEICES)","DOI":"10.1109/ICPEICES.2018.8897466","event":"2018 2nd IEEE International Conference on Power Electronics, Intelligent Control and Energy Systems (ICPEICES)","note":"ISSN: null","page":"218-222","source":"IEEE Xplore","title":"A Novel Scheme for Potential Identification of Customers for Demand Response","author":[{"family":"Mallick","given":"Pradeep Kumar"},{"family":"Tyagi","given":"Arjun"},{"family":"Verma","given":"Ashu"}],"issued":{"date-parts":[["2018",10]]}}}],"schema":"https://github.com/citation-style-language/schema/raw/master/csl-citation.json"} </w:instrText>
            </w:r>
            <w:r w:rsidRPr="009553C9">
              <w:rPr>
                <w:sz w:val="20"/>
                <w:szCs w:val="20"/>
              </w:rPr>
              <w:fldChar w:fldCharType="separate"/>
            </w:r>
            <w:r w:rsidRPr="009553C9">
              <w:rPr>
                <w:sz w:val="20"/>
                <w:szCs w:val="20"/>
              </w:rPr>
              <w:t>[80]</w:t>
            </w:r>
            <w:r w:rsidRPr="009553C9">
              <w:rPr>
                <w:sz w:val="20"/>
                <w:szCs w:val="20"/>
              </w:rPr>
              <w:fldChar w:fldCharType="end"/>
            </w:r>
          </w:p>
        </w:tc>
        <w:tc>
          <w:tcPr>
            <w:tcW w:w="1512" w:type="dxa"/>
            <w:tcBorders>
              <w:left w:val="nil"/>
              <w:bottom w:val="single" w:sz="8" w:space="0" w:color="A8D08D" w:themeColor="accent6" w:themeTint="99"/>
              <w:right w:val="single" w:sz="12" w:space="0" w:color="A8D08D" w:themeColor="accent6" w:themeTint="99"/>
            </w:tcBorders>
          </w:tcPr>
          <w:p w14:paraId="6354EBF7" w14:textId="77777777" w:rsidR="00765454" w:rsidRPr="009553C9" w:rsidRDefault="0076545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 xml:space="preserve">Mallick et al </w:t>
            </w:r>
          </w:p>
          <w:p w14:paraId="14CBDC00" w14:textId="4BED3C7F" w:rsidR="00765454" w:rsidRPr="009553C9" w:rsidRDefault="00765454"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(2018)</w:t>
            </w:r>
          </w:p>
        </w:tc>
        <w:tc>
          <w:tcPr>
            <w:tcW w:w="5141" w:type="dxa"/>
            <w:tcBorders>
              <w:left w:val="single" w:sz="12" w:space="0" w:color="A8D08D" w:themeColor="accent6" w:themeTint="99"/>
              <w:bottom w:val="single" w:sz="8" w:space="0" w:color="A8D08D" w:themeColor="accent6" w:themeTint="99"/>
            </w:tcBorders>
          </w:tcPr>
          <w:p w14:paraId="6BC3BA4C" w14:textId="502746AF" w:rsidR="00765454" w:rsidRPr="009553C9" w:rsidRDefault="00BB4E1E" w:rsidP="009553C9">
            <w:pPr>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w:t>
            </w:r>
            <w:r w:rsidR="00765454" w:rsidRPr="009553C9">
              <w:rPr>
                <w:sz w:val="20"/>
                <w:szCs w:val="20"/>
              </w:rPr>
              <w:t>elected responsive users by detecting the presence of HVAC devices in households.</w:t>
            </w:r>
          </w:p>
        </w:tc>
      </w:tr>
      <w:tr w:rsidR="0021787E" w:rsidRPr="009553C9" w14:paraId="2EA9B924" w14:textId="77777777" w:rsidTr="0021787E">
        <w:trPr>
          <w:trHeight w:val="794"/>
        </w:trPr>
        <w:tc>
          <w:tcPr>
            <w:cnfStyle w:val="001000000000" w:firstRow="0" w:lastRow="0" w:firstColumn="1" w:lastColumn="0" w:oddVBand="0" w:evenVBand="0" w:oddHBand="0" w:evenHBand="0" w:firstRowFirstColumn="0" w:firstRowLastColumn="0" w:lastRowFirstColumn="0" w:lastRowLastColumn="0"/>
            <w:tcW w:w="1694" w:type="dxa"/>
            <w:vMerge/>
            <w:tcBorders>
              <w:bottom w:val="single" w:sz="18" w:space="0" w:color="70AD47" w:themeColor="accent6"/>
              <w:right w:val="single" w:sz="12" w:space="0" w:color="70AD47" w:themeColor="accent6"/>
            </w:tcBorders>
            <w:shd w:val="clear" w:color="auto" w:fill="auto"/>
            <w:hideMark/>
          </w:tcPr>
          <w:p w14:paraId="7962DD9D" w14:textId="77777777" w:rsidR="00765454" w:rsidRPr="009553C9" w:rsidRDefault="00765454" w:rsidP="009553C9">
            <w:pPr>
              <w:ind w:firstLine="0"/>
              <w:rPr>
                <w:b w:val="0"/>
                <w:i/>
                <w:color w:val="000000"/>
                <w:sz w:val="20"/>
                <w:szCs w:val="20"/>
              </w:rPr>
            </w:pPr>
          </w:p>
        </w:tc>
        <w:tc>
          <w:tcPr>
            <w:tcW w:w="725" w:type="dxa"/>
            <w:tcBorders>
              <w:left w:val="single" w:sz="12" w:space="0" w:color="70AD47" w:themeColor="accent6"/>
              <w:bottom w:val="single" w:sz="18" w:space="0" w:color="70AD47" w:themeColor="accent6"/>
              <w:right w:val="nil"/>
            </w:tcBorders>
            <w:hideMark/>
          </w:tcPr>
          <w:p w14:paraId="60DCCDD7" w14:textId="171CF423" w:rsidR="00765454" w:rsidRPr="009553C9" w:rsidRDefault="0076545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fldChar w:fldCharType="begin"/>
            </w:r>
            <w:r w:rsidRPr="009553C9">
              <w:rPr>
                <w:sz w:val="20"/>
                <w:szCs w:val="20"/>
              </w:rPr>
              <w:instrText xml:space="preserve"> ADDIN ZOTERO_ITEM CSL_CITATION {"citationID":"ac3di7b5gi","properties":{"formattedCitation":"[81]","plainCitation":"[81]","noteIndex":0},"citationItems":[{"id":469,"uris":["http://zotero.org/users/2089623/items/RGUY6CW4"],"uri":["http://zotero.org/users/2089623/items/RGUY6CW4"],"itemData":{"id":469,"type":"article-journal","abstract":"Within a framework of assessment of demand response as an efficient flexibility resource for electric power systems, the main objective of this paper is to present an empirical methodology to obtain a full characterization of residential consumers’ flexibility in response to economic incentives. The aim of the proposed methodology is to assist a hypothetical demand response provider in the task of quantifying flexibility of a real population of consumers during a supposed trial that would precede a large-scale implementation of a demand response program. For this purpose, mere average values of predictable responsiveness do not provide meaningful information about the uncertainties associated to human behavior so a probabilistic characterization of this flexibility based on Quantile Regression (QR) is suggested. The proposed usage of QR to model individual observed flexibility provides a concise parametric representation of consumers that allows a straightforward application of classification methods to partition the sample of consumers into categories of similar flexibility. The modelling approach presented here also depicts a full picture of uncertainty and variability of the expected flexibility and enables the definition of two specific risk measures for the context of demand response that have been denominated flexibility at risk (FaR) and conditional flexibility at risk (CFaR). The application of the methodology to a case study based on a real demand response experience in Spain illustrates the potential of the method to capture the complexity and variability of consumer responsiveness. The particular case study presented here shows non-intuitive shapes in the individual conditional distribution functions of flexibility and a potential high variability between different individual flexibility profiles. It also demonstrates the possible decisive influence that interaction effects between socio-economic factors, such as the number of occupants, the business as usual electricity consumption and the education level of consumers, may have on demand responsiveness.","container-title":"Applied Energy","DOI":"10.1016/j.apenergy.2018.02.058","ISSN":"0306-2619","journalAbbreviation":"Applied Energy","language":"en","page":"296-310","source":"ScienceDirect","title":"Probabilistic characterization of electricity consumer responsiveness to economic incentives","volume":"216","author":[{"family":"Vallés","given":"Mercedes"},{"family":"Bello","given":"Antonio"},{"family":"Reneses","given":"Javier"},{"family":"Frías","given":"Pablo"}],"issued":{"date-parts":[["2018",4,15]]}}}],"schema":"https://github.com/citation-style-language/schema/raw/master/csl-citation.json"} </w:instrText>
            </w:r>
            <w:r w:rsidRPr="009553C9">
              <w:rPr>
                <w:sz w:val="20"/>
                <w:szCs w:val="20"/>
              </w:rPr>
              <w:fldChar w:fldCharType="separate"/>
            </w:r>
            <w:r w:rsidRPr="009553C9">
              <w:rPr>
                <w:sz w:val="20"/>
                <w:szCs w:val="20"/>
              </w:rPr>
              <w:t>[81]</w:t>
            </w:r>
            <w:r w:rsidRPr="009553C9">
              <w:rPr>
                <w:sz w:val="20"/>
                <w:szCs w:val="20"/>
              </w:rPr>
              <w:fldChar w:fldCharType="end"/>
            </w:r>
          </w:p>
        </w:tc>
        <w:tc>
          <w:tcPr>
            <w:tcW w:w="1512" w:type="dxa"/>
            <w:tcBorders>
              <w:top w:val="single" w:sz="8" w:space="0" w:color="A8D08D" w:themeColor="accent6" w:themeTint="99"/>
              <w:left w:val="nil"/>
              <w:bottom w:val="single" w:sz="18" w:space="0" w:color="70AD47" w:themeColor="accent6"/>
              <w:right w:val="single" w:sz="12" w:space="0" w:color="70AD47" w:themeColor="accent6"/>
            </w:tcBorders>
          </w:tcPr>
          <w:p w14:paraId="0385F4A8" w14:textId="77777777" w:rsidR="00765454" w:rsidRPr="009553C9" w:rsidRDefault="0076545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Vallés et al </w:t>
            </w:r>
          </w:p>
          <w:p w14:paraId="5B92B57D" w14:textId="3B22AE47" w:rsidR="00765454" w:rsidRPr="009553C9" w:rsidRDefault="0076545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(2018)</w:t>
            </w:r>
          </w:p>
        </w:tc>
        <w:tc>
          <w:tcPr>
            <w:tcW w:w="5141" w:type="dxa"/>
            <w:tcBorders>
              <w:top w:val="single" w:sz="8" w:space="0" w:color="A8D08D" w:themeColor="accent6" w:themeTint="99"/>
              <w:left w:val="single" w:sz="12" w:space="0" w:color="70AD47" w:themeColor="accent6"/>
              <w:bottom w:val="single" w:sz="18" w:space="0" w:color="70AD47" w:themeColor="accent6"/>
            </w:tcBorders>
            <w:hideMark/>
          </w:tcPr>
          <w:p w14:paraId="11D18A0C" w14:textId="51C70835" w:rsidR="00765454" w:rsidRPr="009553C9" w:rsidRDefault="00765454" w:rsidP="009553C9">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A 3-step selection framework was established: Step 1. Used quantile regression to relate the electricity responsiveness to variables such as the strengths of incentive, duration of signal, time of the day, ambient temperature, etc. Step 2. Clustered users on the coefficients of these variables. Step 3. Used decision tree to relate socio-economic/ historical consumption to clusters for out-of-sample users.</w:t>
            </w:r>
          </w:p>
        </w:tc>
      </w:tr>
    </w:tbl>
    <w:p w14:paraId="6A7FBB38" w14:textId="77777777" w:rsidR="00177E8F" w:rsidRPr="00E045B9" w:rsidRDefault="00177E8F" w:rsidP="00E045B9">
      <w:pPr>
        <w:pStyle w:val="ListParagraph"/>
        <w:ind w:left="360"/>
      </w:pPr>
    </w:p>
    <w:p w14:paraId="502F07C2" w14:textId="77777777" w:rsidR="00E653A3" w:rsidRDefault="00E653A3">
      <w:pPr>
        <w:spacing w:before="0" w:line="240" w:lineRule="auto"/>
        <w:ind w:firstLine="0"/>
        <w:jc w:val="left"/>
        <w:rPr>
          <w:b/>
          <w:bCs/>
        </w:rPr>
      </w:pPr>
      <w:r>
        <w:rPr>
          <w:b/>
          <w:bCs/>
        </w:rPr>
        <w:br w:type="page"/>
      </w:r>
    </w:p>
    <w:p w14:paraId="37498B06" w14:textId="24213072" w:rsidR="00E653A3" w:rsidRPr="003E45E0" w:rsidRDefault="00E653A3" w:rsidP="00E653A3">
      <w:pPr>
        <w:ind w:firstLine="0"/>
        <w:rPr>
          <w:b/>
          <w:bCs/>
        </w:rPr>
      </w:pPr>
      <w:r w:rsidRPr="003E45E0">
        <w:rPr>
          <w:b/>
          <w:bCs/>
        </w:rPr>
        <w:lastRenderedPageBreak/>
        <w:t xml:space="preserve">Supplementary Information </w:t>
      </w:r>
      <w:r>
        <w:rPr>
          <w:b/>
          <w:bCs/>
        </w:rPr>
        <w:t>3</w:t>
      </w:r>
      <w:r w:rsidRPr="003E45E0">
        <w:rPr>
          <w:b/>
          <w:bCs/>
        </w:rPr>
        <w:t xml:space="preserve">: Non-occupancy </w:t>
      </w:r>
      <w:r>
        <w:rPr>
          <w:b/>
          <w:bCs/>
        </w:rPr>
        <w:t>D</w:t>
      </w:r>
      <w:r w:rsidRPr="003E45E0">
        <w:rPr>
          <w:b/>
          <w:bCs/>
        </w:rPr>
        <w:t xml:space="preserve">etection </w:t>
      </w:r>
      <w:r>
        <w:rPr>
          <w:b/>
          <w:bCs/>
        </w:rPr>
        <w:t>A</w:t>
      </w:r>
      <w:r w:rsidRPr="003E45E0">
        <w:rPr>
          <w:b/>
          <w:bCs/>
        </w:rPr>
        <w:t>lgorithm</w:t>
      </w:r>
    </w:p>
    <w:p w14:paraId="1B67398D" w14:textId="77777777" w:rsidR="00E653A3" w:rsidRPr="00856094" w:rsidRDefault="00E653A3" w:rsidP="00E653A3">
      <w:pPr>
        <w:ind w:firstLine="0"/>
      </w:pPr>
      <w:r w:rsidRPr="00856094">
        <w:t xml:space="preserve">We propose an algorithm for non-occupancy detection following </w:t>
      </w:r>
      <w:bookmarkStart w:id="3" w:name="_Hlk100073325"/>
      <w:r w:rsidRPr="00856094">
        <w:t xml:space="preserve">Chen et al. </w:t>
      </w:r>
      <w:r w:rsidRPr="004A389D">
        <w:fldChar w:fldCharType="begin"/>
      </w:r>
      <w:r>
        <w:instrText xml:space="preserve"> ADDIN ZOTERO_ITEM CSL_CITATION {"citationID":"a1a4njgbi8b","properties":{"formattedCitation":"[53]","plainCitation":"[53]","noteIndex":0},"citationItems":[{"id":956,"uris":["http://zotero.org/users/2089623/items/7BHMBW2Z"],"uri":["http://zotero.org/users/2089623/items/7BHMBW2Z"],"itemData":{"id":956,"type":"paper-conference","container-title":"Proceedings of the 5th ACM Workshop on Embedded Systems For Energy-Efficient Buildings: ACM","language":"en","page":"1–8","title":"Non-intrusive occupancy monitoring using smart meters","author":[{"family":"Chen","given":"D."},{"family":"Barker","given":"S."},{"family":"Subbaswamy","given":"A."},{"family":"Irwin","given":"D."},{"family":"Shenoy","given":"P."}],"issued":{"date-parts":[["2013"]]}},"suppress-author":true}],"schema":"https://github.com/citation-style-language/schema/raw/master/csl-citation.json"} </w:instrText>
      </w:r>
      <w:r w:rsidRPr="004A389D">
        <w:fldChar w:fldCharType="separate"/>
      </w:r>
      <w:r>
        <w:t>[59]</w:t>
      </w:r>
      <w:r w:rsidRPr="004A389D">
        <w:fldChar w:fldCharType="end"/>
      </w:r>
      <w:r w:rsidRPr="0064409C">
        <w:t xml:space="preserve"> and Williams and Gask </w:t>
      </w:r>
      <w:r w:rsidRPr="004A389D">
        <w:fldChar w:fldCharType="begin"/>
      </w:r>
      <w:r>
        <w:instrText xml:space="preserve"> ADDIN ZOTERO_ITEM CSL_CITATION {"citationID":"aoglm9v4od","properties":{"formattedCitation":"[54]","plainCitation":"[54]","noteIndex":0},"citationItems":[{"id":950,"uris":["http://zotero.org/users/2089623/items/VPGPUM2G"],"uri":["http://zotero.org/users/2089623/items/VPGPUM2G"],"itemData":{"id":950,"type":"book","event-place":"Newport, South Wales, UK","language":"en","publisher":"The office for National Statistics, UK","publisher-place":"Newport, South Wales, UK","title":"Modelling sample data from smart-type electricity meters to assess potential within official statistics","author":[{"family":"Williams","given":"S."},{"family":"Gask","given":"K."}],"issued":{"date-parts":[["2015"]]}},"suppress-author":true}],"schema":"https://github.com/citation-style-language/schema/raw/master/csl-citation.json"} </w:instrText>
      </w:r>
      <w:r w:rsidRPr="004A389D">
        <w:fldChar w:fldCharType="separate"/>
      </w:r>
      <w:r>
        <w:t>[60]</w:t>
      </w:r>
      <w:r w:rsidRPr="004A389D">
        <w:fldChar w:fldCharType="end"/>
      </w:r>
      <w:r w:rsidRPr="0064409C">
        <w:t xml:space="preserve">, </w:t>
      </w:r>
      <w:bookmarkEnd w:id="3"/>
      <w:r w:rsidRPr="004A389D">
        <w:t xml:space="preserve">with the following </w:t>
      </w:r>
      <w:r w:rsidRPr="003A3664">
        <w:t>two assumptions:</w:t>
      </w:r>
    </w:p>
    <w:p w14:paraId="62179DED" w14:textId="284C56F0" w:rsidR="00E653A3" w:rsidRPr="00856094" w:rsidRDefault="00E653A3" w:rsidP="00E653A3">
      <w:pPr>
        <w:pStyle w:val="ListParagraph"/>
        <w:numPr>
          <w:ilvl w:val="0"/>
          <w:numId w:val="11"/>
        </w:numPr>
        <w:ind w:left="360"/>
      </w:pPr>
      <w:r w:rsidRPr="00856094">
        <w:t>Users during the early hours of the day (02</w:t>
      </w:r>
      <w:r>
        <w:t>:</w:t>
      </w:r>
      <w:r w:rsidRPr="00856094">
        <w:t>00 to 05</w:t>
      </w:r>
      <w:r>
        <w:t>:0</w:t>
      </w:r>
      <w:r w:rsidRPr="00856094">
        <w:t>0</w:t>
      </w:r>
      <w:r w:rsidRPr="00856094">
        <w:t>)</w:t>
      </w:r>
      <w:r w:rsidR="00FA6202">
        <w:t xml:space="preserve"> </w:t>
      </w:r>
      <w:r w:rsidRPr="00856094">
        <w:t>are either away or sleeping.</w:t>
      </w:r>
    </w:p>
    <w:p w14:paraId="3F1286C8" w14:textId="77777777" w:rsidR="00E653A3" w:rsidRPr="00856094" w:rsidRDefault="00E653A3" w:rsidP="00E653A3">
      <w:pPr>
        <w:pStyle w:val="ListParagraph"/>
        <w:numPr>
          <w:ilvl w:val="0"/>
          <w:numId w:val="11"/>
        </w:numPr>
        <w:ind w:left="360"/>
      </w:pPr>
      <w:r w:rsidRPr="00856094">
        <w:t>If a residence is occupied, the consumption level and variance during the daytime will be larger than that during the night</w:t>
      </w:r>
      <w:r>
        <w:t xml:space="preserve"> </w:t>
      </w:r>
      <w:r w:rsidRPr="00856094">
        <w:t>time.</w:t>
      </w:r>
    </w:p>
    <w:p w14:paraId="44C97FE5" w14:textId="77777777" w:rsidR="00E653A3" w:rsidRDefault="00E653A3" w:rsidP="00E653A3">
      <w:pPr>
        <w:ind w:firstLine="0"/>
      </w:pPr>
    </w:p>
    <w:p w14:paraId="013C5AD9" w14:textId="77777777" w:rsidR="00E653A3" w:rsidRPr="00856094" w:rsidRDefault="00E653A3" w:rsidP="00E653A3">
      <w:pPr>
        <w:ind w:firstLine="0"/>
      </w:pPr>
      <w:r w:rsidRPr="00856094">
        <w:t>Based on the two assumptions, two criteria are established:</w:t>
      </w:r>
    </w:p>
    <w:p w14:paraId="0375E478" w14:textId="77777777" w:rsidR="00E653A3" w:rsidRPr="00856094" w:rsidRDefault="00E653A3" w:rsidP="00E653A3">
      <w:pPr>
        <w:pStyle w:val="ListParagraph"/>
        <w:numPr>
          <w:ilvl w:val="0"/>
          <w:numId w:val="12"/>
        </w:numPr>
        <w:ind w:left="360"/>
      </w:pPr>
      <w:r w:rsidRPr="00856094">
        <w:t>Average energy use during the peak hours is greater than the average energy use during inactive hours over a given period.</w:t>
      </w:r>
    </w:p>
    <w:p w14:paraId="5CCA7475" w14:textId="77777777" w:rsidR="00E653A3" w:rsidRPr="004A389D" w:rsidRDefault="00E653A3" w:rsidP="00E653A3">
      <w:pPr>
        <w:pStyle w:val="ListParagraph"/>
        <w:numPr>
          <w:ilvl w:val="0"/>
          <w:numId w:val="12"/>
        </w:numPr>
        <w:ind w:left="360"/>
      </w:pPr>
      <w:r w:rsidRPr="00856094">
        <w:t>Energy use variance during peak hours is greater than 1.5</w:t>
      </w:r>
      <m:oMath>
        <m:r>
          <m:rPr>
            <m:sty m:val="p"/>
          </m:rPr>
          <w:rPr>
            <w:rFonts w:ascii="Cambria Math" w:eastAsia="Helvetica" w:hAnsi="Cambria Math" w:cs="Helvetica"/>
          </w:rPr>
          <m:t>×</m:t>
        </m:r>
      </m:oMath>
      <w:r w:rsidRPr="00856094">
        <w:t xml:space="preserve"> average energy use variance during inactive hours over a given period</w:t>
      </w:r>
      <w:r w:rsidRPr="00041355">
        <w:rPr>
          <w:rStyle w:val="FootnoteReference"/>
        </w:rPr>
        <w:footnoteReference w:id="2"/>
      </w:r>
      <w:r w:rsidRPr="0064409C">
        <w:t>.</w:t>
      </w:r>
    </w:p>
    <w:p w14:paraId="5DE29FED" w14:textId="77777777" w:rsidR="00E653A3" w:rsidRDefault="00E653A3" w:rsidP="00E653A3">
      <w:pPr>
        <w:ind w:firstLine="0"/>
      </w:pPr>
    </w:p>
    <w:p w14:paraId="5A1E2582" w14:textId="77777777" w:rsidR="00E653A3" w:rsidRPr="00856094" w:rsidRDefault="00E653A3" w:rsidP="00E653A3">
      <w:pPr>
        <w:ind w:firstLine="0"/>
      </w:pPr>
      <w:r w:rsidRPr="004A389D">
        <w:t xml:space="preserve">We applied the algorithm </w:t>
      </w:r>
      <w:r w:rsidRPr="003A3664">
        <w:t>to</w:t>
      </w:r>
      <w:r w:rsidRPr="00856094">
        <w:t xml:space="preserve"> all households in the Irish dataset and identified the period when residences are unoccupied. </w:t>
      </w:r>
    </w:p>
    <w:p w14:paraId="1DA55CF6" w14:textId="77777777" w:rsidR="00E653A3" w:rsidRDefault="00E653A3">
      <w:pPr>
        <w:spacing w:before="0" w:line="240" w:lineRule="auto"/>
        <w:ind w:firstLine="0"/>
        <w:jc w:val="left"/>
        <w:rPr>
          <w:b/>
          <w:bCs/>
        </w:rPr>
      </w:pPr>
      <w:r>
        <w:rPr>
          <w:b/>
          <w:bCs/>
        </w:rPr>
        <w:br w:type="page"/>
      </w:r>
    </w:p>
    <w:p w14:paraId="0DAB2843" w14:textId="13B000A5" w:rsidR="008A3789" w:rsidRPr="009553C9" w:rsidRDefault="00225874" w:rsidP="009553C9">
      <w:pPr>
        <w:spacing w:before="0" w:line="240" w:lineRule="auto"/>
        <w:ind w:firstLine="0"/>
        <w:jc w:val="left"/>
        <w:rPr>
          <w:b/>
          <w:bCs/>
        </w:rPr>
      </w:pPr>
      <w:r w:rsidRPr="009553C9">
        <w:rPr>
          <w:b/>
          <w:bCs/>
        </w:rPr>
        <w:lastRenderedPageBreak/>
        <w:t xml:space="preserve">Supplementary Information </w:t>
      </w:r>
      <w:r w:rsidR="00E653A3">
        <w:rPr>
          <w:b/>
          <w:bCs/>
        </w:rPr>
        <w:t>4</w:t>
      </w:r>
      <w:r w:rsidR="00EE2E4F">
        <w:rPr>
          <w:b/>
          <w:bCs/>
        </w:rPr>
        <w:t>:</w:t>
      </w:r>
      <w:r w:rsidR="009553C9" w:rsidRPr="009553C9">
        <w:rPr>
          <w:b/>
          <w:bCs/>
        </w:rPr>
        <w:t xml:space="preserve"> </w:t>
      </w:r>
      <w:r w:rsidRPr="009553C9">
        <w:rPr>
          <w:b/>
          <w:bCs/>
        </w:rPr>
        <w:t xml:space="preserve"> Constraints of TOU Proposal </w:t>
      </w:r>
    </w:p>
    <w:p w14:paraId="42AF115D" w14:textId="77777777" w:rsidR="008A3789" w:rsidRPr="009553C9" w:rsidRDefault="008A3789" w:rsidP="008A3789">
      <w:pPr>
        <w:spacing w:before="0" w:line="240" w:lineRule="auto"/>
        <w:ind w:firstLine="0"/>
      </w:pPr>
    </w:p>
    <w:p w14:paraId="059AF639" w14:textId="167CCF00" w:rsidR="008A3789" w:rsidRDefault="008A3789" w:rsidP="009553C9">
      <w:pPr>
        <w:ind w:firstLine="0"/>
      </w:pPr>
      <w:r>
        <w:t xml:space="preserve">Consider the </w:t>
      </w:r>
      <w:r w:rsidRPr="00E045B9">
        <w:t xml:space="preserve">tariff proposal </w:t>
      </w:r>
      <w:r>
        <w:t>of a three-tier TOU.</w:t>
      </w:r>
      <w:r w:rsidRPr="00E045B9">
        <w:t xml:space="preserve"> The constraints for </w:t>
      </w:r>
      <w:r>
        <w:t>the three-tier</w:t>
      </w:r>
      <w:r w:rsidRPr="00E045B9">
        <w:t xml:space="preserve"> </w:t>
      </w:r>
      <w:r>
        <w:t>TOU proposal</w:t>
      </w:r>
      <w:r w:rsidRPr="00E045B9">
        <w:t xml:space="preserve"> are as follows</w:t>
      </w:r>
      <w:r>
        <w:t>:</w:t>
      </w:r>
    </w:p>
    <w:p w14:paraId="24E48974" w14:textId="4D1F0457" w:rsidR="008A3789" w:rsidRDefault="008A3789" w:rsidP="008A3789">
      <w:pPr>
        <w:pStyle w:val="ListParagraph"/>
        <w:numPr>
          <w:ilvl w:val="0"/>
          <w:numId w:val="18"/>
        </w:numPr>
      </w:pPr>
      <w:r>
        <w:t>T</w:t>
      </w:r>
      <w:r w:rsidRPr="00E045B9">
        <w:t xml:space="preserve">he peak price is higher than the flat rate in order to </w:t>
      </w:r>
      <w:r>
        <w:t xml:space="preserve">incentivize </w:t>
      </w:r>
      <w:r w:rsidRPr="00E045B9">
        <w:t>behavioural change</w:t>
      </w:r>
      <w:r>
        <w:t xml:space="preserve"> (Equation </w:t>
      </w:r>
      <w:r>
        <w:fldChar w:fldCharType="begin"/>
      </w:r>
      <w:r>
        <w:instrText xml:space="preserve"> REF _Ref78466799 \h </w:instrText>
      </w:r>
      <w:r>
        <w:fldChar w:fldCharType="separate"/>
      </w:r>
      <w:r>
        <w:t>(</w:t>
      </w:r>
      <w:r w:rsidR="00AD5266">
        <w:rPr>
          <w:noProof/>
        </w:rPr>
        <w:t>5</w:t>
      </w:r>
      <w:r>
        <w:t>)</w:t>
      </w:r>
      <w:r>
        <w:fldChar w:fldCharType="end"/>
      </w:r>
      <w:r>
        <w:t xml:space="preserve">). </w:t>
      </w:r>
    </w:p>
    <w:p w14:paraId="6E79E913" w14:textId="05F4C1A1" w:rsidR="008A3789" w:rsidRDefault="008A3789" w:rsidP="008A3789">
      <w:pPr>
        <w:pStyle w:val="ListParagraph"/>
        <w:numPr>
          <w:ilvl w:val="0"/>
          <w:numId w:val="18"/>
        </w:numPr>
      </w:pPr>
      <w:r>
        <w:t>T</w:t>
      </w:r>
      <w:r w:rsidRPr="00E045B9">
        <w:t xml:space="preserve">he off-peak price is lower than the flat rate to encourage consumption shifting and to compensate users for </w:t>
      </w:r>
      <w:r>
        <w:t xml:space="preserve">the high peak price (Equation </w:t>
      </w:r>
      <w:r>
        <w:fldChar w:fldCharType="begin"/>
      </w:r>
      <w:r>
        <w:instrText xml:space="preserve"> REF _Ref78466865 \h </w:instrText>
      </w:r>
      <w:r>
        <w:fldChar w:fldCharType="separate"/>
      </w:r>
      <w:r>
        <w:t>(</w:t>
      </w:r>
      <w:r w:rsidR="00AD5266">
        <w:rPr>
          <w:noProof/>
        </w:rPr>
        <w:t>6</w:t>
      </w:r>
      <w:r>
        <w:t>)</w:t>
      </w:r>
      <w:r>
        <w:fldChar w:fldCharType="end"/>
      </w:r>
      <w:r>
        <w:t>)</w:t>
      </w:r>
      <w:r w:rsidRPr="00E045B9">
        <w:t xml:space="preserve">. </w:t>
      </w:r>
    </w:p>
    <w:p w14:paraId="55EF781C" w14:textId="39177E45" w:rsidR="008A3789" w:rsidRDefault="008A3789" w:rsidP="008A3789">
      <w:pPr>
        <w:pStyle w:val="ListParagraph"/>
        <w:numPr>
          <w:ilvl w:val="0"/>
          <w:numId w:val="18"/>
        </w:numPr>
      </w:pPr>
      <w:r>
        <w:t xml:space="preserve">The </w:t>
      </w:r>
      <w:r w:rsidRPr="00E045B9">
        <w:t xml:space="preserve">shoulder price </w:t>
      </w:r>
      <w:r>
        <w:t>is</w:t>
      </w:r>
      <w:r w:rsidRPr="00E045B9">
        <w:t xml:space="preserve"> bounded by the peak and off-peak prices </w:t>
      </w:r>
      <w:r>
        <w:t xml:space="preserve">(Equation </w:t>
      </w:r>
      <w:r>
        <w:fldChar w:fldCharType="begin"/>
      </w:r>
      <w:r>
        <w:instrText xml:space="preserve"> REF _Ref78466920 \h </w:instrText>
      </w:r>
      <w:r>
        <w:fldChar w:fldCharType="separate"/>
      </w:r>
      <w:r>
        <w:t>(</w:t>
      </w:r>
      <w:r w:rsidR="00AD5266">
        <w:rPr>
          <w:noProof/>
        </w:rPr>
        <w:t>7</w:t>
      </w:r>
      <w:r>
        <w:t>)</w:t>
      </w:r>
      <w:r>
        <w:fldChar w:fldCharType="end"/>
      </w:r>
      <w:r>
        <w:t>)</w:t>
      </w:r>
      <w:r w:rsidRPr="00E045B9">
        <w:t xml:space="preserve">. </w:t>
      </w:r>
    </w:p>
    <w:p w14:paraId="5EDFADE6" w14:textId="453754B7" w:rsidR="008A3789" w:rsidRDefault="008A3789" w:rsidP="008A3789">
      <w:pPr>
        <w:pStyle w:val="ListParagraph"/>
        <w:numPr>
          <w:ilvl w:val="0"/>
          <w:numId w:val="18"/>
        </w:numPr>
        <w:rPr>
          <w:iCs/>
          <w:color w:val="000000"/>
          <w:kern w:val="24"/>
        </w:rPr>
      </w:pPr>
      <w:r>
        <w:t>Prices</w:t>
      </w:r>
      <w:r w:rsidRPr="00E045B9">
        <w:t xml:space="preserve"> are limited to </w:t>
      </w:r>
      <w:r>
        <w:rPr>
          <w:rFonts w:hint="eastAsia"/>
        </w:rPr>
        <w:t>a</w:t>
      </w:r>
      <w:r w:rsidRPr="00E045B9">
        <w:t xml:space="preserve"> range</w:t>
      </w:r>
      <w:r>
        <w:t xml:space="preserve"> (Equation </w:t>
      </w:r>
      <w:r>
        <w:fldChar w:fldCharType="begin"/>
      </w:r>
      <w:r>
        <w:instrText xml:space="preserve"> REF _Ref78466920 \h </w:instrText>
      </w:r>
      <w:r>
        <w:fldChar w:fldCharType="separate"/>
      </w:r>
      <w:r>
        <w:t>(</w:t>
      </w:r>
      <w:r w:rsidR="00AD5266">
        <w:rPr>
          <w:noProof/>
        </w:rPr>
        <w:t>7</w:t>
      </w:r>
      <w:r>
        <w:t>)</w:t>
      </w:r>
      <w:r>
        <w:fldChar w:fldCharType="end"/>
      </w:r>
      <w:r>
        <w:t xml:space="preserve">) to avoid extreme volatility.  We limit the range to be </w:t>
      </w:r>
      <w:r w:rsidRPr="00E045B9">
        <w:t>a minimum of a third of the flat rate (</w:t>
      </w:r>
      <w:r>
        <w:t xml:space="preserve">Equation </w:t>
      </w:r>
      <w:r>
        <w:fldChar w:fldCharType="begin"/>
      </w:r>
      <w:r>
        <w:instrText xml:space="preserve"> REF _Ref78470256 \h </w:instrText>
      </w:r>
      <w:r>
        <w:fldChar w:fldCharType="separate"/>
      </w:r>
      <w:r>
        <w:t>(</w:t>
      </w:r>
      <w:r w:rsidR="00AD5266">
        <w:rPr>
          <w:noProof/>
        </w:rPr>
        <w:t>8</w:t>
      </w:r>
      <w:r>
        <w:t>)</w:t>
      </w:r>
      <w:r>
        <w:fldChar w:fldCharType="end"/>
      </w:r>
      <w:r w:rsidRPr="00E045B9">
        <w:t>) and a maximum of three times the flat rate (</w:t>
      </w:r>
      <w:r>
        <w:t xml:space="preserve">Equation </w:t>
      </w:r>
      <w:r>
        <w:fldChar w:fldCharType="begin"/>
      </w:r>
      <w:r>
        <w:instrText xml:space="preserve"> REF _Ref78470272 \h </w:instrText>
      </w:r>
      <w:r>
        <w:fldChar w:fldCharType="separate"/>
      </w:r>
      <w:r>
        <w:t>(</w:t>
      </w:r>
      <w:r w:rsidR="00AD5266">
        <w:rPr>
          <w:noProof/>
        </w:rPr>
        <w:t>9</w:t>
      </w:r>
      <w:r>
        <w:t>)</w:t>
      </w:r>
      <w:r>
        <w:fldChar w:fldCharType="end"/>
      </w:r>
      <w:r w:rsidRPr="00E045B9">
        <w:t xml:space="preserve">). </w:t>
      </w:r>
      <w:r>
        <w:t xml:space="preserve">The range </w:t>
      </w:r>
      <w:r w:rsidRPr="00E045B9">
        <w:t xml:space="preserve">leaves </w:t>
      </w:r>
      <w:r>
        <w:t xml:space="preserve">sufficient </w:t>
      </w:r>
      <w:r w:rsidRPr="00E045B9">
        <w:t xml:space="preserve">room for price differentials to create incentives for behaviour change </w:t>
      </w:r>
      <w:r w:rsidRPr="00E045B9">
        <w:fldChar w:fldCharType="begin"/>
      </w:r>
      <w:r>
        <w:instrText xml:space="preserve"> ADDIN ZOTERO_ITEM CSL_CITATION {"citationID":"a129haci79g","properties":{"formattedCitation":"[58]","plainCitation":"[58]","noteIndex":0},"citationItems":[{"id":879,"uris":["http://zotero.org/users/2089623/items/98CNVS9F"],"uri":["http://zotero.org/users/2089623/items/98CNVS9F"],"itemData":{"id":879,"type":"book","language":"en","title":"CER National smart metering program: managing the transition to Time-of-Use Tariffs","URL":"https://www.cer.ie/docs/001021/CER15053%20Managing%20the%20Transition%20to%20Time%20of%20Use%20Tariffs.pdf","author":[{"literal":"C.E.R."}],"issued":{"date-parts":[["2015"]]}}}],"schema":"https://github.com/citation-style-language/schema/raw/master/csl-citation.json"} </w:instrText>
      </w:r>
      <w:r w:rsidRPr="00E045B9">
        <w:fldChar w:fldCharType="separate"/>
      </w:r>
      <w:r>
        <w:t>[</w:t>
      </w:r>
      <w:r w:rsidR="006E1E08">
        <w:t>82</w:t>
      </w:r>
      <w:r>
        <w:t>]</w:t>
      </w:r>
      <w:r w:rsidRPr="00E045B9">
        <w:fldChar w:fldCharType="end"/>
      </w:r>
      <w:r w:rsidRPr="00E045B9">
        <w:t>.</w:t>
      </w:r>
      <w:r>
        <w:t xml:space="preserve"> </w:t>
      </w:r>
    </w:p>
    <w:p w14:paraId="461F47B1" w14:textId="50430115" w:rsidR="008A3789" w:rsidRPr="00D3008D" w:rsidRDefault="008A3789" w:rsidP="008A3789">
      <w:pPr>
        <w:pStyle w:val="ListParagraph"/>
        <w:numPr>
          <w:ilvl w:val="0"/>
          <w:numId w:val="18"/>
        </w:numPr>
        <w:rPr>
          <w:iCs/>
          <w:color w:val="000000"/>
          <w:kern w:val="24"/>
        </w:rPr>
      </w:pPr>
      <w:r>
        <w:t>T</w:t>
      </w:r>
      <w:r w:rsidRPr="00E045B9">
        <w:t xml:space="preserve">he minimum price unit is limited to </w:t>
      </w:r>
      <w:r>
        <w:t>1 €</w:t>
      </w:r>
      <w:r w:rsidRPr="00E045B9">
        <w:t>cent for convenience (</w:t>
      </w:r>
      <w:r>
        <w:t xml:space="preserve">Equation </w:t>
      </w:r>
      <w:r>
        <w:fldChar w:fldCharType="begin"/>
      </w:r>
      <w:r>
        <w:instrText xml:space="preserve"> REF _Ref78470287 \h </w:instrText>
      </w:r>
      <w:r>
        <w:fldChar w:fldCharType="separate"/>
      </w:r>
      <w:r>
        <w:t>(</w:t>
      </w:r>
      <w:r w:rsidR="00AD5266">
        <w:t>10</w:t>
      </w:r>
      <w:r>
        <w:t>)</w:t>
      </w:r>
      <w:r>
        <w:fldChar w:fldCharType="end"/>
      </w:r>
      <w:r>
        <w:t>)</w:t>
      </w:r>
      <w:r w:rsidRPr="00E045B9">
        <w:t xml:space="preserve">, where </w:t>
      </w:r>
      <w:r w:rsidRPr="00711FD8">
        <w:rPr>
          <w:i/>
          <w:iCs/>
        </w:rPr>
        <w:t>k</w:t>
      </w:r>
      <w:r w:rsidRPr="00E045B9">
        <w:t xml:space="preserve"> is an element of the set</w:t>
      </w:r>
      <w:r w:rsidRPr="003F7A0F">
        <w:rPr>
          <w:b/>
          <w:bCs/>
        </w:rPr>
        <w:t xml:space="preserve"> Z</w:t>
      </w:r>
      <w:r w:rsidRPr="00E045B9">
        <w:t xml:space="preserve"> </w:t>
      </w:r>
      <w:r>
        <w:t xml:space="preserve">of </w:t>
      </w:r>
      <w:r w:rsidRPr="00E045B9">
        <w:t xml:space="preserve">the whole set of integers. </w:t>
      </w:r>
      <w:r w:rsidRPr="003F7A0F">
        <w:rPr>
          <w:iCs/>
          <w:color w:val="000000"/>
          <w:kern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8A3789" w14:paraId="009D7F83" w14:textId="77777777" w:rsidTr="001035B0">
        <w:tc>
          <w:tcPr>
            <w:tcW w:w="350" w:type="pct"/>
          </w:tcPr>
          <w:p w14:paraId="390E23CC" w14:textId="77777777" w:rsidR="008A3789" w:rsidRDefault="008A3789" w:rsidP="001035B0">
            <w:pPr>
              <w:ind w:firstLine="0"/>
              <w:rPr>
                <w:iCs/>
                <w:color w:val="000000"/>
                <w:kern w:val="24"/>
              </w:rPr>
            </w:pPr>
          </w:p>
        </w:tc>
        <w:tc>
          <w:tcPr>
            <w:tcW w:w="4300" w:type="pct"/>
            <w:vAlign w:val="center"/>
          </w:tcPr>
          <w:p w14:paraId="6E80226C" w14:textId="77777777" w:rsidR="008A3789" w:rsidRPr="00896144" w:rsidRDefault="00485EC0" w:rsidP="001035B0">
            <w:pPr>
              <w:jc w:val="center"/>
              <w:rPr>
                <w:rFonts w:eastAsia="+mn-ea"/>
                <w:iCs/>
              </w:rPr>
            </w:pPr>
            <m:oMathPara>
              <m:oMath>
                <m:sSub>
                  <m:sSubPr>
                    <m:ctrlPr>
                      <w:rPr>
                        <w:rFonts w:ascii="Cambria Math" w:eastAsia="+mn-ea" w:hAnsi="Cambria Math"/>
                        <w:iCs/>
                      </w:rPr>
                    </m:ctrlPr>
                  </m:sSubPr>
                  <m:e>
                    <m:r>
                      <w:rPr>
                        <w:rFonts w:ascii="Cambria Math" w:eastAsia="+mn-ea" w:hAnsi="Cambria Math"/>
                      </w:rPr>
                      <m:t>P</m:t>
                    </m:r>
                  </m:e>
                  <m:sub>
                    <m:r>
                      <w:rPr>
                        <w:rFonts w:ascii="Cambria Math" w:eastAsia="+mn-ea" w:hAnsi="Cambria Math"/>
                      </w:rPr>
                      <m:t>peak</m:t>
                    </m:r>
                  </m:sub>
                </m:sSub>
                <m:r>
                  <m:rPr>
                    <m:sty m:val="p"/>
                  </m:rPr>
                  <w:rPr>
                    <w:rFonts w:ascii="Cambria Math" w:eastAsia="+mn-ea" w:hAnsi="Cambria Math"/>
                  </w:rPr>
                  <m:t>&gt;</m:t>
                </m:r>
                <m:r>
                  <w:rPr>
                    <w:rFonts w:ascii="Cambria Math" w:eastAsia="+mn-ea" w:hAnsi="Cambria Math"/>
                  </w:rPr>
                  <m:t>Flat</m:t>
                </m:r>
                <m:r>
                  <m:rPr>
                    <m:sty m:val="p"/>
                  </m:rPr>
                  <w:rPr>
                    <w:rFonts w:ascii="Cambria Math" w:eastAsia="+mn-ea" w:hAnsi="Cambria Math"/>
                  </w:rPr>
                  <m:t> </m:t>
                </m:r>
                <m:r>
                  <w:rPr>
                    <w:rFonts w:ascii="Cambria Math" w:eastAsia="+mn-ea" w:hAnsi="Cambria Math"/>
                  </w:rPr>
                  <m:t>rate</m:t>
                </m:r>
              </m:oMath>
            </m:oMathPara>
          </w:p>
        </w:tc>
        <w:tc>
          <w:tcPr>
            <w:tcW w:w="350" w:type="pct"/>
            <w:vAlign w:val="center"/>
          </w:tcPr>
          <w:p w14:paraId="44B576DB" w14:textId="358D5C78" w:rsidR="008A3789" w:rsidRDefault="008A3789" w:rsidP="001035B0">
            <w:pPr>
              <w:ind w:firstLine="0"/>
              <w:jc w:val="right"/>
              <w:rPr>
                <w:iCs/>
                <w:color w:val="000000"/>
                <w:kern w:val="24"/>
              </w:rPr>
            </w:pPr>
            <w:r>
              <w:t>(</w:t>
            </w:r>
            <w:r>
              <w:fldChar w:fldCharType="begin"/>
            </w:r>
            <w:r>
              <w:instrText xml:space="preserve"> SEQ Equation \* ARABIC </w:instrText>
            </w:r>
            <w:r>
              <w:fldChar w:fldCharType="separate"/>
            </w:r>
            <w:r w:rsidR="00424CC2">
              <w:rPr>
                <w:noProof/>
              </w:rPr>
              <w:t>5</w:t>
            </w:r>
            <w:r>
              <w:fldChar w:fldCharType="end"/>
            </w:r>
            <w:r>
              <w:t>)</w:t>
            </w:r>
          </w:p>
        </w:tc>
      </w:tr>
      <w:tr w:rsidR="008A3789" w14:paraId="09C3B461" w14:textId="77777777" w:rsidTr="001035B0">
        <w:tc>
          <w:tcPr>
            <w:tcW w:w="350" w:type="pct"/>
          </w:tcPr>
          <w:p w14:paraId="353170CC" w14:textId="77777777" w:rsidR="008A3789" w:rsidRDefault="008A3789" w:rsidP="001035B0">
            <w:pPr>
              <w:ind w:firstLine="0"/>
              <w:rPr>
                <w:iCs/>
                <w:color w:val="000000"/>
                <w:kern w:val="24"/>
              </w:rPr>
            </w:pPr>
          </w:p>
        </w:tc>
        <w:tc>
          <w:tcPr>
            <w:tcW w:w="4300" w:type="pct"/>
            <w:vAlign w:val="center"/>
          </w:tcPr>
          <w:p w14:paraId="44C12265" w14:textId="77777777" w:rsidR="008A3789" w:rsidRPr="00896144" w:rsidRDefault="00485EC0" w:rsidP="001035B0">
            <w:pPr>
              <w:rPr>
                <w:rFonts w:eastAsia="+mn-ea"/>
                <w:iCs/>
              </w:rPr>
            </w:pPr>
            <m:oMathPara>
              <m:oMath>
                <m:sSub>
                  <m:sSubPr>
                    <m:ctrlPr>
                      <w:rPr>
                        <w:rFonts w:ascii="Cambria Math" w:eastAsia="+mn-ea" w:hAnsi="Cambria Math"/>
                        <w:iCs/>
                      </w:rPr>
                    </m:ctrlPr>
                  </m:sSubPr>
                  <m:e>
                    <m:r>
                      <w:rPr>
                        <w:rFonts w:ascii="Cambria Math" w:eastAsia="+mn-ea" w:hAnsi="Cambria Math"/>
                      </w:rPr>
                      <m:t>P</m:t>
                    </m:r>
                  </m:e>
                  <m:sub>
                    <m:r>
                      <w:rPr>
                        <w:rFonts w:ascii="Cambria Math" w:eastAsia="+mn-ea" w:hAnsi="Cambria Math"/>
                      </w:rPr>
                      <m:t>offpeak</m:t>
                    </m:r>
                  </m:sub>
                </m:sSub>
                <m:r>
                  <m:rPr>
                    <m:sty m:val="p"/>
                  </m:rPr>
                  <w:rPr>
                    <w:rFonts w:ascii="Cambria Math" w:eastAsia="+mn-ea" w:hAnsi="Cambria Math"/>
                  </w:rPr>
                  <m:t>&lt;</m:t>
                </m:r>
                <m:r>
                  <w:rPr>
                    <w:rFonts w:ascii="Cambria Math" w:eastAsia="+mn-ea" w:hAnsi="Cambria Math"/>
                  </w:rPr>
                  <m:t>Flat</m:t>
                </m:r>
                <m:r>
                  <m:rPr>
                    <m:sty m:val="p"/>
                  </m:rPr>
                  <w:rPr>
                    <w:rFonts w:ascii="Cambria Math" w:eastAsia="+mn-ea" w:hAnsi="Cambria Math"/>
                  </w:rPr>
                  <m:t> </m:t>
                </m:r>
                <m:r>
                  <w:rPr>
                    <w:rFonts w:ascii="Cambria Math" w:eastAsia="+mn-ea" w:hAnsi="Cambria Math"/>
                  </w:rPr>
                  <m:t>rate</m:t>
                </m:r>
              </m:oMath>
            </m:oMathPara>
          </w:p>
        </w:tc>
        <w:tc>
          <w:tcPr>
            <w:tcW w:w="350" w:type="pct"/>
            <w:vAlign w:val="center"/>
          </w:tcPr>
          <w:p w14:paraId="40514B54" w14:textId="0B213945" w:rsidR="008A3789" w:rsidRDefault="008A3789" w:rsidP="001035B0">
            <w:pPr>
              <w:ind w:firstLine="0"/>
              <w:jc w:val="right"/>
              <w:rPr>
                <w:iCs/>
                <w:color w:val="000000"/>
                <w:kern w:val="24"/>
              </w:rPr>
            </w:pPr>
            <w:r>
              <w:t xml:space="preserve"> (</w:t>
            </w:r>
            <w:r>
              <w:fldChar w:fldCharType="begin"/>
            </w:r>
            <w:r>
              <w:instrText xml:space="preserve"> SEQ Equation \* ARABIC </w:instrText>
            </w:r>
            <w:r>
              <w:fldChar w:fldCharType="separate"/>
            </w:r>
            <w:r w:rsidR="00AD5266">
              <w:rPr>
                <w:noProof/>
              </w:rPr>
              <w:t>6</w:t>
            </w:r>
            <w:r>
              <w:fldChar w:fldCharType="end"/>
            </w:r>
            <w:r>
              <w:t>)</w:t>
            </w:r>
          </w:p>
        </w:tc>
      </w:tr>
      <w:tr w:rsidR="008A3789" w14:paraId="319C72CA" w14:textId="77777777" w:rsidTr="001035B0">
        <w:tc>
          <w:tcPr>
            <w:tcW w:w="350" w:type="pct"/>
          </w:tcPr>
          <w:p w14:paraId="33EB9F11" w14:textId="77777777" w:rsidR="008A3789" w:rsidRDefault="008A3789" w:rsidP="001035B0">
            <w:pPr>
              <w:ind w:firstLine="0"/>
              <w:rPr>
                <w:iCs/>
                <w:color w:val="000000"/>
                <w:kern w:val="24"/>
              </w:rPr>
            </w:pPr>
          </w:p>
        </w:tc>
        <w:tc>
          <w:tcPr>
            <w:tcW w:w="4300" w:type="pct"/>
            <w:vAlign w:val="center"/>
          </w:tcPr>
          <w:p w14:paraId="714220FF" w14:textId="77777777" w:rsidR="008A3789" w:rsidRPr="00896144" w:rsidRDefault="00485EC0" w:rsidP="001035B0">
            <w:pPr>
              <w:jc w:val="right"/>
              <w:rPr>
                <w:rFonts w:eastAsia="+mn-ea"/>
                <w:iCs/>
              </w:rPr>
            </w:pPr>
            <m:oMathPara>
              <m:oMath>
                <m:sSub>
                  <m:sSubPr>
                    <m:ctrlPr>
                      <w:rPr>
                        <w:rFonts w:ascii="Cambria Math" w:eastAsia="+mn-ea" w:hAnsi="Cambria Math"/>
                        <w:iCs/>
                      </w:rPr>
                    </m:ctrlPr>
                  </m:sSubPr>
                  <m:e>
                    <m:r>
                      <w:rPr>
                        <w:rFonts w:ascii="Cambria Math" w:eastAsia="+mn-ea" w:hAnsi="Cambria Math"/>
                      </w:rPr>
                      <m:t>P</m:t>
                    </m:r>
                  </m:e>
                  <m:sub>
                    <m:r>
                      <w:rPr>
                        <w:rFonts w:ascii="Cambria Math" w:eastAsia="+mn-ea" w:hAnsi="Cambria Math"/>
                      </w:rPr>
                      <m:t>max</m:t>
                    </m:r>
                  </m:sub>
                </m:sSub>
                <m:r>
                  <m:rPr>
                    <m:sty m:val="p"/>
                  </m:rPr>
                  <w:rPr>
                    <w:rFonts w:ascii="Cambria Math" w:eastAsia="+mn-ea" w:hAnsi="Cambria Math"/>
                  </w:rPr>
                  <m:t>&gt;</m:t>
                </m:r>
                <m:sSub>
                  <m:sSubPr>
                    <m:ctrlPr>
                      <w:rPr>
                        <w:rFonts w:ascii="Cambria Math" w:eastAsia="+mn-ea" w:hAnsi="Cambria Math"/>
                        <w:iCs/>
                      </w:rPr>
                    </m:ctrlPr>
                  </m:sSubPr>
                  <m:e>
                    <m:r>
                      <w:rPr>
                        <w:rFonts w:ascii="Cambria Math" w:eastAsia="+mn-ea" w:hAnsi="Cambria Math"/>
                      </w:rPr>
                      <m:t>P</m:t>
                    </m:r>
                  </m:e>
                  <m:sub>
                    <m:r>
                      <w:rPr>
                        <w:rFonts w:ascii="Cambria Math" w:eastAsia="+mn-ea" w:hAnsi="Cambria Math"/>
                      </w:rPr>
                      <m:t>peak</m:t>
                    </m:r>
                  </m:sub>
                </m:sSub>
                <m:r>
                  <m:rPr>
                    <m:sty m:val="p"/>
                  </m:rPr>
                  <w:rPr>
                    <w:rFonts w:ascii="Cambria Math" w:eastAsia="+mn-ea" w:hAnsi="Cambria Math"/>
                  </w:rPr>
                  <m:t>&gt;</m:t>
                </m:r>
                <m:sSub>
                  <m:sSubPr>
                    <m:ctrlPr>
                      <w:rPr>
                        <w:rFonts w:ascii="Cambria Math" w:eastAsia="+mn-ea" w:hAnsi="Cambria Math"/>
                        <w:iCs/>
                      </w:rPr>
                    </m:ctrlPr>
                  </m:sSubPr>
                  <m:e>
                    <m:r>
                      <w:rPr>
                        <w:rFonts w:ascii="Cambria Math" w:eastAsia="+mn-ea" w:hAnsi="Cambria Math"/>
                      </w:rPr>
                      <m:t>P</m:t>
                    </m:r>
                  </m:e>
                  <m:sub>
                    <m:r>
                      <w:rPr>
                        <w:rFonts w:ascii="Cambria Math" w:eastAsia="+mn-ea" w:hAnsi="Cambria Math"/>
                      </w:rPr>
                      <m:t>shoulder</m:t>
                    </m:r>
                  </m:sub>
                </m:sSub>
                <m:r>
                  <m:rPr>
                    <m:sty m:val="p"/>
                  </m:rPr>
                  <w:rPr>
                    <w:rFonts w:ascii="Cambria Math" w:eastAsia="Cambria Math" w:hAnsi="Cambria Math"/>
                  </w:rPr>
                  <m:t>≥</m:t>
                </m:r>
                <m:sSub>
                  <m:sSubPr>
                    <m:ctrlPr>
                      <w:rPr>
                        <w:rFonts w:ascii="Cambria Math" w:eastAsia="+mn-ea" w:hAnsi="Cambria Math"/>
                        <w:iCs/>
                      </w:rPr>
                    </m:ctrlPr>
                  </m:sSubPr>
                  <m:e>
                    <m:r>
                      <w:rPr>
                        <w:rFonts w:ascii="Cambria Math" w:eastAsia="+mn-ea" w:hAnsi="Cambria Math"/>
                      </w:rPr>
                      <m:t>P</m:t>
                    </m:r>
                  </m:e>
                  <m:sub>
                    <m:r>
                      <w:rPr>
                        <w:rFonts w:ascii="Cambria Math" w:eastAsia="+mn-ea" w:hAnsi="Cambria Math"/>
                      </w:rPr>
                      <m:t>offpeak</m:t>
                    </m:r>
                  </m:sub>
                </m:sSub>
                <m:r>
                  <m:rPr>
                    <m:sty m:val="p"/>
                  </m:rPr>
                  <w:rPr>
                    <w:rFonts w:ascii="Cambria Math" w:eastAsia="+mn-ea" w:hAnsi="Cambria Math"/>
                  </w:rPr>
                  <m:t>&gt;</m:t>
                </m:r>
                <m:sSub>
                  <m:sSubPr>
                    <m:ctrlPr>
                      <w:rPr>
                        <w:rFonts w:ascii="Cambria Math" w:eastAsia="+mn-ea" w:hAnsi="Cambria Math"/>
                        <w:iCs/>
                      </w:rPr>
                    </m:ctrlPr>
                  </m:sSubPr>
                  <m:e>
                    <m:r>
                      <w:rPr>
                        <w:rFonts w:ascii="Cambria Math" w:eastAsia="+mn-ea" w:hAnsi="Cambria Math"/>
                      </w:rPr>
                      <m:t>P</m:t>
                    </m:r>
                  </m:e>
                  <m:sub>
                    <m:r>
                      <w:rPr>
                        <w:rFonts w:ascii="Cambria Math" w:eastAsia="+mn-ea" w:hAnsi="Cambria Math"/>
                      </w:rPr>
                      <m:t>min</m:t>
                    </m:r>
                  </m:sub>
                </m:sSub>
              </m:oMath>
            </m:oMathPara>
          </w:p>
        </w:tc>
        <w:tc>
          <w:tcPr>
            <w:tcW w:w="350" w:type="pct"/>
            <w:vAlign w:val="center"/>
          </w:tcPr>
          <w:p w14:paraId="10F8BDF7" w14:textId="149EBF18" w:rsidR="008A3789" w:rsidRDefault="008A3789" w:rsidP="001035B0">
            <w:pPr>
              <w:ind w:firstLine="0"/>
              <w:jc w:val="right"/>
              <w:rPr>
                <w:iCs/>
                <w:color w:val="000000"/>
                <w:kern w:val="24"/>
              </w:rPr>
            </w:pPr>
            <w:r>
              <w:t>(</w:t>
            </w:r>
            <w:r>
              <w:fldChar w:fldCharType="begin"/>
            </w:r>
            <w:r>
              <w:instrText xml:space="preserve"> SEQ Equation \* ARABIC </w:instrText>
            </w:r>
            <w:r>
              <w:fldChar w:fldCharType="separate"/>
            </w:r>
            <w:r w:rsidR="00AD5266">
              <w:rPr>
                <w:noProof/>
              </w:rPr>
              <w:t>7</w:t>
            </w:r>
            <w:r>
              <w:fldChar w:fldCharType="end"/>
            </w:r>
            <w:r>
              <w:t>)</w:t>
            </w:r>
          </w:p>
        </w:tc>
      </w:tr>
      <w:tr w:rsidR="008A3789" w14:paraId="10A4D07B" w14:textId="77777777" w:rsidTr="001035B0">
        <w:tc>
          <w:tcPr>
            <w:tcW w:w="350" w:type="pct"/>
          </w:tcPr>
          <w:p w14:paraId="59EC82DA" w14:textId="77777777" w:rsidR="008A3789" w:rsidRDefault="008A3789" w:rsidP="001035B0">
            <w:pPr>
              <w:ind w:firstLine="0"/>
              <w:rPr>
                <w:iCs/>
                <w:color w:val="000000"/>
                <w:kern w:val="24"/>
              </w:rPr>
            </w:pPr>
          </w:p>
        </w:tc>
        <w:tc>
          <w:tcPr>
            <w:tcW w:w="4300" w:type="pct"/>
            <w:vAlign w:val="center"/>
          </w:tcPr>
          <w:p w14:paraId="6164CC5F" w14:textId="77777777" w:rsidR="008A3789" w:rsidRPr="00896144" w:rsidRDefault="00485EC0" w:rsidP="001035B0">
            <w:pPr>
              <w:jc w:val="center"/>
              <w:rPr>
                <w:rFonts w:eastAsia="+mn-ea"/>
                <w:iCs/>
              </w:rPr>
            </w:pPr>
            <m:oMathPara>
              <m:oMath>
                <m:sSub>
                  <m:sSubPr>
                    <m:ctrlPr>
                      <w:rPr>
                        <w:rFonts w:ascii="Cambria Math" w:hAnsi="Cambria Math"/>
                        <w:iCs/>
                      </w:rPr>
                    </m:ctrlPr>
                  </m:sSubPr>
                  <m:e>
                    <m:r>
                      <w:rPr>
                        <w:rFonts w:ascii="Cambria Math" w:hAnsi="Cambria Math"/>
                      </w:rPr>
                      <m:t>P</m:t>
                    </m:r>
                  </m:e>
                  <m:sub>
                    <m:r>
                      <w:rPr>
                        <w:rFonts w:ascii="Cambria Math" w:hAnsi="Cambria Math"/>
                      </w:rPr>
                      <m:t>min</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3</m:t>
                    </m:r>
                  </m:den>
                </m:f>
                <m:r>
                  <m:rPr>
                    <m:sty m:val="p"/>
                  </m:rPr>
                  <w:rPr>
                    <w:rFonts w:ascii="Cambria Math" w:hAnsi="Cambria Math"/>
                  </w:rPr>
                  <m:t>∙</m:t>
                </m:r>
                <m:r>
                  <w:rPr>
                    <w:rFonts w:ascii="Cambria Math" w:hAnsi="Cambria Math"/>
                  </w:rPr>
                  <m:t>Flat</m:t>
                </m:r>
                <m:r>
                  <m:rPr>
                    <m:sty m:val="p"/>
                  </m:rPr>
                  <w:rPr>
                    <w:rFonts w:ascii="Cambria Math" w:hAnsi="Cambria Math"/>
                  </w:rPr>
                  <m:t> </m:t>
                </m:r>
                <m:r>
                  <w:rPr>
                    <w:rFonts w:ascii="Cambria Math" w:hAnsi="Cambria Math"/>
                  </w:rPr>
                  <m:t>rate</m:t>
                </m:r>
              </m:oMath>
            </m:oMathPara>
          </w:p>
        </w:tc>
        <w:tc>
          <w:tcPr>
            <w:tcW w:w="350" w:type="pct"/>
            <w:vAlign w:val="center"/>
          </w:tcPr>
          <w:p w14:paraId="730136EB" w14:textId="2915C9F2" w:rsidR="008A3789" w:rsidRDefault="008A3789" w:rsidP="001035B0">
            <w:pPr>
              <w:ind w:firstLine="0"/>
              <w:jc w:val="right"/>
              <w:rPr>
                <w:iCs/>
                <w:color w:val="000000"/>
                <w:kern w:val="24"/>
              </w:rPr>
            </w:pPr>
            <w:r>
              <w:t>(</w:t>
            </w:r>
            <w:r>
              <w:fldChar w:fldCharType="begin"/>
            </w:r>
            <w:r>
              <w:instrText xml:space="preserve"> SEQ Equation \* ARABIC </w:instrText>
            </w:r>
            <w:r>
              <w:fldChar w:fldCharType="separate"/>
            </w:r>
            <w:r w:rsidR="00AD5266">
              <w:rPr>
                <w:noProof/>
              </w:rPr>
              <w:t>8</w:t>
            </w:r>
            <w:r>
              <w:fldChar w:fldCharType="end"/>
            </w:r>
            <w:r>
              <w:t>)</w:t>
            </w:r>
          </w:p>
        </w:tc>
      </w:tr>
      <w:tr w:rsidR="008A3789" w14:paraId="0D47EBD3" w14:textId="77777777" w:rsidTr="001035B0">
        <w:tc>
          <w:tcPr>
            <w:tcW w:w="350" w:type="pct"/>
          </w:tcPr>
          <w:p w14:paraId="1DDEC2F2" w14:textId="77777777" w:rsidR="008A3789" w:rsidRDefault="008A3789" w:rsidP="001035B0">
            <w:pPr>
              <w:ind w:firstLine="0"/>
              <w:rPr>
                <w:iCs/>
                <w:color w:val="000000"/>
                <w:kern w:val="24"/>
              </w:rPr>
            </w:pPr>
          </w:p>
        </w:tc>
        <w:tc>
          <w:tcPr>
            <w:tcW w:w="4300" w:type="pct"/>
            <w:vAlign w:val="center"/>
          </w:tcPr>
          <w:p w14:paraId="05E9839A" w14:textId="77777777" w:rsidR="008A3789" w:rsidRPr="00896144" w:rsidRDefault="00485EC0" w:rsidP="001035B0">
            <w:pPr>
              <w:jc w:val="center"/>
              <w:rPr>
                <w:rFonts w:eastAsia="+mn-ea"/>
                <w:iCs/>
              </w:rPr>
            </w:pPr>
            <m:oMathPara>
              <m:oMath>
                <m:sSub>
                  <m:sSubPr>
                    <m:ctrlPr>
                      <w:rPr>
                        <w:rFonts w:ascii="Cambria Math" w:hAnsi="Cambria Math"/>
                        <w:iCs/>
                      </w:rPr>
                    </m:ctrlPr>
                  </m:sSubPr>
                  <m:e>
                    <m:r>
                      <w:rPr>
                        <w:rFonts w:ascii="Cambria Math" w:hAnsi="Cambria Math"/>
                      </w:rPr>
                      <m:t>P</m:t>
                    </m:r>
                  </m:e>
                  <m:sub>
                    <m:r>
                      <w:rPr>
                        <w:rFonts w:ascii="Cambria Math" w:hAnsi="Cambria Math"/>
                      </w:rPr>
                      <m:t>max</m:t>
                    </m:r>
                  </m:sub>
                </m:sSub>
                <m:r>
                  <m:rPr>
                    <m:sty m:val="p"/>
                  </m:rPr>
                  <w:rPr>
                    <w:rFonts w:ascii="Cambria Math" w:hAnsi="Cambria Math"/>
                  </w:rPr>
                  <m:t>=3∙</m:t>
                </m:r>
                <m:r>
                  <w:rPr>
                    <w:rFonts w:ascii="Cambria Math" w:hAnsi="Cambria Math"/>
                  </w:rPr>
                  <m:t>Flat</m:t>
                </m:r>
                <m:r>
                  <m:rPr>
                    <m:sty m:val="p"/>
                  </m:rPr>
                  <w:rPr>
                    <w:rFonts w:ascii="Cambria Math" w:hAnsi="Cambria Math"/>
                  </w:rPr>
                  <m:t> </m:t>
                </m:r>
                <m:r>
                  <w:rPr>
                    <w:rFonts w:ascii="Cambria Math" w:hAnsi="Cambria Math"/>
                  </w:rPr>
                  <m:t>rate</m:t>
                </m:r>
              </m:oMath>
            </m:oMathPara>
          </w:p>
        </w:tc>
        <w:tc>
          <w:tcPr>
            <w:tcW w:w="350" w:type="pct"/>
            <w:vAlign w:val="center"/>
          </w:tcPr>
          <w:p w14:paraId="6A6A5B92" w14:textId="43F114AB" w:rsidR="008A3789" w:rsidRDefault="008A3789" w:rsidP="001035B0">
            <w:pPr>
              <w:ind w:firstLine="0"/>
              <w:jc w:val="right"/>
              <w:rPr>
                <w:iCs/>
                <w:color w:val="000000"/>
                <w:kern w:val="24"/>
              </w:rPr>
            </w:pPr>
            <w:r>
              <w:t>(</w:t>
            </w:r>
            <w:r>
              <w:fldChar w:fldCharType="begin"/>
            </w:r>
            <w:r>
              <w:instrText xml:space="preserve"> SEQ Equation \* ARABIC </w:instrText>
            </w:r>
            <w:r>
              <w:fldChar w:fldCharType="separate"/>
            </w:r>
            <w:r w:rsidR="00AD5266">
              <w:rPr>
                <w:noProof/>
              </w:rPr>
              <w:t>9</w:t>
            </w:r>
            <w:r>
              <w:fldChar w:fldCharType="end"/>
            </w:r>
            <w:r>
              <w:t>)</w:t>
            </w:r>
          </w:p>
        </w:tc>
      </w:tr>
      <w:tr w:rsidR="008A3789" w14:paraId="5966C08B" w14:textId="77777777" w:rsidTr="001035B0">
        <w:tc>
          <w:tcPr>
            <w:tcW w:w="350" w:type="pct"/>
          </w:tcPr>
          <w:p w14:paraId="1B2EB3D4" w14:textId="77777777" w:rsidR="008A3789" w:rsidRDefault="008A3789" w:rsidP="001035B0">
            <w:pPr>
              <w:ind w:firstLine="0"/>
              <w:rPr>
                <w:iCs/>
                <w:color w:val="000000"/>
                <w:kern w:val="24"/>
              </w:rPr>
            </w:pPr>
          </w:p>
        </w:tc>
        <w:tc>
          <w:tcPr>
            <w:tcW w:w="4300" w:type="pct"/>
            <w:vAlign w:val="center"/>
          </w:tcPr>
          <w:p w14:paraId="69B58C01" w14:textId="77777777" w:rsidR="008A3789" w:rsidRPr="00886F18" w:rsidRDefault="008A3789" w:rsidP="001035B0">
            <m:oMathPara>
              <m:oMath>
                <m:r>
                  <m:rPr>
                    <m:sty m:val="p"/>
                  </m:rPr>
                  <w:rPr>
                    <w:rFonts w:ascii="Cambria Math" w:eastAsia="+mn-ea" w:hAnsi="Cambria Math"/>
                  </w:rPr>
                  <m:t xml:space="preserve"> </m:t>
                </m:r>
                <m:sSub>
                  <m:sSubPr>
                    <m:ctrlPr>
                      <w:rPr>
                        <w:rFonts w:ascii="Cambria Math" w:eastAsia="DengXian" w:hAnsi="Cambria Math"/>
                        <w:iCs/>
                      </w:rPr>
                    </m:ctrlPr>
                  </m:sSubPr>
                  <m:e>
                    <m:r>
                      <w:rPr>
                        <w:rFonts w:ascii="Cambria Math" w:eastAsia="DengXian" w:hAnsi="Cambria Math"/>
                      </w:rPr>
                      <m:t>P</m:t>
                    </m:r>
                  </m:e>
                  <m:sub>
                    <m:r>
                      <m:rPr>
                        <m:sty m:val="p"/>
                      </m:rPr>
                      <w:rPr>
                        <w:rFonts w:ascii="Cambria Math" w:eastAsia="DengXian" w:hAnsi="Cambria Math"/>
                      </w:rPr>
                      <m:t>.</m:t>
                    </m:r>
                  </m:sub>
                </m:sSub>
                <m:r>
                  <m:rPr>
                    <m:sty m:val="p"/>
                  </m:rPr>
                  <w:rPr>
                    <w:rFonts w:ascii="Cambria Math" w:eastAsia="DengXian" w:hAnsi="Cambria Math"/>
                  </w:rPr>
                  <m:t>=0.01*</m:t>
                </m:r>
                <m:r>
                  <w:rPr>
                    <w:rFonts w:ascii="Cambria Math" w:eastAsia="DengXian" w:hAnsi="Cambria Math"/>
                  </w:rPr>
                  <m:t>k</m:t>
                </m:r>
                <m:r>
                  <m:rPr>
                    <m:nor/>
                  </m:rPr>
                  <w:rPr>
                    <w:rFonts w:eastAsia="DengXian"/>
                  </w:rPr>
                  <m:t>, </m:t>
                </m:r>
                <m:r>
                  <m:rPr>
                    <m:nor/>
                  </m:rPr>
                  <w:rPr>
                    <w:rFonts w:eastAsia="+mn-ea"/>
                  </w:rPr>
                  <m:t xml:space="preserve">k </m:t>
                </m:r>
                <m:r>
                  <m:rPr>
                    <m:nor/>
                  </m:rPr>
                  <w:rPr>
                    <w:rFonts w:ascii="Cambria Math" w:eastAsia="+mn-ea" w:hAnsi="Cambria Math" w:cs="Cambria Math"/>
                  </w:rPr>
                  <m:t>∈</m:t>
                </m:r>
                <m:r>
                  <m:rPr>
                    <m:nor/>
                  </m:rPr>
                  <w:rPr>
                    <w:rFonts w:eastAsia="+mn-ea"/>
                  </w:rPr>
                  <m:t xml:space="preserve"> </m:t>
                </m:r>
                <m:r>
                  <m:rPr>
                    <m:nor/>
                  </m:rPr>
                  <w:rPr>
                    <w:rFonts w:eastAsia="+mn-ea"/>
                    <w:b/>
                    <w:bCs/>
                  </w:rPr>
                  <m:t>Z</m:t>
                </m:r>
              </m:oMath>
            </m:oMathPara>
          </w:p>
        </w:tc>
        <w:tc>
          <w:tcPr>
            <w:tcW w:w="350" w:type="pct"/>
            <w:vAlign w:val="center"/>
          </w:tcPr>
          <w:p w14:paraId="74C8E0D8" w14:textId="12B2B01A" w:rsidR="008A3789" w:rsidRDefault="008A3789" w:rsidP="001035B0">
            <w:pPr>
              <w:ind w:firstLine="0"/>
              <w:jc w:val="right"/>
              <w:rPr>
                <w:iCs/>
                <w:color w:val="000000"/>
                <w:kern w:val="24"/>
              </w:rPr>
            </w:pPr>
            <w:r>
              <w:t>(</w:t>
            </w:r>
            <w:r>
              <w:fldChar w:fldCharType="begin"/>
            </w:r>
            <w:r>
              <w:instrText xml:space="preserve"> SEQ Equation \* ARABIC </w:instrText>
            </w:r>
            <w:r>
              <w:fldChar w:fldCharType="separate"/>
            </w:r>
            <w:r w:rsidR="00AD5266">
              <w:rPr>
                <w:noProof/>
              </w:rPr>
              <w:t>10</w:t>
            </w:r>
            <w:r>
              <w:fldChar w:fldCharType="end"/>
            </w:r>
            <w:r>
              <w:t>)</w:t>
            </w:r>
          </w:p>
        </w:tc>
      </w:tr>
    </w:tbl>
    <w:p w14:paraId="4A3EAAE5" w14:textId="77777777" w:rsidR="008A3789" w:rsidRDefault="008A3789" w:rsidP="008A3789">
      <w:pPr>
        <w:pStyle w:val="FootnoteText"/>
        <w:spacing w:line="360" w:lineRule="auto"/>
      </w:pPr>
    </w:p>
    <w:p w14:paraId="138114F2" w14:textId="5A0D45E1" w:rsidR="008A3789" w:rsidRPr="00AC3BC5" w:rsidRDefault="008A3789" w:rsidP="008A3789">
      <w:pPr>
        <w:pStyle w:val="FootnoteText"/>
        <w:spacing w:line="360" w:lineRule="auto"/>
      </w:pPr>
      <w:r>
        <w:t>The two-tier TOU can be viewed as a three-tier TOU when</w:t>
      </w:r>
      <w:r w:rsidRPr="00856094">
        <w:t xml:space="preserve"> the shoulder price equals </w:t>
      </w:r>
      <w:r>
        <w:t xml:space="preserve">the </w:t>
      </w:r>
      <w:r w:rsidRPr="00856094">
        <w:t>off-peak price.</w:t>
      </w:r>
    </w:p>
    <w:p w14:paraId="3BD30F1A" w14:textId="77777777" w:rsidR="008818E5" w:rsidRDefault="008818E5">
      <w:pPr>
        <w:spacing w:before="0" w:line="240" w:lineRule="auto"/>
        <w:ind w:firstLine="0"/>
        <w:jc w:val="left"/>
        <w:rPr>
          <w:lang w:val="en-GB"/>
        </w:rPr>
      </w:pPr>
      <w:r>
        <w:rPr>
          <w:lang w:val="en-GB"/>
        </w:rPr>
        <w:br w:type="page"/>
      </w:r>
    </w:p>
    <w:p w14:paraId="785E99BE" w14:textId="3864435C" w:rsidR="009553C9" w:rsidRPr="009553C9" w:rsidRDefault="00BF484C" w:rsidP="009553C9">
      <w:pPr>
        <w:spacing w:before="0"/>
        <w:ind w:firstLine="0"/>
        <w:rPr>
          <w:b/>
          <w:bCs/>
          <w:lang w:val="en-GB"/>
        </w:rPr>
      </w:pPr>
      <w:r w:rsidRPr="009553C9">
        <w:rPr>
          <w:b/>
          <w:bCs/>
          <w:lang w:val="en-GB"/>
        </w:rPr>
        <w:lastRenderedPageBreak/>
        <w:t xml:space="preserve">Supplementary </w:t>
      </w:r>
      <w:r w:rsidR="009553C9" w:rsidRPr="009553C9">
        <w:rPr>
          <w:b/>
          <w:bCs/>
          <w:lang w:val="en-GB"/>
        </w:rPr>
        <w:t xml:space="preserve">Information </w:t>
      </w:r>
      <w:r w:rsidR="00E653A3">
        <w:rPr>
          <w:b/>
          <w:bCs/>
          <w:lang w:val="en-GB"/>
        </w:rPr>
        <w:t>5</w:t>
      </w:r>
      <w:r w:rsidR="009553C9" w:rsidRPr="009553C9">
        <w:rPr>
          <w:b/>
          <w:bCs/>
          <w:lang w:val="en-GB"/>
        </w:rPr>
        <w:t>:</w:t>
      </w:r>
    </w:p>
    <w:p w14:paraId="0B5A52F2" w14:textId="7978FD68" w:rsidR="009553C9" w:rsidRPr="003E45E0" w:rsidRDefault="00BF484C" w:rsidP="009553C9">
      <w:pPr>
        <w:spacing w:before="0"/>
        <w:ind w:firstLine="0"/>
        <w:rPr>
          <w:color w:val="000000" w:themeColor="text1"/>
          <w:lang w:val="en-GB"/>
        </w:rPr>
      </w:pPr>
      <w:r w:rsidRPr="003E45E0">
        <w:rPr>
          <w:color w:val="000000" w:themeColor="text1"/>
          <w:lang w:val="en-GB"/>
        </w:rPr>
        <w:t xml:space="preserve">Table </w:t>
      </w:r>
      <w:r w:rsidR="00D418CF">
        <w:rPr>
          <w:color w:val="000000" w:themeColor="text1"/>
          <w:lang w:val="en-GB"/>
        </w:rPr>
        <w:fldChar w:fldCharType="begin"/>
      </w:r>
      <w:r w:rsidR="00D418CF">
        <w:rPr>
          <w:color w:val="000000" w:themeColor="text1"/>
          <w:lang w:val="en-GB"/>
        </w:rPr>
        <w:instrText xml:space="preserve"> SEQ Appendix_Table \* ARABIC  \* MERGEFORMAT </w:instrText>
      </w:r>
      <w:r w:rsidR="00D418CF">
        <w:rPr>
          <w:color w:val="000000" w:themeColor="text1"/>
          <w:lang w:val="en-GB"/>
        </w:rPr>
        <w:fldChar w:fldCharType="separate"/>
      </w:r>
      <w:r w:rsidR="00D418CF">
        <w:rPr>
          <w:noProof/>
          <w:color w:val="000000" w:themeColor="text1"/>
          <w:lang w:val="en-GB"/>
        </w:rPr>
        <w:t>7</w:t>
      </w:r>
      <w:r w:rsidR="00D418CF">
        <w:rPr>
          <w:color w:val="000000" w:themeColor="text1"/>
          <w:lang w:val="en-GB"/>
        </w:rPr>
        <w:fldChar w:fldCharType="end"/>
      </w:r>
      <w:r w:rsidR="003E45E0">
        <w:rPr>
          <w:color w:val="000000" w:themeColor="text1"/>
          <w:lang w:val="en-GB"/>
        </w:rPr>
        <w:t xml:space="preserve">. </w:t>
      </w:r>
      <w:r w:rsidRPr="003E45E0">
        <w:rPr>
          <w:color w:val="000000" w:themeColor="text1"/>
          <w:lang w:val="en-GB"/>
        </w:rPr>
        <w:t>Demographic variables deployed for smart user identification</w:t>
      </w:r>
    </w:p>
    <w:tbl>
      <w:tblPr>
        <w:tblStyle w:val="GridTable2-Accent6"/>
        <w:tblW w:w="0" w:type="auto"/>
        <w:tblCellMar>
          <w:left w:w="57" w:type="dxa"/>
          <w:right w:w="57" w:type="dxa"/>
        </w:tblCellMar>
        <w:tblLook w:val="04A0" w:firstRow="1" w:lastRow="0" w:firstColumn="1" w:lastColumn="0" w:noHBand="0" w:noVBand="1"/>
      </w:tblPr>
      <w:tblGrid>
        <w:gridCol w:w="2268"/>
        <w:gridCol w:w="4909"/>
      </w:tblGrid>
      <w:tr w:rsidR="00BF484C" w:rsidRPr="009553C9" w14:paraId="18E98225" w14:textId="77777777" w:rsidTr="00387609">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68" w:type="dxa"/>
            <w:tcBorders>
              <w:top w:val="single" w:sz="18" w:space="0" w:color="70AD47" w:themeColor="accent6"/>
            </w:tcBorders>
            <w:noWrap/>
            <w:hideMark/>
          </w:tcPr>
          <w:p w14:paraId="66CD3B16" w14:textId="77777777" w:rsidR="00BF484C" w:rsidRPr="009553C9" w:rsidRDefault="00BF484C" w:rsidP="005F50FE">
            <w:pPr>
              <w:ind w:firstLine="33"/>
              <w:rPr>
                <w:sz w:val="20"/>
                <w:szCs w:val="20"/>
              </w:rPr>
            </w:pPr>
            <w:r w:rsidRPr="009553C9">
              <w:rPr>
                <w:sz w:val="20"/>
                <w:szCs w:val="20"/>
              </w:rPr>
              <w:t>Demographics</w:t>
            </w:r>
          </w:p>
        </w:tc>
        <w:tc>
          <w:tcPr>
            <w:tcW w:w="4909" w:type="dxa"/>
            <w:tcBorders>
              <w:top w:val="single" w:sz="18" w:space="0" w:color="70AD47" w:themeColor="accent6"/>
            </w:tcBorders>
            <w:hideMark/>
          </w:tcPr>
          <w:p w14:paraId="6A60A6BD" w14:textId="77777777" w:rsidR="00BF484C" w:rsidRPr="009553C9" w:rsidRDefault="00BF484C" w:rsidP="005F50FE">
            <w:pPr>
              <w:ind w:firstLine="33"/>
              <w:cnfStyle w:val="100000000000" w:firstRow="1" w:lastRow="0" w:firstColumn="0" w:lastColumn="0" w:oddVBand="0" w:evenVBand="0" w:oddHBand="0" w:evenHBand="0" w:firstRowFirstColumn="0" w:firstRowLastColumn="0" w:lastRowFirstColumn="0" w:lastRowLastColumn="0"/>
              <w:rPr>
                <w:sz w:val="20"/>
                <w:szCs w:val="20"/>
              </w:rPr>
            </w:pPr>
            <w:r w:rsidRPr="009553C9">
              <w:rPr>
                <w:sz w:val="20"/>
                <w:szCs w:val="20"/>
              </w:rPr>
              <w:t>Definition</w:t>
            </w:r>
          </w:p>
        </w:tc>
      </w:tr>
      <w:tr w:rsidR="00BF484C" w:rsidRPr="009553C9" w14:paraId="025894C9" w14:textId="77777777" w:rsidTr="003876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13284FB" w14:textId="77777777" w:rsidR="00BF484C" w:rsidRPr="009553C9" w:rsidRDefault="00BF484C" w:rsidP="005F50FE">
            <w:pPr>
              <w:ind w:firstLine="33"/>
              <w:rPr>
                <w:sz w:val="20"/>
                <w:szCs w:val="20"/>
              </w:rPr>
            </w:pPr>
            <w:r w:rsidRPr="009553C9">
              <w:rPr>
                <w:sz w:val="20"/>
                <w:szCs w:val="20"/>
              </w:rPr>
              <w:t xml:space="preserve">Occupants under 15 </w:t>
            </w:r>
          </w:p>
        </w:tc>
        <w:tc>
          <w:tcPr>
            <w:tcW w:w="4909" w:type="dxa"/>
            <w:hideMark/>
          </w:tcPr>
          <w:p w14:paraId="1A246C39" w14:textId="77777777" w:rsidR="00BF484C" w:rsidRPr="009553C9" w:rsidRDefault="00BF484C" w:rsidP="005F50FE">
            <w:pPr>
              <w:ind w:firstLine="33"/>
              <w:jc w:val="left"/>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Number of occupants in the household under the age of 15.</w:t>
            </w:r>
          </w:p>
        </w:tc>
      </w:tr>
      <w:tr w:rsidR="00BF484C" w:rsidRPr="009553C9" w14:paraId="7CECA580" w14:textId="77777777" w:rsidTr="00387609">
        <w:trPr>
          <w:trHeight w:val="128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B50A0D7" w14:textId="77777777" w:rsidR="00BF484C" w:rsidRPr="009553C9" w:rsidRDefault="00BF484C" w:rsidP="005F50FE">
            <w:pPr>
              <w:ind w:firstLine="33"/>
              <w:rPr>
                <w:sz w:val="20"/>
                <w:szCs w:val="20"/>
              </w:rPr>
            </w:pPr>
            <w:r w:rsidRPr="009553C9">
              <w:rPr>
                <w:sz w:val="20"/>
                <w:szCs w:val="20"/>
              </w:rPr>
              <w:t xml:space="preserve">Education </w:t>
            </w:r>
          </w:p>
        </w:tc>
        <w:tc>
          <w:tcPr>
            <w:tcW w:w="4909" w:type="dxa"/>
            <w:hideMark/>
          </w:tcPr>
          <w:p w14:paraId="7F3705F6" w14:textId="77777777" w:rsidR="00BF484C" w:rsidRPr="009553C9" w:rsidRDefault="00BF484C" w:rsidP="005F50FE">
            <w:pPr>
              <w:ind w:firstLine="33"/>
              <w:jc w:val="left"/>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Education of dominant household wage earner, with 1- No formal education; 2- Primary; 3- Secondary to intermediate Cert Junior Cert level; 4- Secondary to Leaving Cert level; 5- Tertiary level.</w:t>
            </w:r>
          </w:p>
        </w:tc>
      </w:tr>
      <w:tr w:rsidR="00BF484C" w:rsidRPr="009553C9" w14:paraId="37027F92" w14:textId="77777777" w:rsidTr="00387609">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D961883" w14:textId="77777777" w:rsidR="00BF484C" w:rsidRPr="009553C9" w:rsidRDefault="00BF484C" w:rsidP="005F50FE">
            <w:pPr>
              <w:ind w:firstLine="33"/>
              <w:rPr>
                <w:sz w:val="20"/>
                <w:szCs w:val="20"/>
              </w:rPr>
            </w:pPr>
            <w:r w:rsidRPr="009553C9">
              <w:rPr>
                <w:sz w:val="20"/>
                <w:szCs w:val="20"/>
              </w:rPr>
              <w:t>Income</w:t>
            </w:r>
          </w:p>
        </w:tc>
        <w:tc>
          <w:tcPr>
            <w:tcW w:w="4909" w:type="dxa"/>
            <w:hideMark/>
          </w:tcPr>
          <w:p w14:paraId="22371A8E" w14:textId="77777777" w:rsidR="00BF484C" w:rsidRPr="009553C9" w:rsidRDefault="00BF484C" w:rsidP="005F50FE">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Household income, with 1- Low-income (Under 30,000 Euro/year); 2- High-income (Above 30,000 Euro/year).</w:t>
            </w:r>
          </w:p>
        </w:tc>
      </w:tr>
      <w:tr w:rsidR="00BF484C" w:rsidRPr="009553C9" w14:paraId="213F3F00" w14:textId="77777777" w:rsidTr="00387609">
        <w:trPr>
          <w:trHeight w:val="32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5E4D08A" w14:textId="77777777" w:rsidR="00BF484C" w:rsidRPr="009553C9" w:rsidRDefault="00BF484C" w:rsidP="005F50FE">
            <w:pPr>
              <w:ind w:firstLine="33"/>
              <w:rPr>
                <w:sz w:val="20"/>
                <w:szCs w:val="20"/>
              </w:rPr>
            </w:pPr>
            <w:r w:rsidRPr="009553C9">
              <w:rPr>
                <w:sz w:val="20"/>
                <w:szCs w:val="20"/>
              </w:rPr>
              <w:t xml:space="preserve">Age </w:t>
            </w:r>
          </w:p>
        </w:tc>
        <w:tc>
          <w:tcPr>
            <w:tcW w:w="4909" w:type="dxa"/>
            <w:hideMark/>
          </w:tcPr>
          <w:p w14:paraId="6621296E" w14:textId="77777777" w:rsidR="00BF484C" w:rsidRPr="009553C9" w:rsidRDefault="00BF484C" w:rsidP="005F50FE">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Age of the respondent, 1- (18-25); 2- (26-35); 3- (36-45); 4- (46-55); 5- (56-65); 6- 65+.</w:t>
            </w:r>
          </w:p>
        </w:tc>
      </w:tr>
      <w:tr w:rsidR="00BF484C" w:rsidRPr="009553C9" w14:paraId="2E0214F6" w14:textId="77777777" w:rsidTr="00387609">
        <w:trPr>
          <w:cnfStyle w:val="000000100000" w:firstRow="0" w:lastRow="0" w:firstColumn="0" w:lastColumn="0" w:oddVBand="0" w:evenVBand="0" w:oddHBand="1" w:evenHBand="0" w:firstRowFirstColumn="0" w:firstRowLastColumn="0" w:lastRowFirstColumn="0" w:lastRowLastColumn="0"/>
          <w:trHeight w:val="192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26094E8" w14:textId="77777777" w:rsidR="00BF484C" w:rsidRPr="009553C9" w:rsidRDefault="00BF484C" w:rsidP="005F50FE">
            <w:pPr>
              <w:ind w:firstLine="33"/>
              <w:rPr>
                <w:sz w:val="20"/>
                <w:szCs w:val="20"/>
              </w:rPr>
            </w:pPr>
            <w:r w:rsidRPr="009553C9">
              <w:rPr>
                <w:sz w:val="20"/>
                <w:szCs w:val="20"/>
              </w:rPr>
              <w:t xml:space="preserve">Employment status </w:t>
            </w:r>
          </w:p>
        </w:tc>
        <w:tc>
          <w:tcPr>
            <w:tcW w:w="4909" w:type="dxa"/>
            <w:hideMark/>
          </w:tcPr>
          <w:p w14:paraId="1E3D3AB6" w14:textId="77777777" w:rsidR="00BF484C" w:rsidRPr="009553C9" w:rsidRDefault="00BF484C" w:rsidP="005F50FE">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9553C9">
              <w:rPr>
                <w:sz w:val="20"/>
                <w:szCs w:val="20"/>
              </w:rPr>
              <w:t>Employment status of dominant household wage earner, with 1- An employee; 2- Self-employed with employees; 3- Self-employed with no employees; 4- Unemployed (actively seeking work); 5- Unemployed (not actively seeking work); 6- Retired; 7- Carer (providing care to a family member/ members).</w:t>
            </w:r>
          </w:p>
        </w:tc>
      </w:tr>
      <w:tr w:rsidR="00BF484C" w:rsidRPr="009553C9" w14:paraId="1FD15EEB" w14:textId="77777777" w:rsidTr="00387609">
        <w:trPr>
          <w:trHeight w:val="960"/>
        </w:trPr>
        <w:tc>
          <w:tcPr>
            <w:cnfStyle w:val="001000000000" w:firstRow="0" w:lastRow="0" w:firstColumn="1" w:lastColumn="0" w:oddVBand="0" w:evenVBand="0" w:oddHBand="0" w:evenHBand="0" w:firstRowFirstColumn="0" w:firstRowLastColumn="0" w:lastRowFirstColumn="0" w:lastRowLastColumn="0"/>
            <w:tcW w:w="2268" w:type="dxa"/>
            <w:tcBorders>
              <w:bottom w:val="single" w:sz="18" w:space="0" w:color="70AD47" w:themeColor="accent6"/>
            </w:tcBorders>
            <w:noWrap/>
            <w:hideMark/>
          </w:tcPr>
          <w:p w14:paraId="20EAE7BA" w14:textId="77777777" w:rsidR="00BF484C" w:rsidRPr="009553C9" w:rsidRDefault="00BF484C" w:rsidP="005F50FE">
            <w:pPr>
              <w:ind w:firstLine="33"/>
              <w:rPr>
                <w:sz w:val="20"/>
                <w:szCs w:val="20"/>
              </w:rPr>
            </w:pPr>
            <w:r w:rsidRPr="009553C9">
              <w:rPr>
                <w:sz w:val="20"/>
                <w:szCs w:val="20"/>
              </w:rPr>
              <w:t xml:space="preserve">Social class </w:t>
            </w:r>
          </w:p>
        </w:tc>
        <w:tc>
          <w:tcPr>
            <w:tcW w:w="4909" w:type="dxa"/>
            <w:tcBorders>
              <w:bottom w:val="single" w:sz="18" w:space="0" w:color="70AD47" w:themeColor="accent6"/>
            </w:tcBorders>
            <w:hideMark/>
          </w:tcPr>
          <w:p w14:paraId="6EC8938C" w14:textId="77777777" w:rsidR="00BF484C" w:rsidRPr="009553C9" w:rsidRDefault="00BF484C" w:rsidP="005F50FE">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9553C9">
              <w:rPr>
                <w:sz w:val="20"/>
                <w:szCs w:val="20"/>
              </w:rPr>
              <w:t xml:space="preserve">Social class of dominant household wage earner, with 1- AB; 2-C1; 3-C2; 4-DE; 5-Farmers. The grades of A, B, C1, C2, D and E are defined per National Readership Survey Social Grade. </w:t>
            </w:r>
            <w:r w:rsidRPr="009553C9">
              <w:rPr>
                <w:rStyle w:val="FootnoteReference"/>
                <w:sz w:val="20"/>
                <w:szCs w:val="20"/>
              </w:rPr>
              <w:footnoteReference w:id="3"/>
            </w:r>
          </w:p>
        </w:tc>
      </w:tr>
    </w:tbl>
    <w:p w14:paraId="7AD7D77E" w14:textId="77777777" w:rsidR="00BF484C" w:rsidRDefault="00BF484C">
      <w:pPr>
        <w:spacing w:before="0" w:line="240" w:lineRule="auto"/>
        <w:ind w:firstLine="0"/>
        <w:jc w:val="left"/>
        <w:rPr>
          <w:lang w:val="en-GB"/>
        </w:rPr>
      </w:pPr>
      <w:r>
        <w:rPr>
          <w:lang w:val="en-GB"/>
        </w:rPr>
        <w:br w:type="page"/>
      </w:r>
    </w:p>
    <w:p w14:paraId="6CFAE874" w14:textId="319E6895" w:rsidR="0019609E" w:rsidRPr="003E45E0" w:rsidRDefault="007A3A37">
      <w:pPr>
        <w:spacing w:before="0" w:line="240" w:lineRule="auto"/>
        <w:ind w:firstLine="0"/>
        <w:jc w:val="left"/>
        <w:rPr>
          <w:b/>
          <w:bCs/>
          <w:lang w:val="en-GB"/>
        </w:rPr>
      </w:pPr>
      <w:r w:rsidRPr="003E45E0">
        <w:rPr>
          <w:b/>
          <w:bCs/>
          <w:lang w:val="en-GB"/>
        </w:rPr>
        <w:lastRenderedPageBreak/>
        <w:t xml:space="preserve">Supplementary Information </w:t>
      </w:r>
      <w:r w:rsidR="00E653A3">
        <w:rPr>
          <w:b/>
          <w:bCs/>
          <w:lang w:val="en-GB"/>
        </w:rPr>
        <w:t>6</w:t>
      </w:r>
      <w:r w:rsidR="003E45E0" w:rsidRPr="003E45E0">
        <w:rPr>
          <w:b/>
          <w:bCs/>
          <w:lang w:val="en-GB"/>
        </w:rPr>
        <w:t xml:space="preserve">:  </w:t>
      </w:r>
      <w:r w:rsidRPr="003E45E0">
        <w:rPr>
          <w:b/>
          <w:bCs/>
          <w:lang w:val="en-GB"/>
        </w:rPr>
        <w:t xml:space="preserve">Mathematical Formulation </w:t>
      </w:r>
      <w:r w:rsidR="0019609E" w:rsidRPr="003E45E0">
        <w:rPr>
          <w:b/>
          <w:bCs/>
          <w:lang w:val="en-GB"/>
        </w:rPr>
        <w:t>of Fairness Implications</w:t>
      </w:r>
    </w:p>
    <w:p w14:paraId="3894FFA0" w14:textId="77777777" w:rsidR="001F432E" w:rsidRDefault="001F432E">
      <w:pPr>
        <w:spacing w:before="0" w:line="240" w:lineRule="auto"/>
        <w:ind w:firstLine="0"/>
        <w:jc w:val="left"/>
        <w:rPr>
          <w:lang w:val="en-GB"/>
        </w:rPr>
      </w:pPr>
    </w:p>
    <w:p w14:paraId="176812D7" w14:textId="4C2BC4FB" w:rsidR="006D55C0" w:rsidRDefault="001F432E" w:rsidP="00466F0D">
      <w:pPr>
        <w:ind w:firstLine="0"/>
      </w:pPr>
      <w:r w:rsidRPr="003E45E0">
        <w:rPr>
          <w:b/>
          <w:bCs/>
        </w:rPr>
        <w:t>Constraint 1:</w:t>
      </w:r>
      <w:r w:rsidRPr="00856094">
        <w:t xml:space="preserve"> </w:t>
      </w:r>
      <w:r>
        <w:t xml:space="preserve">Utilities are restricted from earning additional </w:t>
      </w:r>
      <w:r w:rsidRPr="00E045B9">
        <w:t>profit</w:t>
      </w:r>
      <w:r w:rsidR="00854A1A">
        <w:t>s</w:t>
      </w:r>
      <w:r w:rsidRPr="00E045B9">
        <w:t xml:space="preserve"> </w:t>
      </w:r>
      <w:r>
        <w:t xml:space="preserve">under TOU </w:t>
      </w:r>
      <w:r w:rsidRPr="00E045B9">
        <w:t>to avoid the perception that utilities unfairly gain from different pricing</w:t>
      </w:r>
      <w:r>
        <w:t>.</w:t>
      </w:r>
      <w:r w:rsidR="00466F0D">
        <w:t xml:space="preserve">  </w:t>
      </w:r>
    </w:p>
    <w:p w14:paraId="1D1E2941" w14:textId="16300C28" w:rsidR="006D55C0" w:rsidRDefault="006D55C0" w:rsidP="006D55C0">
      <w:pPr>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7"/>
        <w:gridCol w:w="679"/>
      </w:tblGrid>
      <w:tr w:rsidR="00466F0D" w14:paraId="0202EBEE" w14:textId="77777777" w:rsidTr="00EE36D7">
        <w:tc>
          <w:tcPr>
            <w:tcW w:w="4300" w:type="pct"/>
            <w:vAlign w:val="center"/>
          </w:tcPr>
          <w:p w14:paraId="35BF7968" w14:textId="405EB23A" w:rsidR="00466F0D" w:rsidRPr="00896144" w:rsidRDefault="00485EC0" w:rsidP="00EE36D7">
            <w:pPr>
              <w:jc w:val="center"/>
              <w:rPr>
                <w:rFonts w:eastAsia="+mn-ea"/>
                <w:iCs/>
              </w:rPr>
            </w:pPr>
            <m:oMathPara>
              <m:oMath>
                <m:f>
                  <m:fPr>
                    <m:type m:val="lin"/>
                    <m:ctrlPr>
                      <w:rPr>
                        <w:rFonts w:ascii="Cambria Math" w:hAnsi="Cambria Math"/>
                        <w:iCs/>
                      </w:rPr>
                    </m:ctrlPr>
                  </m:fPr>
                  <m:num>
                    <m:d>
                      <m:dPr>
                        <m:ctrlPr>
                          <w:rPr>
                            <w:rFonts w:ascii="Cambria Math" w:hAnsi="Cambria Math"/>
                            <w:i/>
                            <w:iCs/>
                          </w:rPr>
                        </m:ctrlPr>
                      </m:dPr>
                      <m:e>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N</m:t>
                            </m:r>
                          </m:sup>
                          <m:e>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T</m:t>
                                </m:r>
                              </m:sup>
                              <m:e>
                                <m:sSubSup>
                                  <m:sSubSupPr>
                                    <m:ctrlPr>
                                      <w:rPr>
                                        <w:rFonts w:ascii="Cambria Math" w:hAnsi="Cambria Math"/>
                                        <w:iCs/>
                                      </w:rPr>
                                    </m:ctrlPr>
                                  </m:sSubSupPr>
                                  <m:e>
                                    <m:r>
                                      <w:rPr>
                                        <w:rFonts w:ascii="Cambria Math" w:hAnsi="Cambria Math"/>
                                      </w:rPr>
                                      <m:t>d</m:t>
                                    </m:r>
                                  </m:e>
                                  <m:sub>
                                    <m:r>
                                      <w:rPr>
                                        <w:rFonts w:ascii="Cambria Math" w:hAnsi="Cambria Math"/>
                                      </w:rPr>
                                      <m:t>it</m:t>
                                    </m:r>
                                  </m:sub>
                                  <m:sup>
                                    <m:r>
                                      <m:rPr>
                                        <m:sty m:val="p"/>
                                      </m:rPr>
                                      <w:rPr>
                                        <w:rFonts w:ascii="Cambria Math" w:hAnsi="Cambria Math"/>
                                      </w:rPr>
                                      <m:t>'</m:t>
                                    </m:r>
                                  </m:sup>
                                </m:sSubSup>
                                <m:sSub>
                                  <m:sSubPr>
                                    <m:ctrlPr>
                                      <w:rPr>
                                        <w:rFonts w:ascii="Cambria Math" w:hAnsi="Cambria Math"/>
                                        <w:iCs/>
                                      </w:rPr>
                                    </m:ctrlPr>
                                  </m:sSubPr>
                                  <m:e>
                                    <m:r>
                                      <w:rPr>
                                        <w:rFonts w:ascii="Cambria Math" w:hAnsi="Cambria Math"/>
                                      </w:rPr>
                                      <m:t>p</m:t>
                                    </m:r>
                                  </m:e>
                                  <m:sub>
                                    <m:r>
                                      <w:rPr>
                                        <w:rFonts w:ascii="Cambria Math" w:hAnsi="Cambria Math"/>
                                      </w:rPr>
                                      <m:t>f</m:t>
                                    </m:r>
                                  </m:sub>
                                </m:sSub>
                              </m:e>
                            </m:nary>
                            <m:r>
                              <m:rPr>
                                <m:sty m:val="p"/>
                              </m:rPr>
                              <w:rPr>
                                <w:rFonts w:ascii="Cambria Math" w:hAnsi="Cambria Math"/>
                              </w:rPr>
                              <m:t>-</m:t>
                            </m:r>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N</m:t>
                                </m:r>
                              </m:sup>
                              <m:e>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T</m:t>
                                    </m:r>
                                  </m:sup>
                                  <m:e>
                                    <m:sSub>
                                      <m:sSubPr>
                                        <m:ctrlPr>
                                          <w:rPr>
                                            <w:rFonts w:ascii="Cambria Math" w:hAnsi="Cambria Math"/>
                                            <w:iCs/>
                                          </w:rPr>
                                        </m:ctrlPr>
                                      </m:sSubPr>
                                      <m:e>
                                        <m:r>
                                          <w:rPr>
                                            <w:rFonts w:ascii="Cambria Math" w:hAnsi="Cambria Math"/>
                                          </w:rPr>
                                          <m:t>d</m:t>
                                        </m:r>
                                      </m:e>
                                      <m:sub>
                                        <m:r>
                                          <w:rPr>
                                            <w:rFonts w:ascii="Cambria Math" w:hAnsi="Cambria Math"/>
                                          </w:rPr>
                                          <m:t>it</m:t>
                                        </m:r>
                                      </m:sub>
                                    </m:sSub>
                                    <m:sSub>
                                      <m:sSubPr>
                                        <m:ctrlPr>
                                          <w:rPr>
                                            <w:rFonts w:ascii="Cambria Math" w:hAnsi="Cambria Math"/>
                                            <w:iCs/>
                                          </w:rPr>
                                        </m:ctrlPr>
                                      </m:sSubPr>
                                      <m:e>
                                        <m:r>
                                          <w:rPr>
                                            <w:rFonts w:ascii="Cambria Math" w:hAnsi="Cambria Math"/>
                                          </w:rPr>
                                          <m:t>p</m:t>
                                        </m:r>
                                      </m:e>
                                      <m:sub>
                                        <m:r>
                                          <w:rPr>
                                            <w:rFonts w:ascii="Cambria Math" w:hAnsi="Cambria Math"/>
                                          </w:rPr>
                                          <m:t>it</m:t>
                                        </m:r>
                                      </m:sub>
                                    </m:sSub>
                                  </m:e>
                                </m:nary>
                              </m:e>
                            </m:nary>
                            <m:r>
                              <m:rPr>
                                <m:sty m:val="p"/>
                              </m:rPr>
                              <w:rPr>
                                <w:rFonts w:ascii="Cambria Math" w:hAnsi="Cambria Math"/>
                              </w:rPr>
                              <m:t>) </m:t>
                            </m:r>
                          </m:e>
                        </m:nary>
                      </m:e>
                    </m:d>
                  </m:num>
                  <m:den>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T</m:t>
                        </m:r>
                      </m:sup>
                      <m:e>
                        <m:d>
                          <m:dPr>
                            <m:ctrlPr>
                              <w:rPr>
                                <w:rFonts w:ascii="Cambria Math" w:hAnsi="Cambria Math"/>
                                <w:iCs/>
                              </w:rPr>
                            </m:ctrlPr>
                          </m:dPr>
                          <m:e>
                            <m:r>
                              <w:rPr>
                                <w:rFonts w:ascii="Cambria Math" w:hAnsi="Cambria Math"/>
                              </w:rPr>
                              <m:t>C</m:t>
                            </m:r>
                            <m:d>
                              <m:dPr>
                                <m:ctrlPr>
                                  <w:rPr>
                                    <w:rFonts w:ascii="Cambria Math" w:hAnsi="Cambria Math"/>
                                    <w:iCs/>
                                  </w:rPr>
                                </m:ctrlPr>
                              </m:dPr>
                              <m:e>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N</m:t>
                                    </m:r>
                                  </m:sup>
                                  <m:e>
                                    <m:sSubSup>
                                      <m:sSubSupPr>
                                        <m:ctrlPr>
                                          <w:rPr>
                                            <w:rFonts w:ascii="Cambria Math" w:hAnsi="Cambria Math"/>
                                            <w:iCs/>
                                          </w:rPr>
                                        </m:ctrlPr>
                                      </m:sSubSupPr>
                                      <m:e>
                                        <m:r>
                                          <w:rPr>
                                            <w:rFonts w:ascii="Cambria Math" w:hAnsi="Cambria Math"/>
                                          </w:rPr>
                                          <m:t>d</m:t>
                                        </m:r>
                                      </m:e>
                                      <m:sub>
                                        <m:r>
                                          <w:rPr>
                                            <w:rFonts w:ascii="Cambria Math" w:hAnsi="Cambria Math"/>
                                          </w:rPr>
                                          <m:t>it</m:t>
                                        </m:r>
                                      </m:sub>
                                      <m:sup>
                                        <m:r>
                                          <m:rPr>
                                            <m:sty m:val="p"/>
                                          </m:rPr>
                                          <w:rPr>
                                            <w:rFonts w:ascii="Cambria Math" w:hAnsi="Cambria Math"/>
                                          </w:rPr>
                                          <m:t>'</m:t>
                                        </m:r>
                                      </m:sup>
                                    </m:sSubSup>
                                  </m:e>
                                </m:nary>
                              </m:e>
                            </m:d>
                            <m:r>
                              <m:rPr>
                                <m:sty m:val="p"/>
                              </m:rPr>
                              <w:rPr>
                                <w:rFonts w:ascii="Cambria Math" w:hAnsi="Cambria Math"/>
                              </w:rPr>
                              <m:t>-</m:t>
                            </m:r>
                            <m:r>
                              <w:rPr>
                                <w:rFonts w:ascii="Cambria Math" w:hAnsi="Cambria Math"/>
                              </w:rPr>
                              <m:t>C</m:t>
                            </m:r>
                            <m:d>
                              <m:dPr>
                                <m:ctrlPr>
                                  <w:rPr>
                                    <w:rFonts w:ascii="Cambria Math" w:hAnsi="Cambria Math"/>
                                    <w:iCs/>
                                  </w:rPr>
                                </m:ctrlPr>
                              </m:dPr>
                              <m:e>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N</m:t>
                                    </m:r>
                                  </m:sup>
                                  <m:e>
                                    <m:sSub>
                                      <m:sSubPr>
                                        <m:ctrlPr>
                                          <w:rPr>
                                            <w:rFonts w:ascii="Cambria Math" w:hAnsi="Cambria Math"/>
                                            <w:iCs/>
                                          </w:rPr>
                                        </m:ctrlPr>
                                      </m:sSubPr>
                                      <m:e>
                                        <m:r>
                                          <w:rPr>
                                            <w:rFonts w:ascii="Cambria Math" w:hAnsi="Cambria Math"/>
                                          </w:rPr>
                                          <m:t>d</m:t>
                                        </m:r>
                                      </m:e>
                                      <m:sub>
                                        <m:r>
                                          <w:rPr>
                                            <w:rFonts w:ascii="Cambria Math" w:hAnsi="Cambria Math"/>
                                          </w:rPr>
                                          <m:t>it</m:t>
                                        </m:r>
                                      </m:sub>
                                    </m:sSub>
                                  </m:e>
                                </m:nary>
                              </m:e>
                            </m:d>
                          </m:e>
                        </m:d>
                      </m:e>
                    </m:nary>
                  </m:den>
                </m:f>
                <m:r>
                  <m:rPr>
                    <m:sty m:val="p"/>
                  </m:rPr>
                  <w:rPr>
                    <w:rFonts w:ascii="Cambria Math" w:hAnsi="Cambria Math"/>
                  </w:rPr>
                  <m:t>=1-</m:t>
                </m:r>
                <m:r>
                  <w:rPr>
                    <w:rFonts w:ascii="Cambria Math" w:hAnsi="Cambria Math"/>
                  </w:rPr>
                  <m:t>θ</m:t>
                </m:r>
              </m:oMath>
            </m:oMathPara>
          </w:p>
        </w:tc>
        <w:tc>
          <w:tcPr>
            <w:tcW w:w="350" w:type="pct"/>
            <w:vAlign w:val="center"/>
          </w:tcPr>
          <w:p w14:paraId="0DA159E9" w14:textId="4E98589B" w:rsidR="00466F0D" w:rsidRDefault="00466F0D" w:rsidP="00EE36D7">
            <w:pPr>
              <w:ind w:firstLine="0"/>
              <w:jc w:val="right"/>
              <w:rPr>
                <w:iCs/>
                <w:color w:val="000000"/>
                <w:kern w:val="24"/>
              </w:rPr>
            </w:pPr>
            <w:r>
              <w:t>(</w:t>
            </w:r>
            <w:r w:rsidR="007D44C6">
              <w:t>11</w:t>
            </w:r>
            <w:r>
              <w:t>)</w:t>
            </w:r>
          </w:p>
        </w:tc>
      </w:tr>
    </w:tbl>
    <w:p w14:paraId="4C4F28D5" w14:textId="77777777" w:rsidR="00466F0D" w:rsidRDefault="00466F0D" w:rsidP="006D55C0">
      <w:pPr>
        <w:ind w:firstLine="0"/>
      </w:pPr>
    </w:p>
    <w:p w14:paraId="0DE60BCC" w14:textId="77777777" w:rsidR="001F432E" w:rsidRPr="00856094" w:rsidRDefault="001F432E" w:rsidP="001F432E">
      <w:pPr>
        <w:ind w:firstLine="0"/>
      </w:pPr>
      <w:r>
        <w:t>w</w:t>
      </w:r>
      <w:r w:rsidRPr="00856094">
        <w:t>here:</w:t>
      </w:r>
    </w:p>
    <w:p w14:paraId="4D5F4B1A" w14:textId="1C649D8B" w:rsidR="001F432E" w:rsidRPr="00856094" w:rsidRDefault="00485EC0" w:rsidP="001F432E">
      <w:pPr>
        <w:ind w:left="709" w:firstLine="11"/>
      </w:pPr>
      <m:oMath>
        <m:sSubSup>
          <m:sSubSupPr>
            <m:ctrlPr>
              <w:rPr>
                <w:rFonts w:ascii="Cambria Math" w:hAnsi="Cambria Math"/>
              </w:rPr>
            </m:ctrlPr>
          </m:sSubSupPr>
          <m:e>
            <m:r>
              <w:rPr>
                <w:rFonts w:ascii="Cambria Math" w:hAnsi="Cambria Math"/>
              </w:rPr>
              <m:t>d</m:t>
            </m:r>
          </m:e>
          <m:sub>
            <m:r>
              <w:rPr>
                <w:rFonts w:ascii="Cambria Math" w:hAnsi="Cambria Math"/>
              </w:rPr>
              <m:t>it</m:t>
            </m:r>
          </m:sub>
          <m:sup>
            <m:r>
              <m:rPr>
                <m:sty m:val="p"/>
              </m:rPr>
              <w:rPr>
                <w:rFonts w:ascii="Cambria Math" w:hAnsi="Cambria Math"/>
              </w:rPr>
              <m:t>'</m:t>
            </m:r>
          </m:sup>
        </m:sSubSup>
      </m:oMath>
      <w:r w:rsidR="001F432E" w:rsidRPr="0064409C">
        <w:t xml:space="preserve"> is </w:t>
      </w:r>
      <w:r w:rsidR="00C37932">
        <w:t xml:space="preserve">the </w:t>
      </w:r>
      <w:r w:rsidR="001F432E" w:rsidRPr="0064409C">
        <w:t>demand for household</w:t>
      </w:r>
      <w:r w:rsidR="001F432E" w:rsidRPr="004A389D">
        <w:t xml:space="preserve"> </w:t>
      </w:r>
      <w:r w:rsidR="001F432E" w:rsidRPr="00572A0B">
        <w:rPr>
          <w:i/>
          <w:iCs/>
        </w:rPr>
        <w:t>i</w:t>
      </w:r>
      <w:r w:rsidR="001F432E" w:rsidRPr="004A389D">
        <w:t xml:space="preserve"> at time </w:t>
      </w:r>
      <w:r w:rsidR="001F432E" w:rsidRPr="003A3664">
        <w:t>t</w:t>
      </w:r>
      <w:r w:rsidR="001F432E" w:rsidRPr="00856094">
        <w:t xml:space="preserve"> under</w:t>
      </w:r>
      <w:r w:rsidR="001F432E">
        <w:t xml:space="preserve"> the</w:t>
      </w:r>
      <w:r w:rsidR="001F432E" w:rsidRPr="00856094">
        <w:t xml:space="preserve"> flat rate</w:t>
      </w:r>
    </w:p>
    <w:p w14:paraId="5BD114E9" w14:textId="714645D8" w:rsidR="001F432E" w:rsidRPr="00856094" w:rsidRDefault="00485EC0" w:rsidP="001F432E">
      <w:pPr>
        <w:ind w:left="709" w:firstLine="11"/>
      </w:pPr>
      <m:oMath>
        <m:sSub>
          <m:sSubPr>
            <m:ctrlPr>
              <w:rPr>
                <w:rFonts w:ascii="Cambria Math" w:hAnsi="Cambria Math"/>
              </w:rPr>
            </m:ctrlPr>
          </m:sSubPr>
          <m:e>
            <m:r>
              <w:rPr>
                <w:rFonts w:ascii="Cambria Math" w:hAnsi="Cambria Math"/>
              </w:rPr>
              <m:t>d</m:t>
            </m:r>
          </m:e>
          <m:sub>
            <m:r>
              <w:rPr>
                <w:rFonts w:ascii="Cambria Math" w:hAnsi="Cambria Math"/>
              </w:rPr>
              <m:t>it</m:t>
            </m:r>
          </m:sub>
        </m:sSub>
      </m:oMath>
      <w:r w:rsidR="001F432E" w:rsidRPr="0064409C">
        <w:t xml:space="preserve"> is </w:t>
      </w:r>
      <w:r w:rsidR="00C37932">
        <w:t xml:space="preserve">the </w:t>
      </w:r>
      <w:r w:rsidR="001F432E" w:rsidRPr="0064409C">
        <w:t>demand for household</w:t>
      </w:r>
      <w:r w:rsidR="001F432E" w:rsidRPr="004A389D">
        <w:t xml:space="preserve"> </w:t>
      </w:r>
      <w:r w:rsidR="001F432E" w:rsidRPr="00572A0B">
        <w:rPr>
          <w:i/>
          <w:iCs/>
        </w:rPr>
        <w:t>i</w:t>
      </w:r>
      <w:r w:rsidR="001F432E" w:rsidRPr="004A389D">
        <w:t xml:space="preserve"> at time </w:t>
      </w:r>
      <w:r w:rsidR="001F432E" w:rsidRPr="003A3664">
        <w:t xml:space="preserve">t </w:t>
      </w:r>
      <w:r w:rsidR="001F432E" w:rsidRPr="00856094">
        <w:t>under</w:t>
      </w:r>
      <w:r w:rsidR="001F432E">
        <w:t xml:space="preserve"> the</w:t>
      </w:r>
      <w:r w:rsidR="001F432E" w:rsidRPr="00856094">
        <w:t xml:space="preserve"> </w:t>
      </w:r>
      <w:r w:rsidR="001F432E">
        <w:t>TOU</w:t>
      </w:r>
      <w:r w:rsidR="001F432E" w:rsidRPr="00856094">
        <w:t xml:space="preserve"> tariff</w:t>
      </w:r>
    </w:p>
    <w:p w14:paraId="7F1C2122" w14:textId="77777777" w:rsidR="001F432E" w:rsidRPr="004A389D" w:rsidRDefault="00485EC0" w:rsidP="001F432E">
      <w:pPr>
        <w:ind w:left="709" w:firstLine="11"/>
      </w:pPr>
      <m:oMath>
        <m:sSub>
          <m:sSubPr>
            <m:ctrlPr>
              <w:rPr>
                <w:rFonts w:ascii="Cambria Math" w:hAnsi="Cambria Math"/>
              </w:rPr>
            </m:ctrlPr>
          </m:sSubPr>
          <m:e>
            <m:r>
              <w:rPr>
                <w:rFonts w:ascii="Cambria Math" w:hAnsi="Cambria Math"/>
              </w:rPr>
              <m:t>p</m:t>
            </m:r>
          </m:e>
          <m:sub>
            <m:r>
              <w:rPr>
                <w:rFonts w:ascii="Cambria Math" w:hAnsi="Cambria Math"/>
              </w:rPr>
              <m:t>f</m:t>
            </m:r>
          </m:sub>
        </m:sSub>
      </m:oMath>
      <w:r w:rsidR="001F432E" w:rsidRPr="0064409C">
        <w:t xml:space="preserve"> is the flat rate</w:t>
      </w:r>
    </w:p>
    <w:p w14:paraId="7530042B" w14:textId="77777777" w:rsidR="001F432E" w:rsidRPr="00856094" w:rsidRDefault="00485EC0" w:rsidP="001F432E">
      <w:pPr>
        <w:ind w:left="709" w:firstLine="11"/>
      </w:pPr>
      <m:oMath>
        <m:sSub>
          <m:sSubPr>
            <m:ctrlPr>
              <w:rPr>
                <w:rFonts w:ascii="Cambria Math" w:hAnsi="Cambria Math"/>
              </w:rPr>
            </m:ctrlPr>
          </m:sSubPr>
          <m:e>
            <m:r>
              <w:rPr>
                <w:rFonts w:ascii="Cambria Math" w:hAnsi="Cambria Math"/>
              </w:rPr>
              <m:t>p</m:t>
            </m:r>
          </m:e>
          <m:sub>
            <m:r>
              <w:rPr>
                <w:rFonts w:ascii="Cambria Math" w:hAnsi="Cambria Math"/>
              </w:rPr>
              <m:t>it</m:t>
            </m:r>
          </m:sub>
        </m:sSub>
      </m:oMath>
      <w:r w:rsidR="001F432E" w:rsidRPr="0064409C">
        <w:t xml:space="preserve"> is the price under</w:t>
      </w:r>
      <w:r w:rsidR="001F432E">
        <w:t xml:space="preserve"> the</w:t>
      </w:r>
      <w:r w:rsidR="001F432E" w:rsidRPr="0064409C">
        <w:t xml:space="preserve"> </w:t>
      </w:r>
      <w:r w:rsidR="001F432E">
        <w:t>TOU</w:t>
      </w:r>
      <w:r w:rsidR="001F432E" w:rsidRPr="004A389D">
        <w:t xml:space="preserve"> tariff for household</w:t>
      </w:r>
      <w:r w:rsidR="001F432E" w:rsidRPr="003A3664">
        <w:t xml:space="preserve"> </w:t>
      </w:r>
      <w:r w:rsidR="001F432E" w:rsidRPr="00572A0B">
        <w:rPr>
          <w:i/>
          <w:iCs/>
        </w:rPr>
        <w:t>i</w:t>
      </w:r>
      <w:r w:rsidR="001F432E" w:rsidRPr="003A3664">
        <w:t xml:space="preserve"> </w:t>
      </w:r>
      <w:r w:rsidR="001F432E" w:rsidRPr="00856094">
        <w:t>at time t</w:t>
      </w:r>
    </w:p>
    <w:p w14:paraId="4E1CD856" w14:textId="77777777" w:rsidR="001F432E" w:rsidRPr="00856094" w:rsidRDefault="001F432E" w:rsidP="001F432E">
      <w:pPr>
        <w:ind w:left="709" w:firstLine="11"/>
      </w:pPr>
      <w:r w:rsidRPr="00856094">
        <w:t xml:space="preserve">C is the cost function for producing and delivering electricity, which includes </w:t>
      </w:r>
      <w:r>
        <w:t xml:space="preserve">the </w:t>
      </w:r>
      <w:r w:rsidRPr="00856094">
        <w:t xml:space="preserve">wholesale market cost, </w:t>
      </w:r>
      <w:r>
        <w:t xml:space="preserve">the </w:t>
      </w:r>
      <w:r w:rsidRPr="00856094">
        <w:t xml:space="preserve">transmission cost and </w:t>
      </w:r>
      <w:r>
        <w:t xml:space="preserve">the </w:t>
      </w:r>
      <w:r w:rsidRPr="00856094">
        <w:t xml:space="preserve">distribution cost </w:t>
      </w:r>
    </w:p>
    <w:p w14:paraId="76F67471" w14:textId="1359F2F9" w:rsidR="006D55C0" w:rsidRDefault="001F432E" w:rsidP="006D55C0">
      <w:pPr>
        <w:spacing w:after="320"/>
        <w:ind w:left="709" w:firstLine="11"/>
      </w:pPr>
      <m:oMath>
        <m:r>
          <w:rPr>
            <w:rFonts w:ascii="Cambria Math" w:hAnsi="Cambria Math"/>
          </w:rPr>
          <m:t>θ</m:t>
        </m:r>
      </m:oMath>
      <w:r w:rsidRPr="00856094">
        <w:t xml:space="preserve"> </w:t>
      </w:r>
      <w:r>
        <w:t>is the profit control parameter (</w:t>
      </w:r>
      <m:oMath>
        <m:r>
          <w:rPr>
            <w:rFonts w:ascii="Cambria Math" w:hAnsi="Cambria Math"/>
          </w:rPr>
          <m:t>0≤</m:t>
        </m:r>
        <m:r>
          <w:rPr>
            <w:rFonts w:ascii="Cambria Math" w:eastAsia="+mn-ea" w:hAnsi="Cambria Math"/>
          </w:rPr>
          <m:t>θ≤1)</m:t>
        </m:r>
      </m:oMath>
      <w:r>
        <w:t xml:space="preserve">, controlling the maximum amount of total cost reduction allowed to be transferred </w:t>
      </w:r>
      <w:r w:rsidR="00C37932">
        <w:t>as the</w:t>
      </w:r>
      <w:r>
        <w:t xml:space="preserve"> profit </w:t>
      </w:r>
      <w:r w:rsidR="00C37932">
        <w:t>for the</w:t>
      </w:r>
      <w:r w:rsidR="007D44C6">
        <w:t xml:space="preserve"> </w:t>
      </w:r>
      <w:r>
        <w:t>utilities</w:t>
      </w:r>
      <w:r w:rsidR="007D44C6">
        <w:t>.</w:t>
      </w:r>
      <w:r>
        <w:t xml:space="preserve"> The revenue loss is matched by the cost reduction when </w:t>
      </w:r>
      <m:oMath>
        <m:r>
          <w:rPr>
            <w:rFonts w:ascii="Cambria Math" w:hAnsi="Cambria Math"/>
          </w:rPr>
          <m:t>θ=0</m:t>
        </m:r>
      </m:oMath>
      <w:r>
        <w:t xml:space="preserve">, meaning </w:t>
      </w:r>
      <w:r w:rsidR="00C37932" w:rsidRPr="005722C1">
        <w:t>the revenue loss is matched by the cost reduction</w:t>
      </w:r>
      <w:r w:rsidR="006D55C0">
        <w:t xml:space="preserve"> </w:t>
      </w:r>
    </w:p>
    <w:p w14:paraId="0E1F3219" w14:textId="251EE1E4" w:rsidR="001F432E" w:rsidRPr="00856094" w:rsidRDefault="00AB070E" w:rsidP="001F432E">
      <w:r w:rsidRPr="00E045B9">
        <w:t xml:space="preserve">The profit control parameter </w:t>
      </w:r>
      <m:oMath>
        <m:r>
          <w:rPr>
            <w:rFonts w:ascii="Cambria Math" w:hAnsi="Cambria Math"/>
          </w:rPr>
          <m:t>θ</m:t>
        </m:r>
      </m:oMath>
      <w:r w:rsidRPr="00E045B9">
        <w:t xml:space="preserve"> is assumed to be close to 0, indicating full cost recovery but </w:t>
      </w:r>
      <w:r>
        <w:t>little</w:t>
      </w:r>
      <w:r w:rsidRPr="00E045B9">
        <w:t xml:space="preserve"> extra profit for the utility company</w:t>
      </w:r>
      <w:r>
        <w:t xml:space="preserve">. </w:t>
      </w:r>
      <w:r w:rsidR="001F432E">
        <w:t>In practice, we set t</w:t>
      </w:r>
      <w:r w:rsidR="001F432E" w:rsidRPr="00E045B9">
        <w:t xml:space="preserve">he profit control parameter </w:t>
      </w:r>
      <m:oMath>
        <m:r>
          <w:rPr>
            <w:rFonts w:ascii="Cambria Math" w:hAnsi="Cambria Math"/>
          </w:rPr>
          <m:t>θ</m:t>
        </m:r>
      </m:oMath>
      <w:r w:rsidR="001F432E" w:rsidRPr="00E045B9">
        <w:t xml:space="preserve"> to 0.02 </w:t>
      </w:r>
      <w:r w:rsidR="001F432E">
        <w:t>to accommodate</w:t>
      </w:r>
      <w:r w:rsidR="001F432E" w:rsidRPr="00E045B9">
        <w:t xml:space="preserve"> the </w:t>
      </w:r>
      <w:r w:rsidR="001F432E">
        <w:t>discrete nature</w:t>
      </w:r>
      <w:r w:rsidR="001F432E" w:rsidRPr="00E045B9">
        <w:t xml:space="preserve"> of </w:t>
      </w:r>
      <w:r w:rsidR="001F432E">
        <w:t xml:space="preserve">tariff change </w:t>
      </w:r>
      <w:r w:rsidR="001F432E" w:rsidRPr="00E045B9">
        <w:t xml:space="preserve">(the unit of change </w:t>
      </w:r>
      <w:r w:rsidR="001F432E">
        <w:t>of rate</w:t>
      </w:r>
      <w:r w:rsidR="001F432E" w:rsidRPr="00E045B9">
        <w:t xml:space="preserve"> is one </w:t>
      </w:r>
      <w:r w:rsidR="001F432E">
        <w:t>Euro cent</w:t>
      </w:r>
      <w:r w:rsidR="001F432E" w:rsidRPr="00E045B9">
        <w:t>)</w:t>
      </w:r>
      <w:r w:rsidR="00510FD9">
        <w:t>.</w:t>
      </w:r>
    </w:p>
    <w:p w14:paraId="5DD1961D" w14:textId="77777777" w:rsidR="001F432E" w:rsidRDefault="001F432E" w:rsidP="001F432E">
      <w:pPr>
        <w:pStyle w:val="ListParagraph"/>
        <w:ind w:left="0" w:firstLine="709"/>
      </w:pPr>
    </w:p>
    <w:p w14:paraId="4C78B6BE" w14:textId="77777777" w:rsidR="001F432E" w:rsidRPr="00856094" w:rsidRDefault="001F432E" w:rsidP="003E45E0">
      <w:pPr>
        <w:pStyle w:val="ListParagraph"/>
        <w:ind w:left="0" w:firstLine="0"/>
      </w:pPr>
      <w:r w:rsidRPr="003E45E0">
        <w:rPr>
          <w:b/>
          <w:bCs/>
        </w:rPr>
        <w:t>Constraint 2:</w:t>
      </w:r>
      <w:r w:rsidRPr="00856094">
        <w:t xml:space="preserve"> A </w:t>
      </w:r>
      <w:r>
        <w:t>large</w:t>
      </w:r>
      <w:r w:rsidRPr="00856094">
        <w:t xml:space="preserve"> majority of users should be better off in both</w:t>
      </w:r>
      <w:r>
        <w:t xml:space="preserve"> the</w:t>
      </w:r>
      <w:r w:rsidRPr="00856094">
        <w:t xml:space="preserve"> low-income and high-income user groups after</w:t>
      </w:r>
      <w:r>
        <w:t xml:space="preserve"> the</w:t>
      </w:r>
      <w:r w:rsidRPr="00856094">
        <w:t xml:space="preserve"> transition. Here we deal exclusively with the high-income user group and </w:t>
      </w:r>
      <w:r>
        <w:t xml:space="preserve">leave </w:t>
      </w:r>
      <w:r w:rsidRPr="00856094">
        <w:t>the low-income users</w:t>
      </w:r>
      <w:r>
        <w:t xml:space="preserve"> to</w:t>
      </w:r>
      <w:r w:rsidRPr="00856094">
        <w:t xml:space="preserve"> </w:t>
      </w:r>
      <w:r>
        <w:t>Constraint</w:t>
      </w:r>
      <w:r w:rsidRPr="00856094">
        <w:t xml:space="preserve"> 3. </w:t>
      </w:r>
      <w:r>
        <w:t xml:space="preserve">This is because for low-income users </w:t>
      </w:r>
      <w:r w:rsidRPr="00856094">
        <w:t xml:space="preserve">any tariff </w:t>
      </w:r>
      <w:r>
        <w:t xml:space="preserve">proposal </w:t>
      </w:r>
      <w:r w:rsidRPr="00856094">
        <w:t>that fulfil</w:t>
      </w:r>
      <w:r>
        <w:t>s</w:t>
      </w:r>
      <w:r w:rsidRPr="00856094">
        <w:t xml:space="preserve"> </w:t>
      </w:r>
      <w:r>
        <w:t>Constraint</w:t>
      </w:r>
      <w:r w:rsidRPr="00856094">
        <w:t xml:space="preserve"> 3 automatically</w:t>
      </w:r>
      <w:r>
        <w:t xml:space="preserve"> </w:t>
      </w:r>
      <w:r w:rsidRPr="00856094">
        <w:t>fulfil</w:t>
      </w:r>
      <w:r>
        <w:t>s</w:t>
      </w:r>
      <w:r w:rsidRPr="00856094">
        <w:t xml:space="preserve"> </w:t>
      </w:r>
      <w:r>
        <w:t>Constraint</w:t>
      </w:r>
      <w:r w:rsidRPr="00856094">
        <w:t xml:space="preserve"> 2.  </w:t>
      </w:r>
    </w:p>
    <w:p w14:paraId="4E07798E" w14:textId="1E5D86A2" w:rsidR="001F432E" w:rsidRDefault="001F432E" w:rsidP="00BF484C">
      <w:pPr>
        <w:pStyle w:val="ListParagraph"/>
        <w:numPr>
          <w:ilvl w:val="0"/>
          <w:numId w:val="19"/>
        </w:numPr>
      </w:pPr>
      <w:r w:rsidRPr="00856094">
        <w:t xml:space="preserve">On average, </w:t>
      </w:r>
      <w:r w:rsidR="00C37932">
        <w:t xml:space="preserve">the </w:t>
      </w:r>
      <w:r w:rsidRPr="00856094">
        <w:t xml:space="preserve">high-income </w:t>
      </w:r>
      <w:r>
        <w:t>users</w:t>
      </w:r>
      <w:r w:rsidRPr="00856094">
        <w:t xml:space="preserve"> </w:t>
      </w:r>
      <w:r w:rsidR="00C37932">
        <w:t>pay</w:t>
      </w:r>
      <w:r w:rsidRPr="00856094">
        <w:t xml:space="preserve"> </w:t>
      </w:r>
      <w:r>
        <w:t>lower</w:t>
      </w:r>
      <w:r w:rsidRPr="00856094">
        <w:t xml:space="preserve"> bill</w:t>
      </w:r>
      <w:r>
        <w:t>s</w:t>
      </w:r>
      <w:r w:rsidRPr="00856094">
        <w:t xml:space="preserve"> after transitioning to </w:t>
      </w:r>
      <w:r>
        <w:t xml:space="preserve">the </w:t>
      </w:r>
      <w:r w:rsidRPr="00856094">
        <w:t>new tariff</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
        <w:gridCol w:w="8096"/>
        <w:gridCol w:w="616"/>
      </w:tblGrid>
      <w:tr w:rsidR="00AE5495" w14:paraId="15D1F4EE" w14:textId="77777777" w:rsidTr="00D44A34">
        <w:tc>
          <w:tcPr>
            <w:tcW w:w="240" w:type="pct"/>
          </w:tcPr>
          <w:p w14:paraId="0FCF10F5" w14:textId="77777777" w:rsidR="006D55C0" w:rsidRDefault="006D55C0" w:rsidP="006D55C0">
            <w:pPr>
              <w:ind w:firstLine="0"/>
              <w:rPr>
                <w:iCs/>
                <w:color w:val="000000"/>
                <w:kern w:val="24"/>
              </w:rPr>
            </w:pPr>
          </w:p>
        </w:tc>
        <w:tc>
          <w:tcPr>
            <w:tcW w:w="4550" w:type="pct"/>
            <w:vAlign w:val="center"/>
          </w:tcPr>
          <w:p w14:paraId="15CA4EB7" w14:textId="77777777" w:rsidR="006D55C0" w:rsidRPr="00896144" w:rsidRDefault="00485EC0" w:rsidP="006D55C0">
            <w:pPr>
              <w:jc w:val="center"/>
              <w:rPr>
                <w:rFonts w:eastAsia="+mn-ea"/>
                <w:iCs/>
              </w:rPr>
            </w:pPr>
            <m:oMathPara>
              <m:oMath>
                <m:nary>
                  <m:naryPr>
                    <m:chr m:val="∑"/>
                    <m:limLoc m:val="undOvr"/>
                    <m:ctrlPr>
                      <w:rPr>
                        <w:rFonts w:ascii="Cambria Math" w:hAnsi="Cambria Math"/>
                        <w:iCs/>
                      </w:rPr>
                    </m:ctrlPr>
                  </m:naryPr>
                  <m:sub>
                    <m:r>
                      <m:rPr>
                        <m:sty m:val="p"/>
                      </m:rPr>
                      <w:rPr>
                        <w:rFonts w:ascii="Cambria Math" w:hAnsi="Cambria Math"/>
                      </w:rPr>
                      <m:t>1</m:t>
                    </m:r>
                  </m:sub>
                  <m:sup>
                    <m:sSub>
                      <m:sSubPr>
                        <m:ctrlPr>
                          <w:rPr>
                            <w:rFonts w:ascii="Cambria Math" w:hAnsi="Cambria Math"/>
                            <w:iCs/>
                          </w:rPr>
                        </m:ctrlPr>
                      </m:sSubPr>
                      <m:e>
                        <m:r>
                          <w:rPr>
                            <w:rFonts w:ascii="Cambria Math" w:hAnsi="Cambria Math"/>
                          </w:rPr>
                          <m:t>N</m:t>
                        </m:r>
                      </m:e>
                      <m:sub>
                        <m:r>
                          <m:rPr>
                            <m:sty m:val="p"/>
                          </m:rPr>
                          <w:rPr>
                            <w:rFonts w:ascii="Cambria Math" w:hAnsi="Cambria Math"/>
                          </w:rPr>
                          <m:t>2</m:t>
                        </m:r>
                      </m:sub>
                    </m:sSub>
                  </m:sup>
                  <m:e>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T</m:t>
                        </m:r>
                      </m:sup>
                      <m:e>
                        <m:sSub>
                          <m:sSubPr>
                            <m:ctrlPr>
                              <w:rPr>
                                <w:rFonts w:ascii="Cambria Math" w:hAnsi="Cambria Math"/>
                                <w:iCs/>
                              </w:rPr>
                            </m:ctrlPr>
                          </m:sSubPr>
                          <m:e>
                            <m:r>
                              <w:rPr>
                                <w:rFonts w:ascii="Cambria Math" w:hAnsi="Cambria Math"/>
                              </w:rPr>
                              <m:t>d</m:t>
                            </m:r>
                          </m:e>
                          <m:sub>
                            <m:r>
                              <w:rPr>
                                <w:rFonts w:ascii="Cambria Math" w:hAnsi="Cambria Math"/>
                              </w:rPr>
                              <m:t>it</m:t>
                            </m:r>
                          </m:sub>
                        </m:sSub>
                        <m:sSub>
                          <m:sSubPr>
                            <m:ctrlPr>
                              <w:rPr>
                                <w:rFonts w:ascii="Cambria Math" w:hAnsi="Cambria Math"/>
                                <w:iCs/>
                              </w:rPr>
                            </m:ctrlPr>
                          </m:sSubPr>
                          <m:e>
                            <m:r>
                              <w:rPr>
                                <w:rFonts w:ascii="Cambria Math" w:hAnsi="Cambria Math"/>
                              </w:rPr>
                              <m:t>p</m:t>
                            </m:r>
                          </m:e>
                          <m:sub>
                            <m:r>
                              <w:rPr>
                                <w:rFonts w:ascii="Cambria Math" w:hAnsi="Cambria Math"/>
                              </w:rPr>
                              <m:t>it</m:t>
                            </m:r>
                          </m:sub>
                        </m:sSub>
                      </m:e>
                    </m:nary>
                  </m:e>
                </m:nary>
                <m:r>
                  <m:rPr>
                    <m:sty m:val="p"/>
                  </m:rPr>
                  <w:rPr>
                    <w:rFonts w:ascii="Cambria Math" w:hAnsi="Cambria Math"/>
                  </w:rPr>
                  <m:t>&lt;</m:t>
                </m:r>
                <m:nary>
                  <m:naryPr>
                    <m:chr m:val="∑"/>
                    <m:limLoc m:val="undOvr"/>
                    <m:ctrlPr>
                      <w:rPr>
                        <w:rFonts w:ascii="Cambria Math" w:hAnsi="Cambria Math"/>
                        <w:iCs/>
                      </w:rPr>
                    </m:ctrlPr>
                  </m:naryPr>
                  <m:sub>
                    <m:r>
                      <m:rPr>
                        <m:sty m:val="p"/>
                      </m:rPr>
                      <w:rPr>
                        <w:rFonts w:ascii="Cambria Math" w:hAnsi="Cambria Math"/>
                      </w:rPr>
                      <m:t>1</m:t>
                    </m:r>
                  </m:sub>
                  <m:sup>
                    <m:sSub>
                      <m:sSubPr>
                        <m:ctrlPr>
                          <w:rPr>
                            <w:rFonts w:ascii="Cambria Math" w:hAnsi="Cambria Math"/>
                            <w:iCs/>
                          </w:rPr>
                        </m:ctrlPr>
                      </m:sSubPr>
                      <m:e>
                        <m:r>
                          <w:rPr>
                            <w:rFonts w:ascii="Cambria Math" w:hAnsi="Cambria Math"/>
                          </w:rPr>
                          <m:t>N</m:t>
                        </m:r>
                      </m:e>
                      <m:sub>
                        <m:r>
                          <m:rPr>
                            <m:sty m:val="p"/>
                          </m:rPr>
                          <w:rPr>
                            <w:rFonts w:ascii="Cambria Math" w:hAnsi="Cambria Math"/>
                          </w:rPr>
                          <m:t>2</m:t>
                        </m:r>
                      </m:sub>
                    </m:sSub>
                  </m:sup>
                  <m:e>
                    <m:nary>
                      <m:naryPr>
                        <m:chr m:val="∑"/>
                        <m:limLoc m:val="undOvr"/>
                        <m:ctrlPr>
                          <w:rPr>
                            <w:rFonts w:ascii="Cambria Math" w:hAnsi="Cambria Math"/>
                            <w:iCs/>
                          </w:rPr>
                        </m:ctrlPr>
                      </m:naryPr>
                      <m:sub>
                        <m:r>
                          <m:rPr>
                            <m:sty m:val="p"/>
                          </m:rPr>
                          <w:rPr>
                            <w:rFonts w:ascii="Cambria Math" w:hAnsi="Cambria Math"/>
                          </w:rPr>
                          <m:t>1</m:t>
                        </m:r>
                      </m:sub>
                      <m:sup>
                        <m:r>
                          <w:rPr>
                            <w:rFonts w:ascii="Cambria Math" w:hAnsi="Cambria Math"/>
                          </w:rPr>
                          <m:t>T</m:t>
                        </m:r>
                      </m:sup>
                      <m:e>
                        <m:sSubSup>
                          <m:sSubSupPr>
                            <m:ctrlPr>
                              <w:rPr>
                                <w:rFonts w:ascii="Cambria Math" w:hAnsi="Cambria Math"/>
                                <w:iCs/>
                              </w:rPr>
                            </m:ctrlPr>
                          </m:sSubSupPr>
                          <m:e>
                            <m:r>
                              <w:rPr>
                                <w:rFonts w:ascii="Cambria Math" w:hAnsi="Cambria Math"/>
                              </w:rPr>
                              <m:t>d</m:t>
                            </m:r>
                          </m:e>
                          <m:sub>
                            <m:r>
                              <w:rPr>
                                <w:rFonts w:ascii="Cambria Math" w:hAnsi="Cambria Math"/>
                              </w:rPr>
                              <m:t>it</m:t>
                            </m:r>
                          </m:sub>
                          <m:sup>
                            <m:r>
                              <m:rPr>
                                <m:sty m:val="p"/>
                              </m:rPr>
                              <w:rPr>
                                <w:rFonts w:ascii="Cambria Math" w:hAnsi="Cambria Math"/>
                              </w:rPr>
                              <m:t>'</m:t>
                            </m:r>
                          </m:sup>
                        </m:sSubSup>
                        <m:sSub>
                          <m:sSubPr>
                            <m:ctrlPr>
                              <w:rPr>
                                <w:rFonts w:ascii="Cambria Math" w:hAnsi="Cambria Math"/>
                                <w:iCs/>
                              </w:rPr>
                            </m:ctrlPr>
                          </m:sSubPr>
                          <m:e>
                            <m:r>
                              <w:rPr>
                                <w:rFonts w:ascii="Cambria Math" w:hAnsi="Cambria Math"/>
                              </w:rPr>
                              <m:t>p</m:t>
                            </m:r>
                          </m:e>
                          <m:sub>
                            <m:r>
                              <w:rPr>
                                <w:rFonts w:ascii="Cambria Math" w:hAnsi="Cambria Math"/>
                              </w:rPr>
                              <m:t>f</m:t>
                            </m:r>
                          </m:sub>
                        </m:sSub>
                      </m:e>
                    </m:nary>
                  </m:e>
                </m:nary>
                <m:r>
                  <m:rPr>
                    <m:sty m:val="p"/>
                  </m:rPr>
                  <w:rPr>
                    <w:rFonts w:ascii="Cambria Math" w:hAnsi="Cambria Math"/>
                  </w:rPr>
                  <m:t>,</m:t>
                </m:r>
                <m:sSub>
                  <m:sSubPr>
                    <m:ctrlPr>
                      <w:rPr>
                        <w:rFonts w:ascii="Cambria Math" w:hAnsi="Cambria Math"/>
                        <w:iCs/>
                      </w:rPr>
                    </m:ctrlPr>
                  </m:sSubPr>
                  <m:e>
                    <m:r>
                      <w:rPr>
                        <w:rFonts w:ascii="Cambria Math" w:hAnsi="Cambria Math"/>
                      </w:rPr>
                      <m:t>i</m:t>
                    </m:r>
                    <m:r>
                      <m:rPr>
                        <m:nor/>
                      </m:rPr>
                      <w:rPr>
                        <w:rFonts w:ascii="Cambria Math" w:hAnsi="Cambria Math" w:cs="Cambria Math"/>
                      </w:rPr>
                      <m:t>∈</m:t>
                    </m:r>
                    <m:r>
                      <m:rPr>
                        <m:sty m:val="p"/>
                      </m:rPr>
                      <w:rPr>
                        <w:rFonts w:ascii="Cambria Math" w:hAnsi="Cambria Math"/>
                      </w:rPr>
                      <m:t>{</m:t>
                    </m:r>
                    <m:r>
                      <w:rPr>
                        <w:rFonts w:ascii="Cambria Math" w:hAnsi="Cambria Math"/>
                      </w:rPr>
                      <m:t>i</m:t>
                    </m:r>
                    <m:r>
                      <m:rPr>
                        <m:nor/>
                      </m:rPr>
                      <m:t>|</m:t>
                    </m:r>
                    <m:r>
                      <m:rPr>
                        <m:sty m:val="p"/>
                      </m:rPr>
                      <w:rPr>
                        <w:rFonts w:ascii="Cambria Math" w:hAnsi="Cambria Math"/>
                        <w:iCs/>
                      </w:rPr>
                      <w:sym w:font="Symbol" w:char="F064"/>
                    </m:r>
                  </m:e>
                  <m:sub>
                    <m:r>
                      <w:rPr>
                        <w:rFonts w:ascii="Cambria Math" w:hAnsi="Cambria Math"/>
                      </w:rPr>
                      <m:t>i</m:t>
                    </m:r>
                  </m:sub>
                </m:sSub>
                <m:r>
                  <m:rPr>
                    <m:sty m:val="p"/>
                  </m:rPr>
                  <w:rPr>
                    <w:rFonts w:ascii="Cambria Math" w:hAnsi="Cambria Math"/>
                  </w:rPr>
                  <m:t>=0}</m:t>
                </m:r>
              </m:oMath>
            </m:oMathPara>
          </w:p>
        </w:tc>
        <w:tc>
          <w:tcPr>
            <w:tcW w:w="210" w:type="pct"/>
            <w:vAlign w:val="center"/>
          </w:tcPr>
          <w:p w14:paraId="0D3A6F71" w14:textId="4446E374" w:rsidR="006D55C0" w:rsidRDefault="006D55C0" w:rsidP="00D8041B">
            <w:pPr>
              <w:ind w:firstLine="0"/>
              <w:rPr>
                <w:iCs/>
                <w:color w:val="000000"/>
                <w:kern w:val="24"/>
              </w:rPr>
            </w:pPr>
            <w:r>
              <w:rPr>
                <w:iCs/>
                <w:color w:val="000000"/>
                <w:kern w:val="24"/>
              </w:rPr>
              <w:t>(</w:t>
            </w:r>
            <w:r w:rsidR="007D44C6">
              <w:rPr>
                <w:iCs/>
                <w:color w:val="000000"/>
                <w:kern w:val="24"/>
              </w:rPr>
              <w:t>12</w:t>
            </w:r>
            <w:r>
              <w:rPr>
                <w:iCs/>
                <w:color w:val="000000"/>
                <w:kern w:val="24"/>
              </w:rPr>
              <w:t>)</w:t>
            </w:r>
          </w:p>
        </w:tc>
      </w:tr>
    </w:tbl>
    <w:p w14:paraId="32AE0EC0" w14:textId="77777777" w:rsidR="001F432E" w:rsidRDefault="001F432E" w:rsidP="001F432E">
      <w:pPr>
        <w:pStyle w:val="ListParagraph"/>
        <w:ind w:left="1069" w:firstLine="0"/>
      </w:pPr>
    </w:p>
    <w:p w14:paraId="5A78AFBE" w14:textId="18E1F3D3" w:rsidR="001F432E" w:rsidRDefault="001F432E" w:rsidP="00BF484C">
      <w:pPr>
        <w:pStyle w:val="ListParagraph"/>
        <w:numPr>
          <w:ilvl w:val="0"/>
          <w:numId w:val="19"/>
        </w:numPr>
      </w:pPr>
      <w:r w:rsidRPr="00856094">
        <w:t xml:space="preserve">A majority of </w:t>
      </w:r>
      <w:r w:rsidR="00C37932">
        <w:t xml:space="preserve">the </w:t>
      </w:r>
      <w:r w:rsidRPr="00856094">
        <w:t xml:space="preserve">high-income households pay </w:t>
      </w:r>
      <w:r>
        <w:t>lower</w:t>
      </w:r>
      <w:r w:rsidRPr="00856094">
        <w:t xml:space="preserve"> bill</w:t>
      </w:r>
      <w:r>
        <w:t>s</w:t>
      </w:r>
      <w:r w:rsidRPr="00856094">
        <w:t xml:space="preserve"> after </w:t>
      </w:r>
      <w:r w:rsidR="00C37932" w:rsidRPr="00856094">
        <w:t xml:space="preserve">transitioning to </w:t>
      </w:r>
      <w:r w:rsidR="00C37932">
        <w:t xml:space="preserve">the </w:t>
      </w:r>
      <w:r w:rsidR="00C37932" w:rsidRPr="00856094">
        <w:t>new tariff</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1F432E" w14:paraId="2B603C08" w14:textId="77777777" w:rsidTr="005F50FE">
        <w:tc>
          <w:tcPr>
            <w:tcW w:w="350" w:type="pct"/>
          </w:tcPr>
          <w:p w14:paraId="78F09318" w14:textId="77777777" w:rsidR="001F432E" w:rsidRDefault="001F432E" w:rsidP="005F50FE">
            <w:pPr>
              <w:ind w:firstLine="0"/>
              <w:rPr>
                <w:iCs/>
                <w:color w:val="000000"/>
                <w:kern w:val="24"/>
              </w:rPr>
            </w:pPr>
          </w:p>
        </w:tc>
        <w:tc>
          <w:tcPr>
            <w:tcW w:w="4300" w:type="pct"/>
            <w:vAlign w:val="center"/>
          </w:tcPr>
          <w:p w14:paraId="4047E7F2" w14:textId="77777777" w:rsidR="001F432E" w:rsidRPr="00896144" w:rsidRDefault="00485EC0" w:rsidP="005F50FE">
            <w:pPr>
              <w:jc w:val="center"/>
              <w:rPr>
                <w:rFonts w:eastAsia="+mn-ea"/>
                <w:iCs/>
              </w:rPr>
            </w:pPr>
            <m:oMathPara>
              <m:oMath>
                <m:sSub>
                  <m:sSubPr>
                    <m:ctrlPr>
                      <w:rPr>
                        <w:rFonts w:ascii="Cambria Math" w:hAnsi="Cambria Math"/>
                        <w:iCs/>
                      </w:rPr>
                    </m:ctrlPr>
                  </m:sSubPr>
                  <m:e>
                    <m:nary>
                      <m:naryPr>
                        <m:chr m:val="∑"/>
                        <m:limLoc m:val="undOvr"/>
                        <m:ctrlPr>
                          <w:rPr>
                            <w:rFonts w:ascii="Cambria Math" w:hAnsi="Cambria Math"/>
                            <w:i/>
                            <w:iCs/>
                          </w:rPr>
                        </m:ctrlPr>
                      </m:naryPr>
                      <m:sub>
                        <m:r>
                          <w:rPr>
                            <w:rFonts w:ascii="Cambria Math" w:hAnsi="Cambria Math"/>
                          </w:rPr>
                          <m:t>1</m:t>
                        </m:r>
                      </m:sub>
                      <m:sup>
                        <m:sSub>
                          <m:sSubPr>
                            <m:ctrlPr>
                              <w:rPr>
                                <w:rFonts w:ascii="Cambria Math" w:hAnsi="Cambria Math"/>
                                <w:i/>
                                <w:iCs/>
                              </w:rPr>
                            </m:ctrlPr>
                          </m:sSubPr>
                          <m:e>
                            <m:r>
                              <w:rPr>
                                <w:rFonts w:ascii="Cambria Math" w:hAnsi="Cambria Math"/>
                              </w:rPr>
                              <m:t>N</m:t>
                            </m:r>
                          </m:e>
                          <m:sub>
                            <m:r>
                              <w:rPr>
                                <w:rFonts w:ascii="Cambria Math" w:hAnsi="Cambria Math"/>
                              </w:rPr>
                              <m:t>2</m:t>
                            </m:r>
                          </m:sub>
                        </m:sSub>
                      </m:sup>
                      <m:e>
                        <m:r>
                          <w:rPr>
                            <w:rFonts w:ascii="Cambria Math" w:hAnsi="Cambria Math"/>
                          </w:rPr>
                          <m:t>i</m:t>
                        </m:r>
                      </m:e>
                    </m:nary>
                    <m:r>
                      <w:rPr>
                        <w:rFonts w:ascii="Cambria Math" w:hAnsi="Cambria Math"/>
                      </w:rPr>
                      <m:t xml:space="preserve">    s.t.</m:t>
                    </m:r>
                    <m:sSub>
                      <m:sSubPr>
                        <m:ctrlPr>
                          <w:rPr>
                            <w:rFonts w:ascii="Cambria Math" w:hAnsi="Cambria Math"/>
                            <w:iCs/>
                          </w:rPr>
                        </m:ctrlPr>
                      </m:sSubPr>
                      <m:e>
                        <m:r>
                          <m:rPr>
                            <m:sty m:val="p"/>
                          </m:rPr>
                          <w:rPr>
                            <w:rFonts w:ascii="Cambria Math" w:hAnsi="Cambria Math"/>
                          </w:rPr>
                          <m:t>[</m:t>
                        </m:r>
                        <m:r>
                          <w:rPr>
                            <w:rFonts w:ascii="Cambria Math" w:hAnsi="Cambria Math"/>
                          </w:rPr>
                          <m:t>d</m:t>
                        </m:r>
                      </m:e>
                      <m:sub>
                        <m:r>
                          <w:rPr>
                            <w:rFonts w:ascii="Cambria Math" w:hAnsi="Cambria Math"/>
                          </w:rPr>
                          <m:t>it</m:t>
                        </m:r>
                      </m:sub>
                    </m:sSub>
                    <m:sSub>
                      <m:sSubPr>
                        <m:ctrlPr>
                          <w:rPr>
                            <w:rFonts w:ascii="Cambria Math" w:hAnsi="Cambria Math"/>
                            <w:iCs/>
                          </w:rPr>
                        </m:ctrlPr>
                      </m:sSubPr>
                      <m:e>
                        <m:r>
                          <w:rPr>
                            <w:rFonts w:ascii="Cambria Math" w:hAnsi="Cambria Math"/>
                          </w:rPr>
                          <m:t>p</m:t>
                        </m:r>
                      </m:e>
                      <m:sub>
                        <m:r>
                          <w:rPr>
                            <w:rFonts w:ascii="Cambria Math" w:hAnsi="Cambria Math"/>
                          </w:rPr>
                          <m:t>it</m:t>
                        </m:r>
                      </m:sub>
                    </m:sSub>
                    <m:r>
                      <m:rPr>
                        <m:sty m:val="p"/>
                      </m:rPr>
                      <w:rPr>
                        <w:rFonts w:ascii="Cambria Math" w:hAnsi="Cambria Math"/>
                      </w:rPr>
                      <m:t>-</m:t>
                    </m:r>
                    <m:sSubSup>
                      <m:sSubSupPr>
                        <m:ctrlPr>
                          <w:rPr>
                            <w:rFonts w:ascii="Cambria Math" w:hAnsi="Cambria Math"/>
                            <w:iCs/>
                          </w:rPr>
                        </m:ctrlPr>
                      </m:sSubSupPr>
                      <m:e>
                        <m:r>
                          <w:rPr>
                            <w:rFonts w:ascii="Cambria Math" w:hAnsi="Cambria Math"/>
                          </w:rPr>
                          <m:t>d</m:t>
                        </m:r>
                      </m:e>
                      <m:sub>
                        <m:r>
                          <w:rPr>
                            <w:rFonts w:ascii="Cambria Math" w:hAnsi="Cambria Math"/>
                          </w:rPr>
                          <m:t>it</m:t>
                        </m:r>
                      </m:sub>
                      <m:sup>
                        <m:r>
                          <m:rPr>
                            <m:sty m:val="p"/>
                          </m:rPr>
                          <w:rPr>
                            <w:rFonts w:ascii="Cambria Math" w:hAnsi="Cambria Math"/>
                          </w:rPr>
                          <m:t>'</m:t>
                        </m:r>
                      </m:sup>
                    </m:sSubSup>
                    <m:sSub>
                      <m:sSubPr>
                        <m:ctrlPr>
                          <w:rPr>
                            <w:rFonts w:ascii="Cambria Math" w:hAnsi="Cambria Math"/>
                            <w:iCs/>
                          </w:rPr>
                        </m:ctrlPr>
                      </m:sSubPr>
                      <m:e>
                        <m:r>
                          <w:rPr>
                            <w:rFonts w:ascii="Cambria Math" w:hAnsi="Cambria Math"/>
                          </w:rPr>
                          <m:t>p</m:t>
                        </m:r>
                      </m:e>
                      <m:sub>
                        <m:r>
                          <w:rPr>
                            <w:rFonts w:ascii="Cambria Math" w:hAnsi="Cambria Math"/>
                          </w:rPr>
                          <m:t>f</m:t>
                        </m:r>
                      </m:sub>
                    </m:sSub>
                    <m:r>
                      <m:rPr>
                        <m:sty m:val="p"/>
                      </m:rPr>
                      <w:rPr>
                        <w:rFonts w:ascii="Cambria Math" w:hAnsi="Cambria Math"/>
                      </w:rPr>
                      <m:t>&lt;0]&gt;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iCs/>
                          </w:rPr>
                        </m:ctrlPr>
                      </m:sSubPr>
                      <m:e>
                        <m:r>
                          <w:rPr>
                            <w:rFonts w:ascii="Cambria Math" w:hAnsi="Cambria Math"/>
                          </w:rPr>
                          <m:t>N</m:t>
                        </m:r>
                      </m:e>
                      <m:sub>
                        <m:r>
                          <m:rPr>
                            <m:sty m:val="p"/>
                          </m:rPr>
                          <w:rPr>
                            <w:rFonts w:ascii="Cambria Math" w:hAnsi="Cambria Math"/>
                          </w:rPr>
                          <m:t>2</m:t>
                        </m:r>
                      </m:sub>
                    </m:sSub>
                    <m:r>
                      <w:rPr>
                        <w:rFonts w:ascii="Cambria Math" w:hAnsi="Cambria Math"/>
                      </w:rPr>
                      <m:t xml:space="preserve">  </m:t>
                    </m:r>
                    <m:r>
                      <m:rPr>
                        <m:sty m:val="p"/>
                      </m:rPr>
                      <w:rPr>
                        <w:rFonts w:ascii="Cambria Math" w:hAnsi="Cambria Math"/>
                      </w:rPr>
                      <m:t xml:space="preserve">, </m:t>
                    </m:r>
                    <m:sSub>
                      <m:sSubPr>
                        <m:ctrlPr>
                          <w:rPr>
                            <w:rFonts w:ascii="Cambria Math" w:hAnsi="Cambria Math"/>
                            <w:iCs/>
                          </w:rPr>
                        </m:ctrlPr>
                      </m:sSubPr>
                      <m:e>
                        <m:r>
                          <w:rPr>
                            <w:rFonts w:ascii="Cambria Math" w:hAnsi="Cambria Math"/>
                          </w:rPr>
                          <m:t xml:space="preserve">    i </m:t>
                        </m:r>
                        <m:r>
                          <m:rPr>
                            <m:nor/>
                          </m:rPr>
                          <w:rPr>
                            <w:rFonts w:ascii="Cambria Math" w:hAnsi="Cambria Math" w:cs="Cambria Math"/>
                          </w:rPr>
                          <m:t xml:space="preserve">∈ </m:t>
                        </m:r>
                        <m:r>
                          <m:rPr>
                            <m:sty m:val="p"/>
                          </m:rPr>
                          <w:rPr>
                            <w:rFonts w:ascii="Cambria Math" w:hAnsi="Cambria Math"/>
                          </w:rPr>
                          <m:t>{</m:t>
                        </m:r>
                        <m:r>
                          <w:rPr>
                            <w:rFonts w:ascii="Cambria Math" w:hAnsi="Cambria Math"/>
                          </w:rPr>
                          <m:t xml:space="preserve">i </m:t>
                        </m:r>
                        <m:r>
                          <m:rPr>
                            <m:nor/>
                          </m:rPr>
                          <m:t>|</m:t>
                        </m:r>
                        <m:r>
                          <m:rPr>
                            <m:nor/>
                          </m:rPr>
                          <w:rPr>
                            <w:rFonts w:ascii="Cambria Math"/>
                          </w:rPr>
                          <m:t xml:space="preserve"> </m:t>
                        </m:r>
                        <m:r>
                          <m:rPr>
                            <m:sty m:val="p"/>
                          </m:rPr>
                          <w:rPr>
                            <w:rFonts w:ascii="Cambria Math" w:hAnsi="Cambria Math"/>
                            <w:iCs/>
                          </w:rPr>
                          <w:sym w:font="Symbol" w:char="F064"/>
                        </m:r>
                      </m:e>
                      <m:sub>
                        <m:r>
                          <w:rPr>
                            <w:rFonts w:ascii="Cambria Math" w:hAnsi="Cambria Math"/>
                          </w:rPr>
                          <m:t>i</m:t>
                        </m:r>
                      </m:sub>
                    </m:sSub>
                    <m:r>
                      <m:rPr>
                        <m:sty m:val="p"/>
                      </m:rPr>
                      <w:rPr>
                        <w:rFonts w:ascii="Cambria Math" w:hAnsi="Cambria Math"/>
                      </w:rPr>
                      <m:t>=0}</m:t>
                    </m:r>
                    <m:r>
                      <m:rPr>
                        <m:nor/>
                      </m:rPr>
                      <m:t> </m:t>
                    </m:r>
                  </m:e>
                  <m:sub/>
                </m:sSub>
              </m:oMath>
            </m:oMathPara>
          </w:p>
        </w:tc>
        <w:tc>
          <w:tcPr>
            <w:tcW w:w="350" w:type="pct"/>
            <w:vAlign w:val="center"/>
          </w:tcPr>
          <w:p w14:paraId="2199FBDE" w14:textId="6E90BD2B" w:rsidR="001F432E" w:rsidRDefault="001F432E" w:rsidP="005F50FE">
            <w:pPr>
              <w:ind w:firstLine="0"/>
              <w:jc w:val="right"/>
              <w:rPr>
                <w:iCs/>
                <w:color w:val="000000"/>
                <w:kern w:val="24"/>
              </w:rPr>
            </w:pPr>
            <w:r>
              <w:t>(</w:t>
            </w:r>
            <w:r w:rsidR="007D44C6">
              <w:t>13</w:t>
            </w:r>
            <w:r>
              <w:t>)</w:t>
            </w:r>
          </w:p>
        </w:tc>
      </w:tr>
    </w:tbl>
    <w:p w14:paraId="25EBC438" w14:textId="7FF3F3F7" w:rsidR="001F432E" w:rsidRPr="00F76266" w:rsidRDefault="006D55C0" w:rsidP="001F432E">
      <w:pPr>
        <w:ind w:firstLine="0"/>
      </w:pPr>
      <w:r>
        <w:rPr>
          <w:lang w:val="en-US"/>
        </w:rPr>
        <w:t>w</w:t>
      </w:r>
      <w:r w:rsidRPr="00F76266">
        <w:rPr>
          <w:lang w:val="en-US"/>
        </w:rPr>
        <w:t>here</w:t>
      </w:r>
      <w:r w:rsidR="001F432E" w:rsidRPr="00F76266">
        <w:rPr>
          <w:lang w:val="en-US"/>
        </w:rPr>
        <w:t>:</w:t>
      </w:r>
    </w:p>
    <w:p w14:paraId="60D34C7E" w14:textId="588B1CCC" w:rsidR="001F432E" w:rsidRDefault="00485EC0" w:rsidP="001F432E">
      <w:pPr>
        <w:ind w:left="709" w:firstLine="0"/>
      </w:pPr>
      <m:oMath>
        <m:sSub>
          <m:sSubPr>
            <m:ctrlPr>
              <w:rPr>
                <w:rFonts w:ascii="Cambria Math" w:hAnsi="Cambria Math"/>
                <w:i/>
                <w:iCs/>
              </w:rPr>
            </m:ctrlPr>
          </m:sSubPr>
          <m:e>
            <m:r>
              <w:rPr>
                <w:rFonts w:ascii="Cambria Math" w:hAnsi="Cambria Math"/>
                <w:i/>
                <w:iCs/>
              </w:rPr>
              <w:sym w:font="Symbol" w:char="F064"/>
            </m:r>
          </m:e>
          <m:sub>
            <m:r>
              <w:rPr>
                <w:rFonts w:ascii="Cambria Math" w:hAnsi="Cambria Math"/>
              </w:rPr>
              <m:t>i</m:t>
            </m:r>
          </m:sub>
        </m:sSub>
      </m:oMath>
      <w:r w:rsidR="001F432E" w:rsidRPr="00F76266">
        <w:t xml:space="preserve"> </w:t>
      </w:r>
      <w:r w:rsidR="001F432E" w:rsidRPr="00F76266">
        <w:rPr>
          <w:lang w:val="en-US"/>
        </w:rPr>
        <w:t>is</w:t>
      </w:r>
      <w:r w:rsidR="001F432E" w:rsidRPr="00F76266">
        <w:t xml:space="preserve"> </w:t>
      </w:r>
      <w:r w:rsidR="001F432E" w:rsidRPr="00F76266">
        <w:rPr>
          <w:lang w:val="en-US"/>
        </w:rPr>
        <w:t>the</w:t>
      </w:r>
      <w:r w:rsidR="001F432E" w:rsidRPr="00F76266">
        <w:t xml:space="preserve"> </w:t>
      </w:r>
      <w:r w:rsidR="001F432E" w:rsidRPr="00F76266">
        <w:rPr>
          <w:lang w:val="en-US"/>
        </w:rPr>
        <w:t>dummy</w:t>
      </w:r>
      <w:r w:rsidR="001F432E" w:rsidRPr="00F76266">
        <w:t xml:space="preserve"> </w:t>
      </w:r>
      <w:r w:rsidR="001F432E" w:rsidRPr="00F76266">
        <w:rPr>
          <w:lang w:val="en-US"/>
        </w:rPr>
        <w:t>variable</w:t>
      </w:r>
      <w:r w:rsidR="001F432E" w:rsidRPr="00F76266">
        <w:t xml:space="preserve"> </w:t>
      </w:r>
      <w:r w:rsidR="001F432E" w:rsidRPr="00F76266">
        <w:rPr>
          <w:lang w:val="en-US"/>
        </w:rPr>
        <w:t>indicating</w:t>
      </w:r>
      <w:r w:rsidR="001F432E" w:rsidRPr="00F76266">
        <w:t xml:space="preserve"> </w:t>
      </w:r>
      <w:r w:rsidR="001F432E" w:rsidRPr="00F76266">
        <w:rPr>
          <w:lang w:val="en-US"/>
        </w:rPr>
        <w:t>whether</w:t>
      </w:r>
      <w:r w:rsidR="001F432E" w:rsidRPr="00F76266">
        <w:t xml:space="preserve"> </w:t>
      </w:r>
      <w:r w:rsidR="00C37932">
        <w:t xml:space="preserve">the </w:t>
      </w:r>
      <w:r w:rsidR="001F432E" w:rsidRPr="00F76266">
        <w:rPr>
          <w:lang w:val="en-US"/>
        </w:rPr>
        <w:t>households</w:t>
      </w:r>
      <w:r w:rsidR="001F432E" w:rsidRPr="00F76266">
        <w:t xml:space="preserve"> </w:t>
      </w:r>
      <w:r w:rsidR="001F432E" w:rsidRPr="00F76266">
        <w:rPr>
          <w:lang w:val="en-US"/>
        </w:rPr>
        <w:t>are</w:t>
      </w:r>
      <w:r w:rsidR="001F432E" w:rsidRPr="00F76266">
        <w:t xml:space="preserve"> </w:t>
      </w:r>
      <w:r w:rsidR="001F432E" w:rsidRPr="00F76266">
        <w:rPr>
          <w:lang w:val="en-US"/>
        </w:rPr>
        <w:t>low-income</w:t>
      </w:r>
      <w:r w:rsidR="001F432E">
        <w:t>, 1</w:t>
      </w:r>
      <w:r w:rsidR="001F432E" w:rsidRPr="0064409C">
        <w:t xml:space="preserve"> </w:t>
      </w:r>
      <w:r w:rsidR="00C37932">
        <w:t xml:space="preserve">representing the </w:t>
      </w:r>
      <w:r w:rsidR="001F432E" w:rsidRPr="0064409C">
        <w:t xml:space="preserve">low-income users and </w:t>
      </w:r>
      <w:r w:rsidR="001F432E">
        <w:t>0</w:t>
      </w:r>
      <w:r w:rsidR="001F432E" w:rsidRPr="0064409C">
        <w:t xml:space="preserve"> </w:t>
      </w:r>
      <w:r w:rsidR="00C37932">
        <w:t>representing the</w:t>
      </w:r>
      <w:r w:rsidR="001F432E" w:rsidRPr="0064409C">
        <w:t xml:space="preserve"> high-income </w:t>
      </w:r>
      <w:proofErr w:type="gramStart"/>
      <w:r w:rsidR="001F432E" w:rsidRPr="0064409C">
        <w:t>users.</w:t>
      </w:r>
      <w:proofErr w:type="gramEnd"/>
    </w:p>
    <w:p w14:paraId="252A67CD" w14:textId="77777777" w:rsidR="001F432E" w:rsidRPr="000D0515" w:rsidRDefault="001F432E" w:rsidP="001F432E">
      <w:pPr>
        <w:ind w:left="709" w:firstLine="0"/>
        <w:rPr>
          <w:i/>
        </w:rPr>
      </w:pPr>
    </w:p>
    <w:p w14:paraId="66DCD7C5" w14:textId="36BE864C" w:rsidR="001F432E" w:rsidRPr="006D55C0" w:rsidRDefault="001F432E" w:rsidP="003E45E0">
      <w:pPr>
        <w:ind w:firstLine="0"/>
        <w:rPr>
          <w:lang w:val="en-GB"/>
        </w:rPr>
      </w:pPr>
      <w:r w:rsidRPr="003E45E0">
        <w:rPr>
          <w:b/>
          <w:bCs/>
        </w:rPr>
        <w:t>Constraint 3:</w:t>
      </w:r>
      <w:r w:rsidRPr="00856094">
        <w:t xml:space="preserve"> </w:t>
      </w:r>
      <w:r>
        <w:t>No l</w:t>
      </w:r>
      <w:r w:rsidRPr="00E045B9">
        <w:t xml:space="preserve">ow-income households </w:t>
      </w:r>
      <w:r>
        <w:t xml:space="preserve">should have </w:t>
      </w:r>
      <w:r w:rsidR="006D55C0">
        <w:t>higher cost</w:t>
      </w:r>
      <w:r w:rsidR="00C37932">
        <w:t>s</w:t>
      </w:r>
      <w:r w:rsidR="006D55C0">
        <w:t xml:space="preserve"> after </w:t>
      </w:r>
      <w:r w:rsidR="00C37932" w:rsidRPr="00856094">
        <w:t xml:space="preserve">transitioning to </w:t>
      </w:r>
      <w:r w:rsidR="00C37932">
        <w:t xml:space="preserve">the </w:t>
      </w:r>
      <w:r w:rsidR="00C37932" w:rsidRPr="00856094">
        <w:t>new tariff</w:t>
      </w:r>
      <w:r w:rsidR="006D55C0">
        <w:rPr>
          <w:lang w:val="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1F432E" w14:paraId="5DE4D138" w14:textId="77777777" w:rsidTr="005F50FE">
        <w:tc>
          <w:tcPr>
            <w:tcW w:w="350" w:type="pct"/>
          </w:tcPr>
          <w:p w14:paraId="414E9887" w14:textId="77777777" w:rsidR="001F432E" w:rsidRDefault="001F432E" w:rsidP="005F50FE">
            <w:pPr>
              <w:ind w:firstLine="0"/>
              <w:rPr>
                <w:iCs/>
                <w:color w:val="000000"/>
                <w:kern w:val="24"/>
              </w:rPr>
            </w:pPr>
          </w:p>
        </w:tc>
        <w:tc>
          <w:tcPr>
            <w:tcW w:w="4300" w:type="pct"/>
            <w:vAlign w:val="center"/>
          </w:tcPr>
          <w:p w14:paraId="7F3E4576" w14:textId="77777777" w:rsidR="001F432E" w:rsidRPr="000D0515" w:rsidRDefault="00485EC0" w:rsidP="005F50FE">
            <w:pPr>
              <w:ind w:firstLine="0"/>
              <w:jc w:val="center"/>
              <w:rPr>
                <w:iCs/>
              </w:rPr>
            </w:pPr>
            <m:oMathPara>
              <m:oMath>
                <m:sSub>
                  <m:sSubPr>
                    <m:ctrlPr>
                      <w:rPr>
                        <w:rFonts w:ascii="Cambria Math" w:hAnsi="Cambria Math"/>
                        <w:iCs/>
                      </w:rPr>
                    </m:ctrlPr>
                  </m:sSubPr>
                  <m:e>
                    <m:r>
                      <w:rPr>
                        <w:rFonts w:ascii="Cambria Math" w:hAnsi="Cambria Math"/>
                      </w:rPr>
                      <m:t>d</m:t>
                    </m:r>
                  </m:e>
                  <m:sub>
                    <m:r>
                      <w:rPr>
                        <w:rFonts w:ascii="Cambria Math" w:hAnsi="Cambria Math"/>
                      </w:rPr>
                      <m:t>it</m:t>
                    </m:r>
                  </m:sub>
                </m:sSub>
                <m:sSub>
                  <m:sSubPr>
                    <m:ctrlPr>
                      <w:rPr>
                        <w:rFonts w:ascii="Cambria Math" w:hAnsi="Cambria Math"/>
                        <w:iCs/>
                      </w:rPr>
                    </m:ctrlPr>
                  </m:sSubPr>
                  <m:e>
                    <m:r>
                      <w:rPr>
                        <w:rFonts w:ascii="Cambria Math" w:hAnsi="Cambria Math"/>
                      </w:rPr>
                      <m:t>p</m:t>
                    </m:r>
                  </m:e>
                  <m:sub>
                    <m:r>
                      <w:rPr>
                        <w:rFonts w:ascii="Cambria Math" w:hAnsi="Cambria Math"/>
                      </w:rPr>
                      <m:t>it</m:t>
                    </m:r>
                  </m:sub>
                </m:sSub>
                <m:r>
                  <m:rPr>
                    <m:sty m:val="p"/>
                  </m:rPr>
                  <w:rPr>
                    <w:rFonts w:ascii="Cambria Math" w:hAnsi="Cambria Math"/>
                  </w:rPr>
                  <m:t>≤</m:t>
                </m:r>
                <m:sSubSup>
                  <m:sSubSupPr>
                    <m:ctrlPr>
                      <w:rPr>
                        <w:rFonts w:ascii="Cambria Math" w:hAnsi="Cambria Math"/>
                        <w:iCs/>
                      </w:rPr>
                    </m:ctrlPr>
                  </m:sSubSupPr>
                  <m:e>
                    <m:r>
                      <w:rPr>
                        <w:rFonts w:ascii="Cambria Math" w:hAnsi="Cambria Math"/>
                      </w:rPr>
                      <m:t>d</m:t>
                    </m:r>
                  </m:e>
                  <m:sub>
                    <m:r>
                      <w:rPr>
                        <w:rFonts w:ascii="Cambria Math" w:hAnsi="Cambria Math"/>
                      </w:rPr>
                      <m:t>it</m:t>
                    </m:r>
                  </m:sub>
                  <m:sup>
                    <m:r>
                      <m:rPr>
                        <m:sty m:val="p"/>
                      </m:rPr>
                      <w:rPr>
                        <w:rFonts w:ascii="Cambria Math" w:hAnsi="Cambria Math"/>
                      </w:rPr>
                      <m:t>'</m:t>
                    </m:r>
                  </m:sup>
                </m:sSubSup>
                <m:sSub>
                  <m:sSubPr>
                    <m:ctrlPr>
                      <w:rPr>
                        <w:rFonts w:ascii="Cambria Math" w:hAnsi="Cambria Math"/>
                        <w:iCs/>
                      </w:rPr>
                    </m:ctrlPr>
                  </m:sSubPr>
                  <m:e>
                    <m:r>
                      <w:rPr>
                        <w:rFonts w:ascii="Cambria Math" w:hAnsi="Cambria Math"/>
                      </w:rPr>
                      <m:t>p</m:t>
                    </m:r>
                  </m:e>
                  <m:sub>
                    <m:r>
                      <w:rPr>
                        <w:rFonts w:ascii="Cambria Math" w:hAnsi="Cambria Math"/>
                      </w:rPr>
                      <m:t>f</m:t>
                    </m:r>
                  </m:sub>
                </m:sSub>
                <m:r>
                  <m:rPr>
                    <m:sty m:val="p"/>
                  </m:rPr>
                  <w:rPr>
                    <w:rFonts w:ascii="Cambria Math" w:hAnsi="Cambria Math"/>
                  </w:rPr>
                  <m:t xml:space="preserve">,  ∀ </m:t>
                </m:r>
                <m:r>
                  <w:rPr>
                    <w:rFonts w:ascii="Cambria Math" w:hAnsi="Cambria Math"/>
                  </w:rPr>
                  <m:t xml:space="preserve">i </m:t>
                </m:r>
                <m:sSub>
                  <m:sSubPr>
                    <m:ctrlPr>
                      <w:rPr>
                        <w:rFonts w:ascii="Cambria Math" w:hAnsi="Cambria Math"/>
                        <w:iCs/>
                      </w:rPr>
                    </m:ctrlPr>
                  </m:sSubPr>
                  <m:e>
                    <m:r>
                      <m:rPr>
                        <m:nor/>
                      </m:rPr>
                      <w:rPr>
                        <w:rFonts w:ascii="Cambria Math" w:hAnsi="Cambria Math" w:cs="Cambria Math"/>
                      </w:rPr>
                      <m:t xml:space="preserve">∈ </m:t>
                    </m:r>
                    <m:r>
                      <m:rPr>
                        <m:sty m:val="p"/>
                      </m:rPr>
                      <w:rPr>
                        <w:rFonts w:ascii="Cambria Math" w:hAnsi="Cambria Math"/>
                      </w:rPr>
                      <m:t>{</m:t>
                    </m:r>
                    <m:r>
                      <w:rPr>
                        <w:rFonts w:ascii="Cambria Math" w:hAnsi="Cambria Math"/>
                      </w:rPr>
                      <m:t xml:space="preserve">i </m:t>
                    </m:r>
                    <m:r>
                      <m:rPr>
                        <m:nor/>
                      </m:rPr>
                      <m:t>|</m:t>
                    </m:r>
                    <m:r>
                      <m:rPr>
                        <m:nor/>
                      </m:rPr>
                      <w:rPr>
                        <w:rFonts w:ascii="Cambria Math"/>
                      </w:rPr>
                      <m:t xml:space="preserve"> </m:t>
                    </m:r>
                    <m:r>
                      <m:rPr>
                        <m:sty m:val="p"/>
                      </m:rPr>
                      <w:rPr>
                        <w:rFonts w:ascii="Cambria Math" w:hAnsi="Cambria Math"/>
                      </w:rPr>
                      <w:sym w:font="Symbol" w:char="F064"/>
                    </m:r>
                  </m:e>
                  <m:sub>
                    <m:r>
                      <w:rPr>
                        <w:rFonts w:ascii="Cambria Math" w:hAnsi="Cambria Math"/>
                      </w:rPr>
                      <m:t>i</m:t>
                    </m:r>
                  </m:sub>
                </m:sSub>
                <m:r>
                  <m:rPr>
                    <m:sty m:val="p"/>
                  </m:rPr>
                  <w:rPr>
                    <w:rFonts w:ascii="Cambria Math" w:hAnsi="Cambria Math"/>
                  </w:rPr>
                  <m:t>=1}</m:t>
                </m:r>
              </m:oMath>
            </m:oMathPara>
          </w:p>
        </w:tc>
        <w:tc>
          <w:tcPr>
            <w:tcW w:w="350" w:type="pct"/>
            <w:vAlign w:val="center"/>
          </w:tcPr>
          <w:p w14:paraId="12FBB894" w14:textId="41B60744" w:rsidR="001F432E" w:rsidRDefault="001F432E" w:rsidP="005F50FE">
            <w:pPr>
              <w:ind w:firstLine="0"/>
              <w:jc w:val="right"/>
              <w:rPr>
                <w:iCs/>
                <w:color w:val="000000"/>
                <w:kern w:val="24"/>
              </w:rPr>
            </w:pPr>
            <w:r>
              <w:t>(</w:t>
            </w:r>
            <w:r w:rsidR="00C61A5B">
              <w:t>1</w:t>
            </w:r>
            <w:r w:rsidR="007D44C6">
              <w:t>4</w:t>
            </w:r>
            <w:r>
              <w:t>)</w:t>
            </w:r>
          </w:p>
        </w:tc>
      </w:tr>
    </w:tbl>
    <w:p w14:paraId="2E3B27D0" w14:textId="77777777" w:rsidR="001F432E" w:rsidRPr="00856094" w:rsidRDefault="001F432E" w:rsidP="001F432E">
      <w:pPr>
        <w:pStyle w:val="ListParagraph"/>
        <w:ind w:left="0" w:firstLine="709"/>
      </w:pPr>
    </w:p>
    <w:p w14:paraId="2E732191" w14:textId="75293390" w:rsidR="001F432E" w:rsidRDefault="001F432E" w:rsidP="003E45E0">
      <w:pPr>
        <w:pStyle w:val="ListParagraph"/>
        <w:ind w:left="0" w:firstLine="0"/>
      </w:pPr>
      <w:r w:rsidRPr="003E45E0">
        <w:rPr>
          <w:b/>
          <w:bCs/>
        </w:rPr>
        <w:t>Constraint 4:</w:t>
      </w:r>
      <w:r w:rsidRPr="004A389D">
        <w:t xml:space="preserve"> </w:t>
      </w:r>
      <w:r>
        <w:t xml:space="preserve">Cost savings </w:t>
      </w:r>
      <w:r w:rsidR="00C37932">
        <w:t>by</w:t>
      </w:r>
      <w:r>
        <w:t xml:space="preserve"> </w:t>
      </w:r>
      <w:r w:rsidR="00C37932">
        <w:t xml:space="preserve">the </w:t>
      </w:r>
      <w:r w:rsidRPr="003A3664">
        <w:t xml:space="preserve">low-income households are no less than </w:t>
      </w:r>
      <w:r w:rsidR="00C37932">
        <w:t>that of the</w:t>
      </w:r>
      <w:r>
        <w:t xml:space="preserve"> </w:t>
      </w:r>
      <w:r w:rsidRPr="00856094">
        <w:t>high-income households.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1F432E" w14:paraId="0375A8E4" w14:textId="77777777" w:rsidTr="005F50FE">
        <w:tc>
          <w:tcPr>
            <w:tcW w:w="350" w:type="pct"/>
          </w:tcPr>
          <w:p w14:paraId="11DB8AB3" w14:textId="77777777" w:rsidR="001F432E" w:rsidRDefault="001F432E" w:rsidP="005F50FE">
            <w:pPr>
              <w:ind w:firstLine="0"/>
              <w:rPr>
                <w:iCs/>
                <w:color w:val="000000"/>
                <w:kern w:val="24"/>
              </w:rPr>
            </w:pPr>
          </w:p>
        </w:tc>
        <w:tc>
          <w:tcPr>
            <w:tcW w:w="4300" w:type="pct"/>
            <w:vAlign w:val="center"/>
          </w:tcPr>
          <w:p w14:paraId="2E64B265" w14:textId="77777777" w:rsidR="001F432E" w:rsidRPr="000D0515" w:rsidRDefault="00485EC0" w:rsidP="005F50FE">
            <w:pPr>
              <w:ind w:firstLine="0"/>
            </w:pPr>
            <m:oMathPara>
              <m:oMathParaPr>
                <m:jc m:val="center"/>
              </m:oMathParaPr>
              <m:oMath>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1</m:t>
                        </m:r>
                      </m:sub>
                      <m:sup>
                        <m:sSub>
                          <m:sSubPr>
                            <m:ctrlPr>
                              <w:rPr>
                                <w:rFonts w:ascii="Cambria Math" w:hAnsi="Cambria Math"/>
                              </w:rPr>
                            </m:ctrlPr>
                          </m:sSubPr>
                          <m:e>
                            <m:r>
                              <w:rPr>
                                <w:rFonts w:ascii="Cambria Math" w:hAnsi="Cambria Math"/>
                              </w:rPr>
                              <m:t>N</m:t>
                            </m:r>
                          </m:e>
                          <m:sub>
                            <m:r>
                              <m:rPr>
                                <m:sty m:val="p"/>
                              </m:rPr>
                              <w:rPr>
                                <w:rFonts w:ascii="Cambria Math" w:hAnsi="Cambria Math"/>
                              </w:rPr>
                              <m:t>1</m:t>
                            </m:r>
                          </m:sub>
                        </m:sSub>
                      </m:sup>
                      <m:e>
                        <m:nary>
                          <m:naryPr>
                            <m:chr m:val="∑"/>
                            <m:limLoc m:val="undOvr"/>
                            <m:ctrlPr>
                              <w:rPr>
                                <w:rFonts w:ascii="Cambria Math" w:hAnsi="Cambria Math"/>
                              </w:rPr>
                            </m:ctrlPr>
                          </m:naryPr>
                          <m:sub>
                            <m:r>
                              <m:rPr>
                                <m:sty m:val="p"/>
                              </m:rPr>
                              <w:rPr>
                                <w:rFonts w:ascii="Cambria Math" w:hAnsi="Cambria Math"/>
                              </w:rPr>
                              <m:t>1</m:t>
                            </m:r>
                          </m:sub>
                          <m:sup>
                            <m:r>
                              <w:rPr>
                                <w:rFonts w:ascii="Cambria Math" w:hAnsi="Cambria Math"/>
                              </w:rPr>
                              <m:t>T</m:t>
                            </m:r>
                          </m:sup>
                          <m:e>
                            <m:sSubSup>
                              <m:sSubSupPr>
                                <m:ctrlPr>
                                  <w:rPr>
                                    <w:rFonts w:ascii="Cambria Math" w:hAnsi="Cambria Math"/>
                                  </w:rPr>
                                </m:ctrlPr>
                              </m:sSubSupPr>
                              <m:e>
                                <m:r>
                                  <w:rPr>
                                    <w:rFonts w:ascii="Cambria Math" w:hAnsi="Cambria Math"/>
                                  </w:rPr>
                                  <m:t>d</m:t>
                                </m:r>
                              </m:e>
                              <m:sub>
                                <m:r>
                                  <w:rPr>
                                    <w:rFonts w:ascii="Cambria Math" w:hAnsi="Cambria Math"/>
                                  </w:rPr>
                                  <m:t>it</m:t>
                                </m:r>
                              </m:sub>
                              <m:sup>
                                <m:r>
                                  <m:rPr>
                                    <m:sty m:val="p"/>
                                  </m:rPr>
                                  <w:rPr>
                                    <w:rFonts w:ascii="Cambria Math" w:hAnsi="Cambria Math"/>
                                  </w:rPr>
                                  <m:t>'</m:t>
                                </m:r>
                              </m:sup>
                            </m:sSubSup>
                            <m:sSub>
                              <m:sSubPr>
                                <m:ctrlPr>
                                  <w:rPr>
                                    <w:rFonts w:ascii="Cambria Math" w:hAnsi="Cambria Math"/>
                                  </w:rPr>
                                </m:ctrlPr>
                              </m:sSubPr>
                              <m:e>
                                <m:r>
                                  <w:rPr>
                                    <w:rFonts w:ascii="Cambria Math" w:hAnsi="Cambria Math"/>
                                  </w:rPr>
                                  <m:t>p</m:t>
                                </m:r>
                              </m:e>
                              <m:sub>
                                <m:r>
                                  <w:rPr>
                                    <w:rFonts w:ascii="Cambria Math" w:hAnsi="Cambria Math"/>
                                  </w:rPr>
                                  <m:t>f</m:t>
                                </m:r>
                              </m:sub>
                            </m:sSub>
                          </m:e>
                        </m:nary>
                      </m:e>
                    </m:nary>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1</m:t>
                        </m:r>
                      </m:sub>
                      <m:sup>
                        <m:sSub>
                          <m:sSubPr>
                            <m:ctrlPr>
                              <w:rPr>
                                <w:rFonts w:ascii="Cambria Math" w:hAnsi="Cambria Math"/>
                              </w:rPr>
                            </m:ctrlPr>
                          </m:sSubPr>
                          <m:e>
                            <m:r>
                              <w:rPr>
                                <w:rFonts w:ascii="Cambria Math" w:hAnsi="Cambria Math"/>
                              </w:rPr>
                              <m:t>N</m:t>
                            </m:r>
                          </m:e>
                          <m:sub>
                            <m:r>
                              <m:rPr>
                                <m:sty m:val="p"/>
                              </m:rPr>
                              <w:rPr>
                                <w:rFonts w:ascii="Cambria Math" w:hAnsi="Cambria Math"/>
                              </w:rPr>
                              <m:t>1</m:t>
                            </m:r>
                          </m:sub>
                        </m:sSub>
                      </m:sup>
                      <m:e>
                        <m:nary>
                          <m:naryPr>
                            <m:chr m:val="∑"/>
                            <m:limLoc m:val="undOvr"/>
                            <m:ctrlPr>
                              <w:rPr>
                                <w:rFonts w:ascii="Cambria Math" w:hAnsi="Cambria Math"/>
                              </w:rPr>
                            </m:ctrlPr>
                          </m:naryPr>
                          <m:sub>
                            <m:r>
                              <m:rPr>
                                <m:sty m:val="p"/>
                              </m:rPr>
                              <w:rPr>
                                <w:rFonts w:ascii="Cambria Math" w:hAnsi="Cambria Math"/>
                              </w:rPr>
                              <m:t>1</m:t>
                            </m:r>
                          </m:sub>
                          <m:sup>
                            <m:r>
                              <w:rPr>
                                <w:rFonts w:ascii="Cambria Math" w:hAnsi="Cambria Math"/>
                              </w:rPr>
                              <m:t>T</m:t>
                            </m:r>
                          </m:sup>
                          <m:e>
                            <m:sSub>
                              <m:sSubPr>
                                <m:ctrlPr>
                                  <w:rPr>
                                    <w:rFonts w:ascii="Cambria Math" w:hAnsi="Cambria Math"/>
                                  </w:rPr>
                                </m:ctrlPr>
                              </m:sSubPr>
                              <m:e>
                                <m:r>
                                  <w:rPr>
                                    <w:rFonts w:ascii="Cambria Math" w:hAnsi="Cambria Math"/>
                                  </w:rPr>
                                  <m:t>d</m:t>
                                </m:r>
                              </m:e>
                              <m:sub>
                                <m:r>
                                  <w:rPr>
                                    <w:rFonts w:ascii="Cambria Math" w:hAnsi="Cambria Math"/>
                                  </w:rPr>
                                  <m:t>it</m:t>
                                </m:r>
                              </m:sub>
                            </m:sSub>
                            <m:sSub>
                              <m:sSubPr>
                                <m:ctrlPr>
                                  <w:rPr>
                                    <w:rFonts w:ascii="Cambria Math" w:hAnsi="Cambria Math"/>
                                  </w:rPr>
                                </m:ctrlPr>
                              </m:sSubPr>
                              <m:e>
                                <m:r>
                                  <w:rPr>
                                    <w:rFonts w:ascii="Cambria Math" w:hAnsi="Cambria Math"/>
                                  </w:rPr>
                                  <m:t>p</m:t>
                                </m:r>
                              </m:e>
                              <m:sub>
                                <m:r>
                                  <w:rPr>
                                    <w:rFonts w:ascii="Cambria Math" w:hAnsi="Cambria Math"/>
                                  </w:rPr>
                                  <m:t>it</m:t>
                                </m:r>
                              </m:sub>
                            </m:sSub>
                          </m:e>
                        </m:nary>
                      </m:e>
                    </m:nary>
                  </m:e>
                </m:d>
                <m:r>
                  <m:rPr>
                    <m:sty m:val="p"/>
                  </m:rPr>
                  <w:rPr>
                    <w:rFonts w:ascii="Cambria Math" w:hAnsi="Cambria Math"/>
                  </w:rPr>
                  <m:t>&gt;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1</m:t>
                        </m:r>
                      </m:sub>
                      <m:sup>
                        <m:sSub>
                          <m:sSubPr>
                            <m:ctrlPr>
                              <w:rPr>
                                <w:rFonts w:ascii="Cambria Math" w:hAnsi="Cambria Math"/>
                              </w:rPr>
                            </m:ctrlPr>
                          </m:sSubPr>
                          <m:e>
                            <m:r>
                              <w:rPr>
                                <w:rFonts w:ascii="Cambria Math" w:hAnsi="Cambria Math"/>
                              </w:rPr>
                              <m:t>N</m:t>
                            </m:r>
                          </m:e>
                          <m:sub>
                            <m:r>
                              <m:rPr>
                                <m:sty m:val="p"/>
                              </m:rPr>
                              <w:rPr>
                                <w:rFonts w:ascii="Cambria Math" w:hAnsi="Cambria Math"/>
                              </w:rPr>
                              <m:t>2</m:t>
                            </m:r>
                          </m:sub>
                        </m:sSub>
                      </m:sup>
                      <m:e>
                        <m:nary>
                          <m:naryPr>
                            <m:chr m:val="∑"/>
                            <m:limLoc m:val="undOvr"/>
                            <m:ctrlPr>
                              <w:rPr>
                                <w:rFonts w:ascii="Cambria Math" w:hAnsi="Cambria Math"/>
                              </w:rPr>
                            </m:ctrlPr>
                          </m:naryPr>
                          <m:sub>
                            <m:r>
                              <m:rPr>
                                <m:sty m:val="p"/>
                              </m:rPr>
                              <w:rPr>
                                <w:rFonts w:ascii="Cambria Math" w:hAnsi="Cambria Math"/>
                              </w:rPr>
                              <m:t>1</m:t>
                            </m:r>
                          </m:sub>
                          <m:sup>
                            <m:r>
                              <w:rPr>
                                <w:rFonts w:ascii="Cambria Math" w:hAnsi="Cambria Math"/>
                              </w:rPr>
                              <m:t>T</m:t>
                            </m:r>
                          </m:sup>
                          <m:e>
                            <m:sSubSup>
                              <m:sSubSupPr>
                                <m:ctrlPr>
                                  <w:rPr>
                                    <w:rFonts w:ascii="Cambria Math" w:hAnsi="Cambria Math"/>
                                  </w:rPr>
                                </m:ctrlPr>
                              </m:sSubSupPr>
                              <m:e>
                                <m:r>
                                  <w:rPr>
                                    <w:rFonts w:ascii="Cambria Math" w:hAnsi="Cambria Math"/>
                                  </w:rPr>
                                  <m:t>d</m:t>
                                </m:r>
                              </m:e>
                              <m:sub>
                                <m:r>
                                  <w:rPr>
                                    <w:rFonts w:ascii="Cambria Math" w:hAnsi="Cambria Math"/>
                                  </w:rPr>
                                  <m:t>jt</m:t>
                                </m:r>
                              </m:sub>
                              <m:sup>
                                <m:r>
                                  <m:rPr>
                                    <m:sty m:val="p"/>
                                  </m:rPr>
                                  <w:rPr>
                                    <w:rFonts w:ascii="Cambria Math" w:hAnsi="Cambria Math"/>
                                  </w:rPr>
                                  <m:t>'</m:t>
                                </m:r>
                              </m:sup>
                            </m:sSubSup>
                            <m:sSub>
                              <m:sSubPr>
                                <m:ctrlPr>
                                  <w:rPr>
                                    <w:rFonts w:ascii="Cambria Math" w:hAnsi="Cambria Math"/>
                                  </w:rPr>
                                </m:ctrlPr>
                              </m:sSubPr>
                              <m:e>
                                <m:r>
                                  <w:rPr>
                                    <w:rFonts w:ascii="Cambria Math" w:hAnsi="Cambria Math"/>
                                  </w:rPr>
                                  <m:t>p</m:t>
                                </m:r>
                              </m:e>
                              <m:sub>
                                <m:r>
                                  <w:rPr>
                                    <w:rFonts w:ascii="Cambria Math" w:hAnsi="Cambria Math"/>
                                  </w:rPr>
                                  <m:t>f</m:t>
                                </m:r>
                              </m:sub>
                            </m:sSub>
                          </m:e>
                        </m:nary>
                      </m:e>
                    </m:nary>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1</m:t>
                        </m:r>
                      </m:sub>
                      <m:sup>
                        <m:sSub>
                          <m:sSubPr>
                            <m:ctrlPr>
                              <w:rPr>
                                <w:rFonts w:ascii="Cambria Math" w:hAnsi="Cambria Math"/>
                              </w:rPr>
                            </m:ctrlPr>
                          </m:sSubPr>
                          <m:e>
                            <m:r>
                              <w:rPr>
                                <w:rFonts w:ascii="Cambria Math" w:hAnsi="Cambria Math"/>
                              </w:rPr>
                              <m:t>N</m:t>
                            </m:r>
                          </m:e>
                          <m:sub>
                            <m:r>
                              <m:rPr>
                                <m:sty m:val="p"/>
                              </m:rPr>
                              <w:rPr>
                                <w:rFonts w:ascii="Cambria Math" w:hAnsi="Cambria Math"/>
                              </w:rPr>
                              <m:t>2</m:t>
                            </m:r>
                          </m:sub>
                        </m:sSub>
                      </m:sup>
                      <m:e>
                        <m:nary>
                          <m:naryPr>
                            <m:chr m:val="∑"/>
                            <m:limLoc m:val="undOvr"/>
                            <m:ctrlPr>
                              <w:rPr>
                                <w:rFonts w:ascii="Cambria Math" w:hAnsi="Cambria Math"/>
                              </w:rPr>
                            </m:ctrlPr>
                          </m:naryPr>
                          <m:sub>
                            <m:r>
                              <m:rPr>
                                <m:sty m:val="p"/>
                              </m:rPr>
                              <w:rPr>
                                <w:rFonts w:ascii="Cambria Math" w:hAnsi="Cambria Math"/>
                              </w:rPr>
                              <m:t>1</m:t>
                            </m:r>
                          </m:sub>
                          <m:sup>
                            <m:r>
                              <w:rPr>
                                <w:rFonts w:ascii="Cambria Math" w:hAnsi="Cambria Math"/>
                              </w:rPr>
                              <m:t>T</m:t>
                            </m:r>
                          </m:sup>
                          <m:e>
                            <m:sSub>
                              <m:sSubPr>
                                <m:ctrlPr>
                                  <w:rPr>
                                    <w:rFonts w:ascii="Cambria Math" w:hAnsi="Cambria Math"/>
                                  </w:rPr>
                                </m:ctrlPr>
                              </m:sSubPr>
                              <m:e>
                                <m:r>
                                  <w:rPr>
                                    <w:rFonts w:ascii="Cambria Math" w:hAnsi="Cambria Math"/>
                                  </w:rPr>
                                  <m:t>d</m:t>
                                </m:r>
                              </m:e>
                              <m:sub>
                                <m:r>
                                  <w:rPr>
                                    <w:rFonts w:ascii="Cambria Math" w:hAnsi="Cambria Math"/>
                                  </w:rPr>
                                  <m:t>jt</m:t>
                                </m:r>
                              </m:sub>
                            </m:sSub>
                            <m:sSub>
                              <m:sSubPr>
                                <m:ctrlPr>
                                  <w:rPr>
                                    <w:rFonts w:ascii="Cambria Math" w:hAnsi="Cambria Math"/>
                                  </w:rPr>
                                </m:ctrlPr>
                              </m:sSubPr>
                              <m:e>
                                <m:r>
                                  <w:rPr>
                                    <w:rFonts w:ascii="Cambria Math" w:hAnsi="Cambria Math"/>
                                  </w:rPr>
                                  <m:t>p</m:t>
                                </m:r>
                              </m:e>
                              <m:sub>
                                <m:r>
                                  <w:rPr>
                                    <w:rFonts w:ascii="Cambria Math" w:hAnsi="Cambria Math"/>
                                  </w:rPr>
                                  <m:t>jt</m:t>
                                </m:r>
                              </m:sub>
                            </m:sSub>
                          </m:e>
                        </m:nary>
                      </m:e>
                    </m:nary>
                  </m:e>
                </m:d>
              </m:oMath>
            </m:oMathPara>
          </w:p>
          <w:p w14:paraId="681C9D76" w14:textId="77777777" w:rsidR="001F432E" w:rsidRPr="00C37932" w:rsidRDefault="00485EC0" w:rsidP="005F50FE">
            <w:pPr>
              <w:jc w:val="center"/>
              <w:rPr>
                <w:rFonts w:eastAsia="+mn-ea"/>
                <w:iCs/>
              </w:rPr>
            </w:pPr>
            <m:oMathPara>
              <m:oMath>
                <m:sSub>
                  <m:sSubPr>
                    <m:ctrlPr>
                      <w:rPr>
                        <w:rFonts w:ascii="Cambria Math" w:hAnsi="Cambria Math"/>
                        <w:iCs/>
                      </w:rPr>
                    </m:ctrlPr>
                  </m:sSubPr>
                  <m:e>
                    <m:r>
                      <w:rPr>
                        <w:rFonts w:ascii="Cambria Math" w:hAnsi="Cambria Math"/>
                      </w:rPr>
                      <m:t>i</m:t>
                    </m:r>
                    <m:r>
                      <m:rPr>
                        <m:nor/>
                      </m:rPr>
                      <w:rPr>
                        <w:rFonts w:ascii="Cambria Math" w:hAnsi="Cambria Math" w:cs="Cambria Math"/>
                      </w:rPr>
                      <m:t>∈</m:t>
                    </m:r>
                    <m:r>
                      <m:rPr>
                        <m:sty m:val="p"/>
                      </m:rPr>
                      <w:rPr>
                        <w:rFonts w:ascii="Cambria Math" w:hAnsi="Cambria Math"/>
                      </w:rPr>
                      <m:t>{</m:t>
                    </m:r>
                    <m:r>
                      <w:rPr>
                        <w:rFonts w:ascii="Cambria Math" w:hAnsi="Cambria Math"/>
                      </w:rPr>
                      <m:t>i</m:t>
                    </m:r>
                    <m:r>
                      <m:rPr>
                        <m:nor/>
                      </m:rPr>
                      <m:t>|</m:t>
                    </m:r>
                    <m:r>
                      <m:rPr>
                        <m:sty m:val="p"/>
                      </m:rPr>
                      <w:rPr>
                        <w:rFonts w:ascii="Cambria Math" w:hAnsi="Cambria Math"/>
                        <w:iCs/>
                      </w:rPr>
                      <w:sym w:font="Symbol" w:char="F064"/>
                    </m:r>
                  </m:e>
                  <m:sub>
                    <m:r>
                      <w:rPr>
                        <w:rFonts w:ascii="Cambria Math" w:hAnsi="Cambria Math"/>
                      </w:rPr>
                      <m:t>i</m:t>
                    </m:r>
                  </m:sub>
                </m:sSub>
                <m:r>
                  <m:rPr>
                    <m:sty m:val="p"/>
                  </m:rPr>
                  <w:rPr>
                    <w:rFonts w:ascii="Cambria Math" w:hAnsi="Cambria Math"/>
                  </w:rPr>
                  <m:t>=1},</m:t>
                </m:r>
                <m:sSub>
                  <m:sSubPr>
                    <m:ctrlPr>
                      <w:rPr>
                        <w:rFonts w:ascii="Cambria Math" w:hAnsi="Cambria Math"/>
                        <w:iCs/>
                      </w:rPr>
                    </m:ctrlPr>
                  </m:sSubPr>
                  <m:e>
                    <m:r>
                      <m:rPr>
                        <m:nor/>
                      </m:rPr>
                      <m:t>j</m:t>
                    </m:r>
                    <m:r>
                      <m:rPr>
                        <m:nor/>
                      </m:rPr>
                      <w:rPr>
                        <w:rFonts w:ascii="Cambria Math" w:hAnsi="Cambria Math" w:cs="Cambria Math"/>
                      </w:rPr>
                      <m:t>∈</m:t>
                    </m:r>
                    <m:r>
                      <m:rPr>
                        <m:sty m:val="p"/>
                      </m:rPr>
                      <w:rPr>
                        <w:rFonts w:ascii="Cambria Math" w:hAnsi="Cambria Math"/>
                      </w:rPr>
                      <m:t>{</m:t>
                    </m:r>
                    <m:r>
                      <m:rPr>
                        <m:nor/>
                      </m:rPr>
                      <m:t>j|</m:t>
                    </m:r>
                    <m:r>
                      <m:rPr>
                        <m:sty m:val="p"/>
                      </m:rPr>
                      <w:rPr>
                        <w:rFonts w:ascii="Cambria Math" w:hAnsi="Cambria Math"/>
                        <w:iCs/>
                      </w:rPr>
                      <w:sym w:font="Symbol" w:char="F064"/>
                    </m:r>
                  </m:e>
                  <m:sub>
                    <m:r>
                      <w:rPr>
                        <w:rFonts w:ascii="Cambria Math" w:hAnsi="Cambria Math"/>
                      </w:rPr>
                      <m:t>j</m:t>
                    </m:r>
                  </m:sub>
                </m:sSub>
                <m:r>
                  <m:rPr>
                    <m:sty m:val="p"/>
                  </m:rPr>
                  <w:rPr>
                    <w:rFonts w:ascii="Cambria Math" w:hAnsi="Cambria Math"/>
                  </w:rPr>
                  <m:t>=0}</m:t>
                </m:r>
              </m:oMath>
            </m:oMathPara>
          </w:p>
        </w:tc>
        <w:tc>
          <w:tcPr>
            <w:tcW w:w="350" w:type="pct"/>
            <w:vAlign w:val="center"/>
          </w:tcPr>
          <w:p w14:paraId="2CD1B0BA" w14:textId="14462DD3" w:rsidR="001F432E" w:rsidRDefault="001F432E" w:rsidP="005F50FE">
            <w:pPr>
              <w:ind w:firstLine="0"/>
              <w:jc w:val="right"/>
              <w:rPr>
                <w:iCs/>
                <w:color w:val="000000"/>
                <w:kern w:val="24"/>
              </w:rPr>
            </w:pPr>
            <w:r>
              <w:t>(</w:t>
            </w:r>
            <w:r w:rsidR="006D55C0">
              <w:t>1</w:t>
            </w:r>
            <w:r w:rsidR="007D44C6">
              <w:t>5</w:t>
            </w:r>
            <w:r>
              <w:t>)</w:t>
            </w:r>
          </w:p>
        </w:tc>
      </w:tr>
    </w:tbl>
    <w:p w14:paraId="563C3F5D" w14:textId="4AC4427F" w:rsidR="00177E8F" w:rsidRPr="00E045B9" w:rsidRDefault="00177E8F" w:rsidP="00E045B9">
      <w:pPr>
        <w:pStyle w:val="ListParagraph"/>
        <w:ind w:left="360" w:firstLine="0"/>
      </w:pPr>
    </w:p>
    <w:sectPr w:rsidR="00177E8F" w:rsidRPr="00E045B9">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F9C8C" w14:textId="77777777" w:rsidR="00485EC0" w:rsidRDefault="00485EC0" w:rsidP="00177E8F">
      <w:pPr>
        <w:spacing w:before="0" w:line="240" w:lineRule="auto"/>
      </w:pPr>
      <w:r>
        <w:separator/>
      </w:r>
    </w:p>
  </w:endnote>
  <w:endnote w:type="continuationSeparator" w:id="0">
    <w:p w14:paraId="05A781E0" w14:textId="77777777" w:rsidR="00485EC0" w:rsidRDefault="00485EC0" w:rsidP="00177E8F">
      <w:pPr>
        <w:spacing w:before="0" w:line="240" w:lineRule="auto"/>
      </w:pPr>
      <w:r>
        <w:continuationSeparator/>
      </w:r>
    </w:p>
  </w:endnote>
  <w:endnote w:type="continuationNotice" w:id="1">
    <w:p w14:paraId="31AD6730" w14:textId="77777777" w:rsidR="00485EC0" w:rsidRDefault="00485EC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Headings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n-ea">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9271876"/>
      <w:docPartObj>
        <w:docPartGallery w:val="Page Numbers (Bottom of Page)"/>
        <w:docPartUnique/>
      </w:docPartObj>
    </w:sdtPr>
    <w:sdtEndPr>
      <w:rPr>
        <w:rStyle w:val="PageNumber"/>
      </w:rPr>
    </w:sdtEndPr>
    <w:sdtContent>
      <w:p w14:paraId="428D288F" w14:textId="5ED28F8B" w:rsidR="00B41318" w:rsidRDefault="00B41318" w:rsidP="00B4131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9B338" w14:textId="77777777" w:rsidR="00B41318" w:rsidRDefault="00B41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2464503"/>
      <w:docPartObj>
        <w:docPartGallery w:val="Page Numbers (Bottom of Page)"/>
        <w:docPartUnique/>
      </w:docPartObj>
    </w:sdtPr>
    <w:sdtEndPr>
      <w:rPr>
        <w:rStyle w:val="PageNumber"/>
      </w:rPr>
    </w:sdtEndPr>
    <w:sdtContent>
      <w:p w14:paraId="04FC52A4" w14:textId="45AC406A" w:rsidR="00B41318" w:rsidRDefault="00B41318" w:rsidP="00B4131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96A9C">
          <w:rPr>
            <w:rStyle w:val="PageNumber"/>
            <w:noProof/>
          </w:rPr>
          <w:t>7</w:t>
        </w:r>
        <w:r>
          <w:rPr>
            <w:rStyle w:val="PageNumber"/>
          </w:rPr>
          <w:fldChar w:fldCharType="end"/>
        </w:r>
      </w:p>
    </w:sdtContent>
  </w:sdt>
  <w:p w14:paraId="30493ED6" w14:textId="77777777" w:rsidR="00B41318" w:rsidRDefault="00B41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BEA49" w14:textId="77777777" w:rsidR="00485EC0" w:rsidRDefault="00485EC0" w:rsidP="00177E8F">
      <w:pPr>
        <w:spacing w:before="0" w:line="240" w:lineRule="auto"/>
      </w:pPr>
      <w:r>
        <w:separator/>
      </w:r>
    </w:p>
  </w:footnote>
  <w:footnote w:type="continuationSeparator" w:id="0">
    <w:p w14:paraId="3A14B1DD" w14:textId="77777777" w:rsidR="00485EC0" w:rsidRDefault="00485EC0" w:rsidP="00177E8F">
      <w:pPr>
        <w:spacing w:before="0" w:line="240" w:lineRule="auto"/>
      </w:pPr>
      <w:r>
        <w:continuationSeparator/>
      </w:r>
    </w:p>
  </w:footnote>
  <w:footnote w:type="continuationNotice" w:id="1">
    <w:p w14:paraId="3ECB3F6D" w14:textId="77777777" w:rsidR="00485EC0" w:rsidRDefault="00485EC0">
      <w:pPr>
        <w:spacing w:before="0" w:line="240" w:lineRule="auto"/>
      </w:pPr>
    </w:p>
  </w:footnote>
  <w:footnote w:id="2">
    <w:p w14:paraId="5191C0F8" w14:textId="77777777" w:rsidR="00E653A3" w:rsidRPr="00AD056D" w:rsidRDefault="00E653A3" w:rsidP="00E653A3">
      <w:pPr>
        <w:pStyle w:val="FootnoteText"/>
        <w:spacing w:line="360" w:lineRule="auto"/>
        <w:ind w:firstLine="0"/>
      </w:pPr>
      <w:r w:rsidRPr="00041355">
        <w:rPr>
          <w:rStyle w:val="FootnoteReference"/>
        </w:rPr>
        <w:footnoteRef/>
      </w:r>
      <w:r>
        <w:t xml:space="preserve"> </w:t>
      </w:r>
      <w:r w:rsidRPr="00AF62F5">
        <w:t xml:space="preserve">This 1.5 </w:t>
      </w:r>
      <m:oMath>
        <m:r>
          <m:rPr>
            <m:sty m:val="p"/>
          </m:rPr>
          <w:rPr>
            <w:rFonts w:ascii="Helvetica" w:eastAsia="Helvetica" w:hAnsi="Helvetica" w:cs="Helvetica"/>
          </w:rPr>
          <m:t>×</m:t>
        </m:r>
      </m:oMath>
      <w:r w:rsidRPr="00AF62F5">
        <w:t xml:space="preserve"> criterion is established by</w:t>
      </w:r>
      <w:r>
        <w:t xml:space="preserve"> </w:t>
      </w:r>
      <w:r w:rsidRPr="00AF62F5">
        <w:t xml:space="preserve">trial and error. This follows the </w:t>
      </w:r>
      <w:r>
        <w:t>work</w:t>
      </w:r>
      <w:r w:rsidRPr="00AF62F5">
        <w:t xml:space="preserve"> of </w:t>
      </w:r>
      <w:r>
        <w:fldChar w:fldCharType="begin"/>
      </w:r>
      <w:r>
        <w:instrText xml:space="preserve"> ADDIN ZOTERO_ITEM CSL_CITATION {"citationID":"5a6Mm2yF","properties":{"formattedCitation":"[54]","plainCitation":"[54]","noteIndex":11},"citationItems":[{"id":950,"uris":["http://zotero.org/users/2089623/items/VPGPUM2G"],"uri":["http://zotero.org/users/2089623/items/VPGPUM2G"],"itemData":{"id":950,"type":"book","event-place":"Newport, South Wales, UK","language":"en","publisher":"The office for National Statistics, UK","publisher-place":"Newport, South Wales, UK","title":"Modelling sample data from smart-type electricity meters to assess potential within official statistics","author":[{"family":"Williams","given":"S."},{"family":"Gask","given":"K."}],"issued":{"date-parts":[["2015"]]}}}],"schema":"https://github.com/citation-style-language/schema/raw/master/csl-citation.json"} </w:instrText>
      </w:r>
      <w:r>
        <w:fldChar w:fldCharType="separate"/>
      </w:r>
      <w:r>
        <w:rPr>
          <w:noProof/>
        </w:rPr>
        <w:t>[60]</w:t>
      </w:r>
      <w:r>
        <w:fldChar w:fldCharType="end"/>
      </w:r>
      <w:r>
        <w:rPr>
          <w:color w:val="000000" w:themeColor="text1"/>
        </w:rPr>
        <w:t>,</w:t>
      </w:r>
      <w:r w:rsidRPr="00C20033">
        <w:rPr>
          <w:color w:val="000000" w:themeColor="text1"/>
        </w:rPr>
        <w:t xml:space="preserve"> </w:t>
      </w:r>
      <w:r w:rsidRPr="00AF62F5">
        <w:rPr>
          <w:color w:val="000000" w:themeColor="text1"/>
        </w:rPr>
        <w:t>which tried to give a fixed variance level by observing the accuracy of occupancy detection.</w:t>
      </w:r>
    </w:p>
  </w:footnote>
  <w:footnote w:id="3">
    <w:p w14:paraId="3E3316FE" w14:textId="77777777" w:rsidR="00BF484C" w:rsidRPr="00FB5F75" w:rsidRDefault="00BF484C" w:rsidP="009553C9">
      <w:pPr>
        <w:pStyle w:val="FootnoteText"/>
        <w:spacing w:line="360" w:lineRule="auto"/>
        <w:ind w:firstLine="0"/>
      </w:pPr>
      <w:r w:rsidRPr="00041355">
        <w:rPr>
          <w:rStyle w:val="FootnoteReference"/>
        </w:rPr>
        <w:footnoteRef/>
      </w:r>
      <w:r>
        <w:t xml:space="preserve"> </w:t>
      </w:r>
      <w:r>
        <w:rPr>
          <w:rFonts w:hint="eastAsia"/>
        </w:rPr>
        <w:t xml:space="preserve">Detailed definition of each social class can be found at </w:t>
      </w:r>
      <w:r>
        <w:t xml:space="preserve">the </w:t>
      </w:r>
      <w:r>
        <w:rPr>
          <w:rFonts w:hint="eastAsia"/>
        </w:rPr>
        <w:t>National Readership Survey Social Grade website (</w:t>
      </w:r>
      <w:r w:rsidRPr="00FB5F75">
        <w:t>http://www.nrs.co.uk/nrs-print/lifestyle-and-classification-data/social-grade/</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7365" w14:textId="77777777" w:rsidR="00561BE1" w:rsidRDefault="00561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E326E"/>
    <w:multiLevelType w:val="multilevel"/>
    <w:tmpl w:val="77E886A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2989"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198A7FC8"/>
    <w:multiLevelType w:val="hybridMultilevel"/>
    <w:tmpl w:val="000AE7F8"/>
    <w:lvl w:ilvl="0" w:tplc="17C06D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8039A"/>
    <w:multiLevelType w:val="hybridMultilevel"/>
    <w:tmpl w:val="BD76D7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96919"/>
    <w:multiLevelType w:val="hybridMultilevel"/>
    <w:tmpl w:val="D35AC066"/>
    <w:lvl w:ilvl="0" w:tplc="2F8A11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ABC576D"/>
    <w:multiLevelType w:val="hybridMultilevel"/>
    <w:tmpl w:val="875098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BEA2278"/>
    <w:multiLevelType w:val="hybridMultilevel"/>
    <w:tmpl w:val="F04C32BA"/>
    <w:lvl w:ilvl="0" w:tplc="8C3C817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9F95FB6"/>
    <w:multiLevelType w:val="hybridMultilevel"/>
    <w:tmpl w:val="99249B7E"/>
    <w:lvl w:ilvl="0" w:tplc="0714CB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CCD7926"/>
    <w:multiLevelType w:val="hybridMultilevel"/>
    <w:tmpl w:val="F04C32BA"/>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E3012E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9B59A7"/>
    <w:multiLevelType w:val="hybridMultilevel"/>
    <w:tmpl w:val="E8F0BF6A"/>
    <w:name w:val="Mylist2222222"/>
    <w:lvl w:ilvl="0" w:tplc="2F206F14">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B7437D"/>
    <w:multiLevelType w:val="hybridMultilevel"/>
    <w:tmpl w:val="8750983C"/>
    <w:lvl w:ilvl="0" w:tplc="37E005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5AA3B8B"/>
    <w:multiLevelType w:val="hybridMultilevel"/>
    <w:tmpl w:val="21981080"/>
    <w:lvl w:ilvl="0" w:tplc="54106736">
      <w:start w:val="1"/>
      <w:numFmt w:val="bullet"/>
      <w:lvlText w:val="•"/>
      <w:lvlJc w:val="left"/>
      <w:pPr>
        <w:tabs>
          <w:tab w:val="num" w:pos="720"/>
        </w:tabs>
        <w:ind w:left="720" w:hanging="360"/>
      </w:pPr>
      <w:rPr>
        <w:rFonts w:ascii="Times" w:hAnsi="Times" w:hint="default"/>
      </w:rPr>
    </w:lvl>
    <w:lvl w:ilvl="1" w:tplc="EC8ECA8E" w:tentative="1">
      <w:start w:val="1"/>
      <w:numFmt w:val="bullet"/>
      <w:lvlText w:val="•"/>
      <w:lvlJc w:val="left"/>
      <w:pPr>
        <w:tabs>
          <w:tab w:val="num" w:pos="1440"/>
        </w:tabs>
        <w:ind w:left="1440" w:hanging="360"/>
      </w:pPr>
      <w:rPr>
        <w:rFonts w:ascii="Times" w:hAnsi="Times" w:hint="default"/>
      </w:rPr>
    </w:lvl>
    <w:lvl w:ilvl="2" w:tplc="492C8B6A" w:tentative="1">
      <w:start w:val="1"/>
      <w:numFmt w:val="bullet"/>
      <w:lvlText w:val="•"/>
      <w:lvlJc w:val="left"/>
      <w:pPr>
        <w:tabs>
          <w:tab w:val="num" w:pos="2160"/>
        </w:tabs>
        <w:ind w:left="2160" w:hanging="360"/>
      </w:pPr>
      <w:rPr>
        <w:rFonts w:ascii="Times" w:hAnsi="Times" w:hint="default"/>
      </w:rPr>
    </w:lvl>
    <w:lvl w:ilvl="3" w:tplc="07606126" w:tentative="1">
      <w:start w:val="1"/>
      <w:numFmt w:val="bullet"/>
      <w:lvlText w:val="•"/>
      <w:lvlJc w:val="left"/>
      <w:pPr>
        <w:tabs>
          <w:tab w:val="num" w:pos="2880"/>
        </w:tabs>
        <w:ind w:left="2880" w:hanging="360"/>
      </w:pPr>
      <w:rPr>
        <w:rFonts w:ascii="Times" w:hAnsi="Times" w:hint="default"/>
      </w:rPr>
    </w:lvl>
    <w:lvl w:ilvl="4" w:tplc="436AD020" w:tentative="1">
      <w:start w:val="1"/>
      <w:numFmt w:val="bullet"/>
      <w:lvlText w:val="•"/>
      <w:lvlJc w:val="left"/>
      <w:pPr>
        <w:tabs>
          <w:tab w:val="num" w:pos="3600"/>
        </w:tabs>
        <w:ind w:left="3600" w:hanging="360"/>
      </w:pPr>
      <w:rPr>
        <w:rFonts w:ascii="Times" w:hAnsi="Times" w:hint="default"/>
      </w:rPr>
    </w:lvl>
    <w:lvl w:ilvl="5" w:tplc="FF6A478C" w:tentative="1">
      <w:start w:val="1"/>
      <w:numFmt w:val="bullet"/>
      <w:lvlText w:val="•"/>
      <w:lvlJc w:val="left"/>
      <w:pPr>
        <w:tabs>
          <w:tab w:val="num" w:pos="4320"/>
        </w:tabs>
        <w:ind w:left="4320" w:hanging="360"/>
      </w:pPr>
      <w:rPr>
        <w:rFonts w:ascii="Times" w:hAnsi="Times" w:hint="default"/>
      </w:rPr>
    </w:lvl>
    <w:lvl w:ilvl="6" w:tplc="5B229C44" w:tentative="1">
      <w:start w:val="1"/>
      <w:numFmt w:val="bullet"/>
      <w:lvlText w:val="•"/>
      <w:lvlJc w:val="left"/>
      <w:pPr>
        <w:tabs>
          <w:tab w:val="num" w:pos="5040"/>
        </w:tabs>
        <w:ind w:left="5040" w:hanging="360"/>
      </w:pPr>
      <w:rPr>
        <w:rFonts w:ascii="Times" w:hAnsi="Times" w:hint="default"/>
      </w:rPr>
    </w:lvl>
    <w:lvl w:ilvl="7" w:tplc="42BEDB88" w:tentative="1">
      <w:start w:val="1"/>
      <w:numFmt w:val="bullet"/>
      <w:lvlText w:val="•"/>
      <w:lvlJc w:val="left"/>
      <w:pPr>
        <w:tabs>
          <w:tab w:val="num" w:pos="5760"/>
        </w:tabs>
        <w:ind w:left="5760" w:hanging="360"/>
      </w:pPr>
      <w:rPr>
        <w:rFonts w:ascii="Times" w:hAnsi="Times" w:hint="default"/>
      </w:rPr>
    </w:lvl>
    <w:lvl w:ilvl="8" w:tplc="74E26674" w:tentative="1">
      <w:start w:val="1"/>
      <w:numFmt w:val="bullet"/>
      <w:lvlText w:val="•"/>
      <w:lvlJc w:val="left"/>
      <w:pPr>
        <w:tabs>
          <w:tab w:val="num" w:pos="6480"/>
        </w:tabs>
        <w:ind w:left="6480" w:hanging="360"/>
      </w:pPr>
      <w:rPr>
        <w:rFonts w:ascii="Times" w:hAnsi="Times" w:hint="default"/>
      </w:rPr>
    </w:lvl>
  </w:abstractNum>
  <w:abstractNum w:abstractNumId="12" w15:restartNumberingAfterBreak="0">
    <w:nsid w:val="4DAD2350"/>
    <w:multiLevelType w:val="hybridMultilevel"/>
    <w:tmpl w:val="F3F47A1A"/>
    <w:lvl w:ilvl="0" w:tplc="F57887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CBA0317"/>
    <w:multiLevelType w:val="hybridMultilevel"/>
    <w:tmpl w:val="952A0AA8"/>
    <w:lvl w:ilvl="0" w:tplc="1A42BE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CB07172"/>
    <w:multiLevelType w:val="hybridMultilevel"/>
    <w:tmpl w:val="AC9C8F3A"/>
    <w:lvl w:ilvl="0" w:tplc="D6FC3182">
      <w:start w:val="1"/>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381F1F"/>
    <w:multiLevelType w:val="hybridMultilevel"/>
    <w:tmpl w:val="79BEF20A"/>
    <w:lvl w:ilvl="0" w:tplc="287A1B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3C6DA3"/>
    <w:multiLevelType w:val="hybridMultilevel"/>
    <w:tmpl w:val="5A0016A6"/>
    <w:lvl w:ilvl="0" w:tplc="B8AAD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80D17"/>
    <w:multiLevelType w:val="hybridMultilevel"/>
    <w:tmpl w:val="F23EC3C4"/>
    <w:lvl w:ilvl="0" w:tplc="75CA2C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0724315">
    <w:abstractNumId w:val="0"/>
  </w:num>
  <w:num w:numId="2" w16cid:durableId="1192457635">
    <w:abstractNumId w:val="16"/>
  </w:num>
  <w:num w:numId="3" w16cid:durableId="701436884">
    <w:abstractNumId w:val="8"/>
  </w:num>
  <w:num w:numId="4" w16cid:durableId="1890917411">
    <w:abstractNumId w:val="2"/>
  </w:num>
  <w:num w:numId="5" w16cid:durableId="824509123">
    <w:abstractNumId w:val="15"/>
  </w:num>
  <w:num w:numId="6" w16cid:durableId="454757459">
    <w:abstractNumId w:val="17"/>
  </w:num>
  <w:num w:numId="7" w16cid:durableId="1784954421">
    <w:abstractNumId w:val="12"/>
  </w:num>
  <w:num w:numId="8" w16cid:durableId="2048605266">
    <w:abstractNumId w:val="10"/>
  </w:num>
  <w:num w:numId="9" w16cid:durableId="632711780">
    <w:abstractNumId w:val="5"/>
  </w:num>
  <w:num w:numId="10" w16cid:durableId="2113933872">
    <w:abstractNumId w:val="11"/>
  </w:num>
  <w:num w:numId="11" w16cid:durableId="353725976">
    <w:abstractNumId w:val="13"/>
  </w:num>
  <w:num w:numId="12" w16cid:durableId="599140392">
    <w:abstractNumId w:val="6"/>
  </w:num>
  <w:num w:numId="13" w16cid:durableId="1819565968">
    <w:abstractNumId w:val="3"/>
  </w:num>
  <w:num w:numId="14" w16cid:durableId="725222057">
    <w:abstractNumId w:val="1"/>
  </w:num>
  <w:num w:numId="15" w16cid:durableId="28265005">
    <w:abstractNumId w:val="14"/>
  </w:num>
  <w:num w:numId="16" w16cid:durableId="1202324810">
    <w:abstractNumId w:val="0"/>
  </w:num>
  <w:num w:numId="17" w16cid:durableId="407458666">
    <w:abstractNumId w:val="9"/>
  </w:num>
  <w:num w:numId="18" w16cid:durableId="1779837632">
    <w:abstractNumId w:val="4"/>
  </w:num>
  <w:num w:numId="19" w16cid:durableId="112048928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99E"/>
    <w:rsid w:val="00011FC2"/>
    <w:rsid w:val="00014C9B"/>
    <w:rsid w:val="00015533"/>
    <w:rsid w:val="00015BC9"/>
    <w:rsid w:val="000170B6"/>
    <w:rsid w:val="00024D68"/>
    <w:rsid w:val="00030BB1"/>
    <w:rsid w:val="000322F9"/>
    <w:rsid w:val="00032D3B"/>
    <w:rsid w:val="00035B4B"/>
    <w:rsid w:val="00036CCB"/>
    <w:rsid w:val="00037FC5"/>
    <w:rsid w:val="000407ED"/>
    <w:rsid w:val="00040902"/>
    <w:rsid w:val="00041355"/>
    <w:rsid w:val="00043F6A"/>
    <w:rsid w:val="00046829"/>
    <w:rsid w:val="000474BF"/>
    <w:rsid w:val="000511C4"/>
    <w:rsid w:val="000525F3"/>
    <w:rsid w:val="00056460"/>
    <w:rsid w:val="00070327"/>
    <w:rsid w:val="000734A1"/>
    <w:rsid w:val="0008726E"/>
    <w:rsid w:val="0009410E"/>
    <w:rsid w:val="000A0463"/>
    <w:rsid w:val="000A04D3"/>
    <w:rsid w:val="000A32A3"/>
    <w:rsid w:val="000B0340"/>
    <w:rsid w:val="000B6835"/>
    <w:rsid w:val="000B73A7"/>
    <w:rsid w:val="000C2E48"/>
    <w:rsid w:val="000C66CE"/>
    <w:rsid w:val="000D0515"/>
    <w:rsid w:val="000D204B"/>
    <w:rsid w:val="000D20EB"/>
    <w:rsid w:val="000D268B"/>
    <w:rsid w:val="000D7347"/>
    <w:rsid w:val="000E0639"/>
    <w:rsid w:val="000E0FFC"/>
    <w:rsid w:val="000E2130"/>
    <w:rsid w:val="000E4CD5"/>
    <w:rsid w:val="000F2817"/>
    <w:rsid w:val="000F2AC6"/>
    <w:rsid w:val="000F3D17"/>
    <w:rsid w:val="000F64C9"/>
    <w:rsid w:val="00110D53"/>
    <w:rsid w:val="0011277C"/>
    <w:rsid w:val="001137D1"/>
    <w:rsid w:val="00116131"/>
    <w:rsid w:val="00117600"/>
    <w:rsid w:val="00120F5D"/>
    <w:rsid w:val="001234C4"/>
    <w:rsid w:val="001238A4"/>
    <w:rsid w:val="00124680"/>
    <w:rsid w:val="001249BD"/>
    <w:rsid w:val="0012529D"/>
    <w:rsid w:val="00125F31"/>
    <w:rsid w:val="0013261B"/>
    <w:rsid w:val="00133D1D"/>
    <w:rsid w:val="0013538B"/>
    <w:rsid w:val="00136CBE"/>
    <w:rsid w:val="001417F4"/>
    <w:rsid w:val="00146427"/>
    <w:rsid w:val="001471B8"/>
    <w:rsid w:val="001473F7"/>
    <w:rsid w:val="001606A7"/>
    <w:rsid w:val="00160F90"/>
    <w:rsid w:val="0016563C"/>
    <w:rsid w:val="00170241"/>
    <w:rsid w:val="00177E8F"/>
    <w:rsid w:val="0018271F"/>
    <w:rsid w:val="001859E9"/>
    <w:rsid w:val="00192A86"/>
    <w:rsid w:val="00195D2A"/>
    <w:rsid w:val="0019609E"/>
    <w:rsid w:val="001A25C6"/>
    <w:rsid w:val="001A437A"/>
    <w:rsid w:val="001A5E02"/>
    <w:rsid w:val="001A63A4"/>
    <w:rsid w:val="001B5994"/>
    <w:rsid w:val="001B5A11"/>
    <w:rsid w:val="001B7255"/>
    <w:rsid w:val="001B789F"/>
    <w:rsid w:val="001B7F6E"/>
    <w:rsid w:val="001C4E38"/>
    <w:rsid w:val="001C52A8"/>
    <w:rsid w:val="001C5420"/>
    <w:rsid w:val="001C62FD"/>
    <w:rsid w:val="001D081E"/>
    <w:rsid w:val="001D2C21"/>
    <w:rsid w:val="001D5E22"/>
    <w:rsid w:val="001E2205"/>
    <w:rsid w:val="001E2716"/>
    <w:rsid w:val="001E5FD5"/>
    <w:rsid w:val="001F432E"/>
    <w:rsid w:val="001F6A4C"/>
    <w:rsid w:val="00200604"/>
    <w:rsid w:val="00203C50"/>
    <w:rsid w:val="00207F12"/>
    <w:rsid w:val="002117C9"/>
    <w:rsid w:val="00213839"/>
    <w:rsid w:val="00216CAE"/>
    <w:rsid w:val="0021787E"/>
    <w:rsid w:val="00217B89"/>
    <w:rsid w:val="002208BB"/>
    <w:rsid w:val="00222CD4"/>
    <w:rsid w:val="00224206"/>
    <w:rsid w:val="00224788"/>
    <w:rsid w:val="00225697"/>
    <w:rsid w:val="002256ED"/>
    <w:rsid w:val="00225874"/>
    <w:rsid w:val="00232773"/>
    <w:rsid w:val="00237C3C"/>
    <w:rsid w:val="00237EC6"/>
    <w:rsid w:val="00246558"/>
    <w:rsid w:val="0025207E"/>
    <w:rsid w:val="00265B54"/>
    <w:rsid w:val="0027346A"/>
    <w:rsid w:val="002745C8"/>
    <w:rsid w:val="00276283"/>
    <w:rsid w:val="00282A73"/>
    <w:rsid w:val="00296917"/>
    <w:rsid w:val="00296E39"/>
    <w:rsid w:val="002A1183"/>
    <w:rsid w:val="002A141B"/>
    <w:rsid w:val="002A464E"/>
    <w:rsid w:val="002A59AE"/>
    <w:rsid w:val="002A75EF"/>
    <w:rsid w:val="002B1447"/>
    <w:rsid w:val="002B22C8"/>
    <w:rsid w:val="002B22CF"/>
    <w:rsid w:val="002B3B37"/>
    <w:rsid w:val="002B5858"/>
    <w:rsid w:val="002C4B93"/>
    <w:rsid w:val="002D15C8"/>
    <w:rsid w:val="002D3044"/>
    <w:rsid w:val="002D3FA6"/>
    <w:rsid w:val="002D4319"/>
    <w:rsid w:val="002D664D"/>
    <w:rsid w:val="002D74B0"/>
    <w:rsid w:val="002D79DC"/>
    <w:rsid w:val="002D7E33"/>
    <w:rsid w:val="002E20B7"/>
    <w:rsid w:val="002F0D63"/>
    <w:rsid w:val="002F2973"/>
    <w:rsid w:val="00301A02"/>
    <w:rsid w:val="00303D3C"/>
    <w:rsid w:val="003063D3"/>
    <w:rsid w:val="003078EF"/>
    <w:rsid w:val="00312FFA"/>
    <w:rsid w:val="00316811"/>
    <w:rsid w:val="00320432"/>
    <w:rsid w:val="00320610"/>
    <w:rsid w:val="0032480F"/>
    <w:rsid w:val="00325C94"/>
    <w:rsid w:val="00334138"/>
    <w:rsid w:val="00334B0A"/>
    <w:rsid w:val="00343691"/>
    <w:rsid w:val="0034785C"/>
    <w:rsid w:val="00353477"/>
    <w:rsid w:val="003535D2"/>
    <w:rsid w:val="003571ED"/>
    <w:rsid w:val="0036362A"/>
    <w:rsid w:val="00366E0D"/>
    <w:rsid w:val="003729F7"/>
    <w:rsid w:val="0037390D"/>
    <w:rsid w:val="00375AF9"/>
    <w:rsid w:val="00380719"/>
    <w:rsid w:val="003819E4"/>
    <w:rsid w:val="0038459A"/>
    <w:rsid w:val="00385781"/>
    <w:rsid w:val="00387609"/>
    <w:rsid w:val="00387C04"/>
    <w:rsid w:val="00387CA1"/>
    <w:rsid w:val="0039086B"/>
    <w:rsid w:val="0039190D"/>
    <w:rsid w:val="003A0864"/>
    <w:rsid w:val="003A48D4"/>
    <w:rsid w:val="003A651D"/>
    <w:rsid w:val="003A6759"/>
    <w:rsid w:val="003B434A"/>
    <w:rsid w:val="003B4DBE"/>
    <w:rsid w:val="003B6CE5"/>
    <w:rsid w:val="003C0315"/>
    <w:rsid w:val="003C125B"/>
    <w:rsid w:val="003C2EE3"/>
    <w:rsid w:val="003C760F"/>
    <w:rsid w:val="003D0D24"/>
    <w:rsid w:val="003D403E"/>
    <w:rsid w:val="003E268C"/>
    <w:rsid w:val="003E2A69"/>
    <w:rsid w:val="003E31BB"/>
    <w:rsid w:val="003E3C5D"/>
    <w:rsid w:val="003E45E0"/>
    <w:rsid w:val="003E596B"/>
    <w:rsid w:val="003E624E"/>
    <w:rsid w:val="003F6491"/>
    <w:rsid w:val="003F7A0F"/>
    <w:rsid w:val="00402803"/>
    <w:rsid w:val="00402F41"/>
    <w:rsid w:val="00404F85"/>
    <w:rsid w:val="0041218D"/>
    <w:rsid w:val="00420222"/>
    <w:rsid w:val="0042188D"/>
    <w:rsid w:val="00423364"/>
    <w:rsid w:val="0042432D"/>
    <w:rsid w:val="00424CC2"/>
    <w:rsid w:val="00427944"/>
    <w:rsid w:val="004457E6"/>
    <w:rsid w:val="00447CFD"/>
    <w:rsid w:val="0046123E"/>
    <w:rsid w:val="00464C30"/>
    <w:rsid w:val="00466F0D"/>
    <w:rsid w:val="0047561F"/>
    <w:rsid w:val="00480325"/>
    <w:rsid w:val="004809DE"/>
    <w:rsid w:val="00485A45"/>
    <w:rsid w:val="00485EC0"/>
    <w:rsid w:val="0048697A"/>
    <w:rsid w:val="004908FD"/>
    <w:rsid w:val="004A6733"/>
    <w:rsid w:val="004A68A4"/>
    <w:rsid w:val="004A7CCD"/>
    <w:rsid w:val="004B2A9A"/>
    <w:rsid w:val="004B5247"/>
    <w:rsid w:val="004B549A"/>
    <w:rsid w:val="004B6209"/>
    <w:rsid w:val="004C0486"/>
    <w:rsid w:val="004C3220"/>
    <w:rsid w:val="004D0F78"/>
    <w:rsid w:val="004D4541"/>
    <w:rsid w:val="004D6FAA"/>
    <w:rsid w:val="004E0D36"/>
    <w:rsid w:val="004E2919"/>
    <w:rsid w:val="004E2BA1"/>
    <w:rsid w:val="004F23DD"/>
    <w:rsid w:val="00510FD9"/>
    <w:rsid w:val="00514F4B"/>
    <w:rsid w:val="005179B9"/>
    <w:rsid w:val="00517EA3"/>
    <w:rsid w:val="00520549"/>
    <w:rsid w:val="00520595"/>
    <w:rsid w:val="005226E6"/>
    <w:rsid w:val="00524E3A"/>
    <w:rsid w:val="0052685F"/>
    <w:rsid w:val="0052705F"/>
    <w:rsid w:val="00527387"/>
    <w:rsid w:val="00527AE1"/>
    <w:rsid w:val="005315A0"/>
    <w:rsid w:val="00536691"/>
    <w:rsid w:val="0054438F"/>
    <w:rsid w:val="00546CCE"/>
    <w:rsid w:val="00553153"/>
    <w:rsid w:val="0055335D"/>
    <w:rsid w:val="00553733"/>
    <w:rsid w:val="00553A31"/>
    <w:rsid w:val="0055556D"/>
    <w:rsid w:val="00560749"/>
    <w:rsid w:val="00561BE1"/>
    <w:rsid w:val="00567981"/>
    <w:rsid w:val="005722C1"/>
    <w:rsid w:val="00572A0B"/>
    <w:rsid w:val="005744C2"/>
    <w:rsid w:val="0057704F"/>
    <w:rsid w:val="005770AF"/>
    <w:rsid w:val="005773AA"/>
    <w:rsid w:val="005804D5"/>
    <w:rsid w:val="00580D21"/>
    <w:rsid w:val="0058294C"/>
    <w:rsid w:val="00582C70"/>
    <w:rsid w:val="005867D4"/>
    <w:rsid w:val="00587991"/>
    <w:rsid w:val="00592E00"/>
    <w:rsid w:val="005963A2"/>
    <w:rsid w:val="005A5E62"/>
    <w:rsid w:val="005A6472"/>
    <w:rsid w:val="005B135E"/>
    <w:rsid w:val="005B1897"/>
    <w:rsid w:val="005B1C6A"/>
    <w:rsid w:val="005B2BE9"/>
    <w:rsid w:val="005B32E1"/>
    <w:rsid w:val="005B5C0F"/>
    <w:rsid w:val="005B78FD"/>
    <w:rsid w:val="005C5A49"/>
    <w:rsid w:val="005C7D68"/>
    <w:rsid w:val="005D100C"/>
    <w:rsid w:val="005D3EEF"/>
    <w:rsid w:val="005D4047"/>
    <w:rsid w:val="005D4223"/>
    <w:rsid w:val="005D4A62"/>
    <w:rsid w:val="005D5552"/>
    <w:rsid w:val="005D6405"/>
    <w:rsid w:val="005E187D"/>
    <w:rsid w:val="005E2CE2"/>
    <w:rsid w:val="005E42A3"/>
    <w:rsid w:val="005E5E08"/>
    <w:rsid w:val="005E6A7B"/>
    <w:rsid w:val="005E6BD9"/>
    <w:rsid w:val="005F36B6"/>
    <w:rsid w:val="005F4294"/>
    <w:rsid w:val="006018C5"/>
    <w:rsid w:val="00613843"/>
    <w:rsid w:val="00616C1B"/>
    <w:rsid w:val="0061731E"/>
    <w:rsid w:val="00620417"/>
    <w:rsid w:val="00621689"/>
    <w:rsid w:val="00626600"/>
    <w:rsid w:val="00627CAC"/>
    <w:rsid w:val="00633223"/>
    <w:rsid w:val="0063573A"/>
    <w:rsid w:val="006376EB"/>
    <w:rsid w:val="00642873"/>
    <w:rsid w:val="00643D25"/>
    <w:rsid w:val="006448EE"/>
    <w:rsid w:val="00645F7C"/>
    <w:rsid w:val="00651136"/>
    <w:rsid w:val="006529B9"/>
    <w:rsid w:val="00654EB8"/>
    <w:rsid w:val="0066214F"/>
    <w:rsid w:val="00662FED"/>
    <w:rsid w:val="00665D6C"/>
    <w:rsid w:val="00666761"/>
    <w:rsid w:val="00666BBB"/>
    <w:rsid w:val="006718DD"/>
    <w:rsid w:val="00686610"/>
    <w:rsid w:val="00687593"/>
    <w:rsid w:val="0069004A"/>
    <w:rsid w:val="00696410"/>
    <w:rsid w:val="006A22C2"/>
    <w:rsid w:val="006B2F80"/>
    <w:rsid w:val="006B46AC"/>
    <w:rsid w:val="006B4BA8"/>
    <w:rsid w:val="006B6F26"/>
    <w:rsid w:val="006C0921"/>
    <w:rsid w:val="006C30F8"/>
    <w:rsid w:val="006C58C7"/>
    <w:rsid w:val="006C64C8"/>
    <w:rsid w:val="006C768F"/>
    <w:rsid w:val="006D4399"/>
    <w:rsid w:val="006D47C9"/>
    <w:rsid w:val="006D55C0"/>
    <w:rsid w:val="006D70A8"/>
    <w:rsid w:val="006E142A"/>
    <w:rsid w:val="006E1E08"/>
    <w:rsid w:val="006E4A06"/>
    <w:rsid w:val="006E7F5C"/>
    <w:rsid w:val="006F2500"/>
    <w:rsid w:val="006F658A"/>
    <w:rsid w:val="006F6E85"/>
    <w:rsid w:val="00700B6C"/>
    <w:rsid w:val="00702832"/>
    <w:rsid w:val="0070330A"/>
    <w:rsid w:val="007035B7"/>
    <w:rsid w:val="0070775C"/>
    <w:rsid w:val="00711FD8"/>
    <w:rsid w:val="00722A72"/>
    <w:rsid w:val="00727385"/>
    <w:rsid w:val="00732787"/>
    <w:rsid w:val="0073581D"/>
    <w:rsid w:val="0074114C"/>
    <w:rsid w:val="007413E3"/>
    <w:rsid w:val="007514E8"/>
    <w:rsid w:val="00754404"/>
    <w:rsid w:val="00760F88"/>
    <w:rsid w:val="00765454"/>
    <w:rsid w:val="00765D10"/>
    <w:rsid w:val="007660C7"/>
    <w:rsid w:val="00770151"/>
    <w:rsid w:val="00772054"/>
    <w:rsid w:val="00772955"/>
    <w:rsid w:val="007745D7"/>
    <w:rsid w:val="00775982"/>
    <w:rsid w:val="00784A20"/>
    <w:rsid w:val="0078675F"/>
    <w:rsid w:val="007905EC"/>
    <w:rsid w:val="007935E6"/>
    <w:rsid w:val="007950CC"/>
    <w:rsid w:val="00796BB3"/>
    <w:rsid w:val="007A0014"/>
    <w:rsid w:val="007A3A37"/>
    <w:rsid w:val="007A3CF9"/>
    <w:rsid w:val="007B221E"/>
    <w:rsid w:val="007B7424"/>
    <w:rsid w:val="007B7DD9"/>
    <w:rsid w:val="007C05FD"/>
    <w:rsid w:val="007C1A6F"/>
    <w:rsid w:val="007C4DDB"/>
    <w:rsid w:val="007C7FF0"/>
    <w:rsid w:val="007D44C6"/>
    <w:rsid w:val="007D5235"/>
    <w:rsid w:val="007D5FAC"/>
    <w:rsid w:val="007D66A5"/>
    <w:rsid w:val="007E0457"/>
    <w:rsid w:val="007E5CF4"/>
    <w:rsid w:val="007F363E"/>
    <w:rsid w:val="00801AFD"/>
    <w:rsid w:val="008138F2"/>
    <w:rsid w:val="00813DF2"/>
    <w:rsid w:val="008142E8"/>
    <w:rsid w:val="00820B87"/>
    <w:rsid w:val="00823660"/>
    <w:rsid w:val="0082567E"/>
    <w:rsid w:val="00827DB3"/>
    <w:rsid w:val="00842FB4"/>
    <w:rsid w:val="00845344"/>
    <w:rsid w:val="008504F4"/>
    <w:rsid w:val="00851151"/>
    <w:rsid w:val="00854A1A"/>
    <w:rsid w:val="00854D3E"/>
    <w:rsid w:val="00856F1F"/>
    <w:rsid w:val="00862DC1"/>
    <w:rsid w:val="0087086B"/>
    <w:rsid w:val="008711A8"/>
    <w:rsid w:val="00871878"/>
    <w:rsid w:val="00873E71"/>
    <w:rsid w:val="008760A1"/>
    <w:rsid w:val="008767A7"/>
    <w:rsid w:val="008807F8"/>
    <w:rsid w:val="00880DE8"/>
    <w:rsid w:val="00881883"/>
    <w:rsid w:val="008818E5"/>
    <w:rsid w:val="008843E0"/>
    <w:rsid w:val="00885483"/>
    <w:rsid w:val="00885624"/>
    <w:rsid w:val="00886F18"/>
    <w:rsid w:val="00890C81"/>
    <w:rsid w:val="00891F4D"/>
    <w:rsid w:val="00896144"/>
    <w:rsid w:val="008970D1"/>
    <w:rsid w:val="00897AB7"/>
    <w:rsid w:val="008A0AB3"/>
    <w:rsid w:val="008A1EEE"/>
    <w:rsid w:val="008A3789"/>
    <w:rsid w:val="008A569E"/>
    <w:rsid w:val="008B1747"/>
    <w:rsid w:val="008B3A38"/>
    <w:rsid w:val="008B7648"/>
    <w:rsid w:val="008C182B"/>
    <w:rsid w:val="008C20E0"/>
    <w:rsid w:val="008C53BC"/>
    <w:rsid w:val="008C5CCA"/>
    <w:rsid w:val="008D3F8E"/>
    <w:rsid w:val="008D509F"/>
    <w:rsid w:val="008E2DC7"/>
    <w:rsid w:val="008E4CA0"/>
    <w:rsid w:val="008E62CB"/>
    <w:rsid w:val="008E6988"/>
    <w:rsid w:val="008F47E5"/>
    <w:rsid w:val="00900700"/>
    <w:rsid w:val="00921A90"/>
    <w:rsid w:val="00922CF5"/>
    <w:rsid w:val="00925173"/>
    <w:rsid w:val="0092575E"/>
    <w:rsid w:val="0093280E"/>
    <w:rsid w:val="00933C99"/>
    <w:rsid w:val="00940682"/>
    <w:rsid w:val="00945787"/>
    <w:rsid w:val="00946293"/>
    <w:rsid w:val="009500CB"/>
    <w:rsid w:val="009553C9"/>
    <w:rsid w:val="00961F7A"/>
    <w:rsid w:val="00962171"/>
    <w:rsid w:val="009672F3"/>
    <w:rsid w:val="00977D1E"/>
    <w:rsid w:val="009800A6"/>
    <w:rsid w:val="0098481F"/>
    <w:rsid w:val="00995C56"/>
    <w:rsid w:val="00997058"/>
    <w:rsid w:val="00997272"/>
    <w:rsid w:val="009A0334"/>
    <w:rsid w:val="009A0DAA"/>
    <w:rsid w:val="009A14D4"/>
    <w:rsid w:val="009A1EBF"/>
    <w:rsid w:val="009A2727"/>
    <w:rsid w:val="009A3052"/>
    <w:rsid w:val="009B62BE"/>
    <w:rsid w:val="009C2728"/>
    <w:rsid w:val="009D55D6"/>
    <w:rsid w:val="009E139A"/>
    <w:rsid w:val="009E4A66"/>
    <w:rsid w:val="009E5657"/>
    <w:rsid w:val="009F1E79"/>
    <w:rsid w:val="009F5641"/>
    <w:rsid w:val="009F7138"/>
    <w:rsid w:val="00A022F4"/>
    <w:rsid w:val="00A0351A"/>
    <w:rsid w:val="00A0413E"/>
    <w:rsid w:val="00A0563B"/>
    <w:rsid w:val="00A0618C"/>
    <w:rsid w:val="00A13DFC"/>
    <w:rsid w:val="00A14CD0"/>
    <w:rsid w:val="00A16852"/>
    <w:rsid w:val="00A20CEF"/>
    <w:rsid w:val="00A24843"/>
    <w:rsid w:val="00A268AA"/>
    <w:rsid w:val="00A30C68"/>
    <w:rsid w:val="00A328A9"/>
    <w:rsid w:val="00A33B0F"/>
    <w:rsid w:val="00A348CC"/>
    <w:rsid w:val="00A369D2"/>
    <w:rsid w:val="00A43658"/>
    <w:rsid w:val="00A43AEC"/>
    <w:rsid w:val="00A4641E"/>
    <w:rsid w:val="00A472EA"/>
    <w:rsid w:val="00A51556"/>
    <w:rsid w:val="00A527A5"/>
    <w:rsid w:val="00A52CF7"/>
    <w:rsid w:val="00A54B1D"/>
    <w:rsid w:val="00A55C56"/>
    <w:rsid w:val="00A56885"/>
    <w:rsid w:val="00A64141"/>
    <w:rsid w:val="00A6436E"/>
    <w:rsid w:val="00A65C2B"/>
    <w:rsid w:val="00A65F3C"/>
    <w:rsid w:val="00A8071C"/>
    <w:rsid w:val="00A83280"/>
    <w:rsid w:val="00A83E84"/>
    <w:rsid w:val="00A842D5"/>
    <w:rsid w:val="00A914E3"/>
    <w:rsid w:val="00A93F7F"/>
    <w:rsid w:val="00A96A9C"/>
    <w:rsid w:val="00AA18AB"/>
    <w:rsid w:val="00AA2B62"/>
    <w:rsid w:val="00AA2DA9"/>
    <w:rsid w:val="00AB070E"/>
    <w:rsid w:val="00AB60C2"/>
    <w:rsid w:val="00AC35EE"/>
    <w:rsid w:val="00AC3BC5"/>
    <w:rsid w:val="00AC5ED9"/>
    <w:rsid w:val="00AC6682"/>
    <w:rsid w:val="00AD21E1"/>
    <w:rsid w:val="00AD5266"/>
    <w:rsid w:val="00AD5F50"/>
    <w:rsid w:val="00AD7C60"/>
    <w:rsid w:val="00AD7EAD"/>
    <w:rsid w:val="00AE5495"/>
    <w:rsid w:val="00AE76AB"/>
    <w:rsid w:val="00AF0B1C"/>
    <w:rsid w:val="00AF1BF5"/>
    <w:rsid w:val="00AF38EA"/>
    <w:rsid w:val="00AF513B"/>
    <w:rsid w:val="00AF7CD7"/>
    <w:rsid w:val="00B00281"/>
    <w:rsid w:val="00B03328"/>
    <w:rsid w:val="00B0786C"/>
    <w:rsid w:val="00B11D4B"/>
    <w:rsid w:val="00B129AE"/>
    <w:rsid w:val="00B12F6D"/>
    <w:rsid w:val="00B131BE"/>
    <w:rsid w:val="00B13931"/>
    <w:rsid w:val="00B146CB"/>
    <w:rsid w:val="00B21464"/>
    <w:rsid w:val="00B21BA6"/>
    <w:rsid w:val="00B222AC"/>
    <w:rsid w:val="00B2426F"/>
    <w:rsid w:val="00B310AE"/>
    <w:rsid w:val="00B31163"/>
    <w:rsid w:val="00B34727"/>
    <w:rsid w:val="00B41318"/>
    <w:rsid w:val="00B41BC3"/>
    <w:rsid w:val="00B52355"/>
    <w:rsid w:val="00B570F8"/>
    <w:rsid w:val="00B6353B"/>
    <w:rsid w:val="00B67764"/>
    <w:rsid w:val="00B7142C"/>
    <w:rsid w:val="00B8109B"/>
    <w:rsid w:val="00B9176F"/>
    <w:rsid w:val="00B941D0"/>
    <w:rsid w:val="00B95391"/>
    <w:rsid w:val="00B958DE"/>
    <w:rsid w:val="00BA60BA"/>
    <w:rsid w:val="00BB39F9"/>
    <w:rsid w:val="00BB4E1E"/>
    <w:rsid w:val="00BC3D58"/>
    <w:rsid w:val="00BC5070"/>
    <w:rsid w:val="00BD117F"/>
    <w:rsid w:val="00BD3077"/>
    <w:rsid w:val="00BD361D"/>
    <w:rsid w:val="00BE0726"/>
    <w:rsid w:val="00BE70B5"/>
    <w:rsid w:val="00BE7566"/>
    <w:rsid w:val="00BF23CB"/>
    <w:rsid w:val="00BF4070"/>
    <w:rsid w:val="00BF484C"/>
    <w:rsid w:val="00BF7664"/>
    <w:rsid w:val="00C107A7"/>
    <w:rsid w:val="00C12580"/>
    <w:rsid w:val="00C245F2"/>
    <w:rsid w:val="00C2686A"/>
    <w:rsid w:val="00C31739"/>
    <w:rsid w:val="00C31A87"/>
    <w:rsid w:val="00C347C3"/>
    <w:rsid w:val="00C366F1"/>
    <w:rsid w:val="00C36B01"/>
    <w:rsid w:val="00C377F1"/>
    <w:rsid w:val="00C37932"/>
    <w:rsid w:val="00C43DBE"/>
    <w:rsid w:val="00C43FAF"/>
    <w:rsid w:val="00C457EC"/>
    <w:rsid w:val="00C51576"/>
    <w:rsid w:val="00C530A4"/>
    <w:rsid w:val="00C600DF"/>
    <w:rsid w:val="00C6017A"/>
    <w:rsid w:val="00C61A5B"/>
    <w:rsid w:val="00C64A30"/>
    <w:rsid w:val="00C81504"/>
    <w:rsid w:val="00C82E33"/>
    <w:rsid w:val="00C83129"/>
    <w:rsid w:val="00C84632"/>
    <w:rsid w:val="00C924CF"/>
    <w:rsid w:val="00C97116"/>
    <w:rsid w:val="00CA480C"/>
    <w:rsid w:val="00CA776F"/>
    <w:rsid w:val="00CB600E"/>
    <w:rsid w:val="00CC076C"/>
    <w:rsid w:val="00CC29AD"/>
    <w:rsid w:val="00CD2787"/>
    <w:rsid w:val="00CD505B"/>
    <w:rsid w:val="00CE12DB"/>
    <w:rsid w:val="00CE7009"/>
    <w:rsid w:val="00CE7357"/>
    <w:rsid w:val="00CF4ABF"/>
    <w:rsid w:val="00CF4CD6"/>
    <w:rsid w:val="00D02675"/>
    <w:rsid w:val="00D03292"/>
    <w:rsid w:val="00D05676"/>
    <w:rsid w:val="00D07597"/>
    <w:rsid w:val="00D10347"/>
    <w:rsid w:val="00D159BE"/>
    <w:rsid w:val="00D21D36"/>
    <w:rsid w:val="00D22C57"/>
    <w:rsid w:val="00D249B5"/>
    <w:rsid w:val="00D27B5D"/>
    <w:rsid w:val="00D3008D"/>
    <w:rsid w:val="00D4093A"/>
    <w:rsid w:val="00D418CF"/>
    <w:rsid w:val="00D44A34"/>
    <w:rsid w:val="00D47646"/>
    <w:rsid w:val="00D477B9"/>
    <w:rsid w:val="00D511B9"/>
    <w:rsid w:val="00D54524"/>
    <w:rsid w:val="00D62661"/>
    <w:rsid w:val="00D67DA4"/>
    <w:rsid w:val="00D70981"/>
    <w:rsid w:val="00D73A24"/>
    <w:rsid w:val="00D74AD7"/>
    <w:rsid w:val="00D8041B"/>
    <w:rsid w:val="00D8055E"/>
    <w:rsid w:val="00D853BF"/>
    <w:rsid w:val="00D96130"/>
    <w:rsid w:val="00DA3401"/>
    <w:rsid w:val="00DA59D7"/>
    <w:rsid w:val="00DB0B46"/>
    <w:rsid w:val="00DB141A"/>
    <w:rsid w:val="00DB20DF"/>
    <w:rsid w:val="00DB3F39"/>
    <w:rsid w:val="00DC0E44"/>
    <w:rsid w:val="00DC12EE"/>
    <w:rsid w:val="00DC1A8C"/>
    <w:rsid w:val="00DC3399"/>
    <w:rsid w:val="00DC76E6"/>
    <w:rsid w:val="00DC7E61"/>
    <w:rsid w:val="00DD1079"/>
    <w:rsid w:val="00DD155B"/>
    <w:rsid w:val="00DD3C8F"/>
    <w:rsid w:val="00DF4EDA"/>
    <w:rsid w:val="00DF697E"/>
    <w:rsid w:val="00E009F8"/>
    <w:rsid w:val="00E010A0"/>
    <w:rsid w:val="00E01EB5"/>
    <w:rsid w:val="00E03A06"/>
    <w:rsid w:val="00E045B9"/>
    <w:rsid w:val="00E10FDD"/>
    <w:rsid w:val="00E233B3"/>
    <w:rsid w:val="00E301C1"/>
    <w:rsid w:val="00E34C53"/>
    <w:rsid w:val="00E36503"/>
    <w:rsid w:val="00E37020"/>
    <w:rsid w:val="00E402D6"/>
    <w:rsid w:val="00E42152"/>
    <w:rsid w:val="00E4227F"/>
    <w:rsid w:val="00E44DC9"/>
    <w:rsid w:val="00E51AF7"/>
    <w:rsid w:val="00E56EB8"/>
    <w:rsid w:val="00E612A4"/>
    <w:rsid w:val="00E653A3"/>
    <w:rsid w:val="00E67AC6"/>
    <w:rsid w:val="00E73E3C"/>
    <w:rsid w:val="00E87421"/>
    <w:rsid w:val="00E91CC1"/>
    <w:rsid w:val="00E923BD"/>
    <w:rsid w:val="00E96559"/>
    <w:rsid w:val="00EA049C"/>
    <w:rsid w:val="00EA66D5"/>
    <w:rsid w:val="00EA7F55"/>
    <w:rsid w:val="00EB2A7A"/>
    <w:rsid w:val="00EB6379"/>
    <w:rsid w:val="00EC3313"/>
    <w:rsid w:val="00EC5842"/>
    <w:rsid w:val="00EC6346"/>
    <w:rsid w:val="00EC655D"/>
    <w:rsid w:val="00ED02A5"/>
    <w:rsid w:val="00EE08DF"/>
    <w:rsid w:val="00EE1B71"/>
    <w:rsid w:val="00EE2E4F"/>
    <w:rsid w:val="00EE3426"/>
    <w:rsid w:val="00EE43FF"/>
    <w:rsid w:val="00EE50AE"/>
    <w:rsid w:val="00EF33D9"/>
    <w:rsid w:val="00EF3757"/>
    <w:rsid w:val="00EF513C"/>
    <w:rsid w:val="00F01D17"/>
    <w:rsid w:val="00F027DA"/>
    <w:rsid w:val="00F054A6"/>
    <w:rsid w:val="00F15093"/>
    <w:rsid w:val="00F17806"/>
    <w:rsid w:val="00F304E3"/>
    <w:rsid w:val="00F30E12"/>
    <w:rsid w:val="00F40243"/>
    <w:rsid w:val="00F4526E"/>
    <w:rsid w:val="00F4699E"/>
    <w:rsid w:val="00F47176"/>
    <w:rsid w:val="00F4766B"/>
    <w:rsid w:val="00F52AD4"/>
    <w:rsid w:val="00F624BD"/>
    <w:rsid w:val="00F63D7D"/>
    <w:rsid w:val="00F67439"/>
    <w:rsid w:val="00F6787C"/>
    <w:rsid w:val="00F71ACE"/>
    <w:rsid w:val="00F732BC"/>
    <w:rsid w:val="00F76266"/>
    <w:rsid w:val="00F85640"/>
    <w:rsid w:val="00F8787E"/>
    <w:rsid w:val="00F95595"/>
    <w:rsid w:val="00F95DB0"/>
    <w:rsid w:val="00FA6202"/>
    <w:rsid w:val="00FB1524"/>
    <w:rsid w:val="00FB2A25"/>
    <w:rsid w:val="00FC5569"/>
    <w:rsid w:val="00FD0DAA"/>
    <w:rsid w:val="00FD2646"/>
    <w:rsid w:val="00FD40DB"/>
    <w:rsid w:val="00FE0E65"/>
    <w:rsid w:val="00FE1361"/>
    <w:rsid w:val="00FE3189"/>
    <w:rsid w:val="00FE41B3"/>
    <w:rsid w:val="00FF2007"/>
    <w:rsid w:val="00FF374E"/>
    <w:rsid w:val="00FF4E0F"/>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14485"/>
  <w15:chartTrackingRefBased/>
  <w15:docId w15:val="{260B2CA7-6BC0-4B0E-8995-A292E56CE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315"/>
    <w:pPr>
      <w:spacing w:before="40" w:line="360" w:lineRule="auto"/>
      <w:ind w:firstLine="720"/>
      <w:jc w:val="both"/>
    </w:pPr>
    <w:rPr>
      <w:rFonts w:ascii="Times" w:hAnsi="Times"/>
    </w:rPr>
  </w:style>
  <w:style w:type="paragraph" w:styleId="Heading1">
    <w:name w:val="heading 1"/>
    <w:basedOn w:val="Normal"/>
    <w:next w:val="Normal"/>
    <w:link w:val="Heading1Char"/>
    <w:uiPriority w:val="9"/>
    <w:qFormat/>
    <w:rsid w:val="00177E8F"/>
    <w:pPr>
      <w:keepNext/>
      <w:keepLines/>
      <w:numPr>
        <w:numId w:val="1"/>
      </w:numPr>
      <w:spacing w:before="320" w:after="280" w:line="480" w:lineRule="auto"/>
      <w:outlineLvl w:val="0"/>
    </w:pPr>
    <w:rPr>
      <w:rFonts w:ascii="Times New Roman" w:eastAsiaTheme="majorEastAsia" w:hAnsi="Times New Roman" w:cs="Times New Roman (Headings CS)"/>
      <w:b/>
      <w:color w:val="000000" w:themeColor="text1"/>
      <w:sz w:val="32"/>
      <w:szCs w:val="32"/>
      <w:lang w:val="en-GB"/>
    </w:rPr>
  </w:style>
  <w:style w:type="paragraph" w:styleId="Heading2">
    <w:name w:val="heading 2"/>
    <w:basedOn w:val="Normal"/>
    <w:next w:val="Normal"/>
    <w:link w:val="Heading2Char"/>
    <w:uiPriority w:val="9"/>
    <w:unhideWhenUsed/>
    <w:qFormat/>
    <w:rsid w:val="00177E8F"/>
    <w:pPr>
      <w:keepNext/>
      <w:keepLines/>
      <w:numPr>
        <w:ilvl w:val="1"/>
        <w:numId w:val="1"/>
      </w:numPr>
      <w:spacing w:before="320" w:after="280" w:line="480" w:lineRule="auto"/>
      <w:outlineLvl w:val="1"/>
    </w:pPr>
    <w:rPr>
      <w:rFonts w:eastAsiaTheme="majorEastAsia" w:cstheme="majorBidi"/>
      <w:b/>
      <w:color w:val="000000" w:themeColor="text1"/>
      <w:sz w:val="28"/>
      <w:szCs w:val="26"/>
      <w:lang w:val="en-GB"/>
    </w:rPr>
  </w:style>
  <w:style w:type="paragraph" w:styleId="Heading3">
    <w:name w:val="heading 3"/>
    <w:basedOn w:val="Normal"/>
    <w:next w:val="Normal"/>
    <w:link w:val="Heading3Char"/>
    <w:uiPriority w:val="9"/>
    <w:unhideWhenUsed/>
    <w:qFormat/>
    <w:rsid w:val="00177E8F"/>
    <w:pPr>
      <w:keepNext/>
      <w:keepLines/>
      <w:numPr>
        <w:ilvl w:val="2"/>
        <w:numId w:val="1"/>
      </w:numPr>
      <w:spacing w:before="320" w:after="280" w:line="480" w:lineRule="auto"/>
      <w:ind w:left="720"/>
      <w:outlineLvl w:val="2"/>
    </w:pPr>
    <w:rPr>
      <w:rFonts w:eastAsiaTheme="majorEastAsia" w:cstheme="majorBidi"/>
      <w:color w:val="000000" w:themeColor="text1"/>
      <w:lang w:val="en-GB"/>
    </w:rPr>
  </w:style>
  <w:style w:type="paragraph" w:styleId="Heading4">
    <w:name w:val="heading 4"/>
    <w:basedOn w:val="Normal"/>
    <w:next w:val="Normal"/>
    <w:link w:val="Heading4Char"/>
    <w:uiPriority w:val="9"/>
    <w:unhideWhenUsed/>
    <w:qFormat/>
    <w:rsid w:val="00177E8F"/>
    <w:pPr>
      <w:keepNext/>
      <w:keepLines/>
      <w:numPr>
        <w:ilvl w:val="3"/>
        <w:numId w:val="1"/>
      </w:numPr>
      <w:spacing w:before="320" w:after="280" w:line="480" w:lineRule="auto"/>
      <w:ind w:left="862" w:hanging="862"/>
      <w:outlineLvl w:val="3"/>
    </w:pPr>
    <w:rPr>
      <w:rFonts w:eastAsiaTheme="majorEastAsia" w:cstheme="majorBidi"/>
      <w:iCs/>
      <w:lang w:val="en-GB"/>
    </w:rPr>
  </w:style>
  <w:style w:type="paragraph" w:styleId="Heading5">
    <w:name w:val="heading 5"/>
    <w:basedOn w:val="Normal"/>
    <w:next w:val="Normal"/>
    <w:link w:val="Heading5Char"/>
    <w:uiPriority w:val="9"/>
    <w:unhideWhenUsed/>
    <w:qFormat/>
    <w:rsid w:val="00177E8F"/>
    <w:pPr>
      <w:keepNext/>
      <w:keepLines/>
      <w:numPr>
        <w:ilvl w:val="4"/>
        <w:numId w:val="1"/>
      </w:numPr>
      <w:spacing w:line="480" w:lineRule="auto"/>
      <w:outlineLvl w:val="4"/>
    </w:pPr>
    <w:rPr>
      <w:rFonts w:asciiTheme="majorHAnsi" w:eastAsiaTheme="majorEastAsia" w:hAnsiTheme="majorHAnsi"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177E8F"/>
    <w:pPr>
      <w:keepNext/>
      <w:keepLines/>
      <w:numPr>
        <w:ilvl w:val="5"/>
        <w:numId w:val="1"/>
      </w:numPr>
      <w:spacing w:line="480" w:lineRule="auto"/>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177E8F"/>
    <w:pPr>
      <w:keepNext/>
      <w:keepLines/>
      <w:numPr>
        <w:ilvl w:val="6"/>
        <w:numId w:val="1"/>
      </w:numPr>
      <w:spacing w:line="480" w:lineRule="auto"/>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177E8F"/>
    <w:pPr>
      <w:keepNext/>
      <w:keepLines/>
      <w:numPr>
        <w:ilvl w:val="7"/>
        <w:numId w:val="1"/>
      </w:numPr>
      <w:spacing w:line="480"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177E8F"/>
    <w:pPr>
      <w:keepNext/>
      <w:keepLines/>
      <w:numPr>
        <w:ilvl w:val="8"/>
        <w:numId w:val="1"/>
      </w:numPr>
      <w:spacing w:line="480"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699E"/>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4699E"/>
    <w:pPr>
      <w:ind w:left="720"/>
      <w:contextualSpacing/>
    </w:pPr>
  </w:style>
  <w:style w:type="paragraph" w:styleId="Caption">
    <w:name w:val="caption"/>
    <w:basedOn w:val="Normal"/>
    <w:next w:val="Normal"/>
    <w:uiPriority w:val="35"/>
    <w:unhideWhenUsed/>
    <w:qFormat/>
    <w:rsid w:val="00366E0D"/>
    <w:pPr>
      <w:spacing w:after="200" w:line="480" w:lineRule="auto"/>
    </w:pPr>
    <w:rPr>
      <w:rFonts w:ascii="Times New Roman" w:eastAsia="Times New Roman" w:hAnsi="Times New Roman" w:cs="Times New Roman"/>
      <w:i/>
      <w:iCs/>
      <w:color w:val="44546A" w:themeColor="text2"/>
      <w:sz w:val="18"/>
      <w:szCs w:val="18"/>
      <w:lang w:val="en-GB"/>
    </w:rPr>
  </w:style>
  <w:style w:type="table" w:styleId="PlainTable3">
    <w:name w:val="Plain Table 3"/>
    <w:basedOn w:val="TableNormal"/>
    <w:uiPriority w:val="43"/>
    <w:rsid w:val="00366E0D"/>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366E0D"/>
    <w:rPr>
      <w:sz w:val="16"/>
      <w:szCs w:val="16"/>
    </w:rPr>
  </w:style>
  <w:style w:type="paragraph" w:styleId="CommentText">
    <w:name w:val="annotation text"/>
    <w:basedOn w:val="Normal"/>
    <w:link w:val="CommentTextChar"/>
    <w:uiPriority w:val="99"/>
    <w:unhideWhenUsed/>
    <w:rsid w:val="00561BE1"/>
    <w:pPr>
      <w:spacing w:line="480" w:lineRule="auto"/>
    </w:pPr>
    <w:rPr>
      <w:rFonts w:ascii="Times New Roman" w:eastAsia="PMingLiU" w:hAnsi="Times New Roman" w:cs="Times New Roman"/>
      <w:sz w:val="20"/>
      <w:szCs w:val="20"/>
      <w:lang w:val="en-GB" w:eastAsia="en-US"/>
    </w:rPr>
  </w:style>
  <w:style w:type="character" w:customStyle="1" w:styleId="CommentTextChar">
    <w:name w:val="Comment Text Char"/>
    <w:basedOn w:val="DefaultParagraphFont"/>
    <w:link w:val="CommentText"/>
    <w:uiPriority w:val="99"/>
    <w:rsid w:val="00366E0D"/>
    <w:rPr>
      <w:rFonts w:ascii="Times New Roman" w:eastAsia="PMingLiU" w:hAnsi="Times New Roman" w:cs="Times New Roman"/>
      <w:sz w:val="20"/>
      <w:szCs w:val="20"/>
      <w:lang w:val="en-GB" w:eastAsia="en-US"/>
    </w:rPr>
  </w:style>
  <w:style w:type="character" w:customStyle="1" w:styleId="Heading1Char">
    <w:name w:val="Heading 1 Char"/>
    <w:basedOn w:val="DefaultParagraphFont"/>
    <w:link w:val="Heading1"/>
    <w:uiPriority w:val="9"/>
    <w:rsid w:val="00177E8F"/>
    <w:rPr>
      <w:rFonts w:ascii="Times New Roman" w:eastAsiaTheme="majorEastAsia" w:hAnsi="Times New Roman" w:cs="Times New Roman (Headings CS)"/>
      <w:b/>
      <w:color w:val="000000" w:themeColor="text1"/>
      <w:sz w:val="32"/>
      <w:szCs w:val="32"/>
      <w:lang w:val="en-GB"/>
    </w:rPr>
  </w:style>
  <w:style w:type="character" w:customStyle="1" w:styleId="Heading2Char">
    <w:name w:val="Heading 2 Char"/>
    <w:basedOn w:val="DefaultParagraphFont"/>
    <w:link w:val="Heading2"/>
    <w:uiPriority w:val="9"/>
    <w:rsid w:val="00177E8F"/>
    <w:rPr>
      <w:rFonts w:ascii="Times" w:eastAsiaTheme="majorEastAsia" w:hAnsi="Times" w:cstheme="majorBidi"/>
      <w:b/>
      <w:color w:val="000000" w:themeColor="text1"/>
      <w:sz w:val="28"/>
      <w:szCs w:val="26"/>
      <w:lang w:val="en-GB"/>
    </w:rPr>
  </w:style>
  <w:style w:type="character" w:customStyle="1" w:styleId="Heading3Char">
    <w:name w:val="Heading 3 Char"/>
    <w:basedOn w:val="DefaultParagraphFont"/>
    <w:link w:val="Heading3"/>
    <w:uiPriority w:val="9"/>
    <w:rsid w:val="00177E8F"/>
    <w:rPr>
      <w:rFonts w:ascii="Times" w:eastAsiaTheme="majorEastAsia" w:hAnsi="Times" w:cstheme="majorBidi"/>
      <w:color w:val="000000" w:themeColor="text1"/>
      <w:lang w:val="en-GB"/>
    </w:rPr>
  </w:style>
  <w:style w:type="character" w:customStyle="1" w:styleId="Heading4Char">
    <w:name w:val="Heading 4 Char"/>
    <w:basedOn w:val="DefaultParagraphFont"/>
    <w:link w:val="Heading4"/>
    <w:uiPriority w:val="9"/>
    <w:rsid w:val="00177E8F"/>
    <w:rPr>
      <w:rFonts w:ascii="Times" w:eastAsiaTheme="majorEastAsia" w:hAnsi="Times" w:cstheme="majorBidi"/>
      <w:iCs/>
      <w:lang w:val="en-GB"/>
    </w:rPr>
  </w:style>
  <w:style w:type="character" w:customStyle="1" w:styleId="Heading5Char">
    <w:name w:val="Heading 5 Char"/>
    <w:basedOn w:val="DefaultParagraphFont"/>
    <w:link w:val="Heading5"/>
    <w:uiPriority w:val="9"/>
    <w:rsid w:val="00177E8F"/>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177E8F"/>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177E8F"/>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177E8F"/>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177E8F"/>
    <w:rPr>
      <w:rFonts w:asciiTheme="majorHAnsi" w:eastAsiaTheme="majorEastAsia" w:hAnsiTheme="majorHAnsi" w:cstheme="majorBidi"/>
      <w:i/>
      <w:iCs/>
      <w:color w:val="272727" w:themeColor="text1" w:themeTint="D8"/>
      <w:sz w:val="21"/>
      <w:szCs w:val="21"/>
      <w:lang w:val="en-GB"/>
    </w:rPr>
  </w:style>
  <w:style w:type="table" w:styleId="TableGrid">
    <w:name w:val="Table Grid"/>
    <w:basedOn w:val="TableNormal"/>
    <w:uiPriority w:val="39"/>
    <w:rsid w:val="00177E8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77E8F"/>
    <w:pPr>
      <w:spacing w:line="48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177E8F"/>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177E8F"/>
    <w:rPr>
      <w:vertAlign w:val="superscript"/>
    </w:rPr>
  </w:style>
  <w:style w:type="table" w:customStyle="1" w:styleId="PlainTable31">
    <w:name w:val="Plain Table 31"/>
    <w:basedOn w:val="TableNormal"/>
    <w:uiPriority w:val="43"/>
    <w:rsid w:val="00177E8F"/>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177E8F"/>
    <w:pPr>
      <w:spacing w:line="480" w:lineRule="auto"/>
    </w:pPr>
    <w:rPr>
      <w:rFonts w:ascii="Times New Roman" w:eastAsia="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177E8F"/>
    <w:rPr>
      <w:rFonts w:ascii="Times New Roman" w:eastAsia="Times New Roman" w:hAnsi="Times New Roman" w:cs="Times New Roman"/>
      <w:sz w:val="18"/>
      <w:szCs w:val="18"/>
      <w:lang w:val="en-GB"/>
    </w:rPr>
  </w:style>
  <w:style w:type="paragraph" w:styleId="Bibliography">
    <w:name w:val="Bibliography"/>
    <w:basedOn w:val="Normal"/>
    <w:next w:val="Normal"/>
    <w:uiPriority w:val="37"/>
    <w:unhideWhenUsed/>
    <w:rsid w:val="00177E8F"/>
    <w:pPr>
      <w:tabs>
        <w:tab w:val="left" w:pos="500"/>
      </w:tabs>
      <w:spacing w:line="240" w:lineRule="auto"/>
      <w:ind w:left="504" w:hanging="504"/>
    </w:pPr>
    <w:rPr>
      <w:rFonts w:ascii="Times New Roman" w:eastAsia="Times New Roman" w:hAnsi="Times New Roman" w:cs="Times New Roman"/>
      <w:lang w:val="en-GB"/>
    </w:rPr>
  </w:style>
  <w:style w:type="table" w:styleId="PlainTable2">
    <w:name w:val="Plain Table 2"/>
    <w:basedOn w:val="TableNormal"/>
    <w:uiPriority w:val="42"/>
    <w:rsid w:val="00177E8F"/>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77E8F"/>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177E8F"/>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177E8F"/>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
    <w:name w:val="Grid Table 3"/>
    <w:basedOn w:val="TableNormal"/>
    <w:uiPriority w:val="48"/>
    <w:rsid w:val="00177E8F"/>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3">
    <w:name w:val="Grid Table 3 Accent 3"/>
    <w:basedOn w:val="TableNormal"/>
    <w:uiPriority w:val="48"/>
    <w:rsid w:val="00177E8F"/>
    <w:rPr>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PlaceholderText">
    <w:name w:val="Placeholder Text"/>
    <w:basedOn w:val="DefaultParagraphFont"/>
    <w:uiPriority w:val="99"/>
    <w:semiHidden/>
    <w:rsid w:val="00177E8F"/>
    <w:rPr>
      <w:color w:val="808080"/>
    </w:rPr>
  </w:style>
  <w:style w:type="table" w:styleId="PlainTable4">
    <w:name w:val="Plain Table 4"/>
    <w:basedOn w:val="TableNormal"/>
    <w:uiPriority w:val="44"/>
    <w:rsid w:val="00177E8F"/>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
    <w:name w:val="Text"/>
    <w:basedOn w:val="Normal"/>
    <w:link w:val="TextChar"/>
    <w:uiPriority w:val="99"/>
    <w:qFormat/>
    <w:rsid w:val="00177E8F"/>
    <w:pPr>
      <w:widowControl w:val="0"/>
      <w:spacing w:line="252" w:lineRule="auto"/>
      <w:ind w:firstLine="204"/>
    </w:pPr>
    <w:rPr>
      <w:rFonts w:ascii="Times New Roman" w:eastAsia="PMingLiU" w:hAnsi="Times New Roman" w:cs="Times New Roman"/>
      <w:sz w:val="20"/>
      <w:szCs w:val="20"/>
      <w:lang w:val="en-GB" w:eastAsia="en-US"/>
    </w:rPr>
  </w:style>
  <w:style w:type="character" w:customStyle="1" w:styleId="TextChar">
    <w:name w:val="Text Char"/>
    <w:link w:val="Text"/>
    <w:uiPriority w:val="99"/>
    <w:rsid w:val="00177E8F"/>
    <w:rPr>
      <w:rFonts w:ascii="Times New Roman" w:eastAsia="PMingLiU" w:hAnsi="Times New Roman" w:cs="Times New Roman"/>
      <w:sz w:val="20"/>
      <w:szCs w:val="20"/>
      <w:lang w:val="en-GB" w:eastAsia="en-US"/>
    </w:rPr>
  </w:style>
  <w:style w:type="numbering" w:styleId="111111">
    <w:name w:val="Outline List 2"/>
    <w:basedOn w:val="NoList"/>
    <w:uiPriority w:val="99"/>
    <w:semiHidden/>
    <w:unhideWhenUsed/>
    <w:rsid w:val="00177E8F"/>
    <w:pPr>
      <w:numPr>
        <w:numId w:val="3"/>
      </w:numPr>
    </w:pPr>
  </w:style>
  <w:style w:type="character" w:styleId="EndnoteReference">
    <w:name w:val="endnote reference"/>
    <w:basedOn w:val="DefaultParagraphFont"/>
    <w:uiPriority w:val="99"/>
    <w:semiHidden/>
    <w:unhideWhenUsed/>
    <w:rsid w:val="00177E8F"/>
    <w:rPr>
      <w:vertAlign w:val="superscript"/>
    </w:rPr>
  </w:style>
  <w:style w:type="table" w:styleId="GridTable1Light-Accent6">
    <w:name w:val="Grid Table 1 Light Accent 6"/>
    <w:basedOn w:val="TableNormal"/>
    <w:uiPriority w:val="46"/>
    <w:rsid w:val="00177E8F"/>
    <w:rPr>
      <w:lang w:val="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77E8F"/>
    <w:pPr>
      <w:tabs>
        <w:tab w:val="center" w:pos="4680"/>
        <w:tab w:val="right" w:pos="9360"/>
      </w:tabs>
      <w:spacing w:line="480" w:lineRule="auto"/>
    </w:pPr>
    <w:rPr>
      <w:rFonts w:ascii="Times New Roman" w:eastAsia="Times New Roman" w:hAnsi="Times New Roman" w:cs="Times New Roman"/>
      <w:lang w:val="en-GB"/>
    </w:rPr>
  </w:style>
  <w:style w:type="character" w:customStyle="1" w:styleId="HeaderChar">
    <w:name w:val="Header Char"/>
    <w:basedOn w:val="DefaultParagraphFont"/>
    <w:link w:val="Header"/>
    <w:uiPriority w:val="99"/>
    <w:rsid w:val="00177E8F"/>
    <w:rPr>
      <w:rFonts w:ascii="Times New Roman" w:eastAsia="Times New Roman" w:hAnsi="Times New Roman" w:cs="Times New Roman"/>
      <w:lang w:val="en-GB"/>
    </w:rPr>
  </w:style>
  <w:style w:type="paragraph" w:styleId="Footer">
    <w:name w:val="footer"/>
    <w:basedOn w:val="Normal"/>
    <w:link w:val="FooterChar"/>
    <w:uiPriority w:val="99"/>
    <w:unhideWhenUsed/>
    <w:rsid w:val="00177E8F"/>
    <w:pPr>
      <w:tabs>
        <w:tab w:val="center" w:pos="4680"/>
        <w:tab w:val="right" w:pos="9360"/>
      </w:tabs>
      <w:spacing w:line="480" w:lineRule="auto"/>
    </w:pPr>
    <w:rPr>
      <w:rFonts w:ascii="Times New Roman" w:eastAsia="Times New Roman" w:hAnsi="Times New Roman" w:cs="Times New Roman"/>
      <w:lang w:val="en-GB"/>
    </w:rPr>
  </w:style>
  <w:style w:type="character" w:customStyle="1" w:styleId="FooterChar">
    <w:name w:val="Footer Char"/>
    <w:basedOn w:val="DefaultParagraphFont"/>
    <w:link w:val="Footer"/>
    <w:uiPriority w:val="99"/>
    <w:rsid w:val="00177E8F"/>
    <w:rPr>
      <w:rFonts w:ascii="Times New Roman" w:eastAsia="Times New Roman" w:hAnsi="Times New Roman" w:cs="Times New Roman"/>
      <w:lang w:val="en-GB"/>
    </w:rPr>
  </w:style>
  <w:style w:type="character" w:customStyle="1" w:styleId="apple-converted-space">
    <w:name w:val="apple-converted-space"/>
    <w:basedOn w:val="DefaultParagraphFont"/>
    <w:rsid w:val="00177E8F"/>
  </w:style>
  <w:style w:type="paragraph" w:styleId="Revision">
    <w:name w:val="Revision"/>
    <w:hidden/>
    <w:uiPriority w:val="99"/>
    <w:semiHidden/>
    <w:rsid w:val="00177E8F"/>
    <w:rPr>
      <w:rFonts w:ascii="Times New Roman" w:eastAsia="Times New Roman" w:hAnsi="Times New Roman" w:cs="Times New Roman"/>
      <w:lang w:val="en-US"/>
    </w:rPr>
  </w:style>
  <w:style w:type="table" w:styleId="TableGridLight">
    <w:name w:val="Grid Table Light"/>
    <w:basedOn w:val="TableNormal"/>
    <w:uiPriority w:val="40"/>
    <w:rsid w:val="00177E8F"/>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177E8F"/>
    <w:pPr>
      <w:numPr>
        <w:numId w:val="0"/>
      </w:numPr>
      <w:spacing w:before="480" w:line="276" w:lineRule="auto"/>
      <w:jc w:val="left"/>
      <w:outlineLvl w:val="9"/>
    </w:pPr>
    <w:rPr>
      <w:rFonts w:asciiTheme="majorHAnsi" w:hAnsiTheme="majorHAnsi" w:cstheme="majorBidi"/>
      <w:bCs/>
      <w:color w:val="2F5496" w:themeColor="accent1" w:themeShade="BF"/>
      <w:sz w:val="28"/>
      <w:szCs w:val="28"/>
      <w:lang w:eastAsia="en-US"/>
    </w:rPr>
  </w:style>
  <w:style w:type="paragraph" w:styleId="TOC1">
    <w:name w:val="toc 1"/>
    <w:basedOn w:val="Text"/>
    <w:next w:val="Text"/>
    <w:autoRedefine/>
    <w:uiPriority w:val="39"/>
    <w:unhideWhenUsed/>
    <w:rsid w:val="00177E8F"/>
    <w:pPr>
      <w:spacing w:before="240" w:after="120" w:line="360" w:lineRule="auto"/>
      <w:ind w:left="425" w:hanging="425"/>
      <w:jc w:val="left"/>
    </w:pPr>
    <w:rPr>
      <w:b/>
      <w:bCs/>
      <w:sz w:val="24"/>
    </w:rPr>
  </w:style>
  <w:style w:type="paragraph" w:styleId="TOC2">
    <w:name w:val="toc 2"/>
    <w:basedOn w:val="Text"/>
    <w:next w:val="Text"/>
    <w:autoRedefine/>
    <w:uiPriority w:val="39"/>
    <w:unhideWhenUsed/>
    <w:rsid w:val="00177E8F"/>
    <w:pPr>
      <w:tabs>
        <w:tab w:val="right" w:leader="dot" w:pos="7808"/>
      </w:tabs>
      <w:spacing w:before="120" w:after="120" w:line="360" w:lineRule="auto"/>
      <w:ind w:left="1004" w:hanging="720"/>
      <w:jc w:val="left"/>
    </w:pPr>
    <w:rPr>
      <w:iCs/>
      <w:sz w:val="24"/>
    </w:rPr>
  </w:style>
  <w:style w:type="paragraph" w:styleId="TOC3">
    <w:name w:val="toc 3"/>
    <w:basedOn w:val="Text"/>
    <w:next w:val="Text"/>
    <w:autoRedefine/>
    <w:uiPriority w:val="39"/>
    <w:unhideWhenUsed/>
    <w:rsid w:val="00177E8F"/>
    <w:pPr>
      <w:spacing w:line="360" w:lineRule="auto"/>
      <w:ind w:left="1287" w:hanging="720"/>
      <w:jc w:val="left"/>
    </w:pPr>
    <w:rPr>
      <w:sz w:val="24"/>
    </w:rPr>
  </w:style>
  <w:style w:type="character" w:styleId="Hyperlink">
    <w:name w:val="Hyperlink"/>
    <w:basedOn w:val="DefaultParagraphFont"/>
    <w:uiPriority w:val="99"/>
    <w:unhideWhenUsed/>
    <w:rsid w:val="00177E8F"/>
    <w:rPr>
      <w:color w:val="0563C1" w:themeColor="hyperlink"/>
      <w:u w:val="single"/>
    </w:rPr>
  </w:style>
  <w:style w:type="paragraph" w:styleId="TOC4">
    <w:name w:val="toc 4"/>
    <w:basedOn w:val="Normal"/>
    <w:next w:val="Normal"/>
    <w:autoRedefine/>
    <w:uiPriority w:val="39"/>
    <w:unhideWhenUsed/>
    <w:rsid w:val="00177E8F"/>
    <w:pPr>
      <w:spacing w:line="480" w:lineRule="auto"/>
      <w:ind w:left="720"/>
    </w:pPr>
    <w:rPr>
      <w:rFonts w:eastAsia="Times New Roman" w:cs="Times New Roman"/>
      <w:sz w:val="20"/>
      <w:szCs w:val="20"/>
      <w:lang w:val="en-GB"/>
    </w:rPr>
  </w:style>
  <w:style w:type="paragraph" w:styleId="TOC5">
    <w:name w:val="toc 5"/>
    <w:basedOn w:val="Normal"/>
    <w:next w:val="Normal"/>
    <w:autoRedefine/>
    <w:uiPriority w:val="39"/>
    <w:unhideWhenUsed/>
    <w:rsid w:val="00177E8F"/>
    <w:pPr>
      <w:spacing w:line="480" w:lineRule="auto"/>
      <w:ind w:left="960"/>
    </w:pPr>
    <w:rPr>
      <w:rFonts w:eastAsia="Times New Roman" w:cs="Times New Roman"/>
      <w:sz w:val="20"/>
      <w:szCs w:val="20"/>
      <w:lang w:val="en-GB"/>
    </w:rPr>
  </w:style>
  <w:style w:type="paragraph" w:styleId="TOC6">
    <w:name w:val="toc 6"/>
    <w:basedOn w:val="Normal"/>
    <w:next w:val="Normal"/>
    <w:autoRedefine/>
    <w:uiPriority w:val="39"/>
    <w:unhideWhenUsed/>
    <w:rsid w:val="00177E8F"/>
    <w:pPr>
      <w:spacing w:line="480" w:lineRule="auto"/>
      <w:ind w:left="1200"/>
    </w:pPr>
    <w:rPr>
      <w:rFonts w:eastAsia="Times New Roman" w:cs="Times New Roman"/>
      <w:sz w:val="20"/>
      <w:szCs w:val="20"/>
      <w:lang w:val="en-GB"/>
    </w:rPr>
  </w:style>
  <w:style w:type="paragraph" w:styleId="TOC7">
    <w:name w:val="toc 7"/>
    <w:basedOn w:val="Normal"/>
    <w:next w:val="Normal"/>
    <w:autoRedefine/>
    <w:uiPriority w:val="39"/>
    <w:unhideWhenUsed/>
    <w:rsid w:val="00177E8F"/>
    <w:pPr>
      <w:spacing w:line="480" w:lineRule="auto"/>
      <w:ind w:left="1440"/>
    </w:pPr>
    <w:rPr>
      <w:rFonts w:eastAsia="Times New Roman" w:cs="Times New Roman"/>
      <w:sz w:val="20"/>
      <w:szCs w:val="20"/>
      <w:lang w:val="en-GB"/>
    </w:rPr>
  </w:style>
  <w:style w:type="paragraph" w:styleId="TOC8">
    <w:name w:val="toc 8"/>
    <w:basedOn w:val="Normal"/>
    <w:next w:val="Normal"/>
    <w:autoRedefine/>
    <w:uiPriority w:val="39"/>
    <w:unhideWhenUsed/>
    <w:rsid w:val="00177E8F"/>
    <w:pPr>
      <w:spacing w:line="480" w:lineRule="auto"/>
      <w:ind w:left="1680"/>
    </w:pPr>
    <w:rPr>
      <w:rFonts w:eastAsia="Times New Roman" w:cs="Times New Roman"/>
      <w:sz w:val="20"/>
      <w:szCs w:val="20"/>
      <w:lang w:val="en-GB"/>
    </w:rPr>
  </w:style>
  <w:style w:type="paragraph" w:styleId="TOC9">
    <w:name w:val="toc 9"/>
    <w:basedOn w:val="Normal"/>
    <w:next w:val="Normal"/>
    <w:autoRedefine/>
    <w:uiPriority w:val="39"/>
    <w:unhideWhenUsed/>
    <w:rsid w:val="00177E8F"/>
    <w:pPr>
      <w:spacing w:line="480" w:lineRule="auto"/>
      <w:ind w:left="1920"/>
    </w:pPr>
    <w:rPr>
      <w:rFonts w:eastAsia="Times New Roman" w:cs="Times New Roman"/>
      <w:sz w:val="20"/>
      <w:szCs w:val="20"/>
      <w:lang w:val="en-GB"/>
    </w:rPr>
  </w:style>
  <w:style w:type="character" w:styleId="PageNumber">
    <w:name w:val="page number"/>
    <w:basedOn w:val="DefaultParagraphFont"/>
    <w:uiPriority w:val="99"/>
    <w:semiHidden/>
    <w:unhideWhenUsed/>
    <w:rsid w:val="00177E8F"/>
  </w:style>
  <w:style w:type="paragraph" w:styleId="TableofFigures">
    <w:name w:val="table of figures"/>
    <w:basedOn w:val="Text"/>
    <w:next w:val="Text"/>
    <w:uiPriority w:val="99"/>
    <w:unhideWhenUsed/>
    <w:rsid w:val="00177E8F"/>
    <w:pPr>
      <w:spacing w:line="360" w:lineRule="auto"/>
      <w:ind w:left="777" w:hanging="777"/>
    </w:pPr>
  </w:style>
  <w:style w:type="paragraph" w:customStyle="1" w:styleId="EndNoteBibliographyTitle">
    <w:name w:val="EndNote Bibliography Title"/>
    <w:basedOn w:val="Normal"/>
    <w:rsid w:val="00177E8F"/>
    <w:pPr>
      <w:jc w:val="center"/>
    </w:pPr>
    <w:rPr>
      <w:rFonts w:cs="Times New Roman"/>
      <w:lang w:val="en-GB"/>
    </w:rPr>
  </w:style>
  <w:style w:type="paragraph" w:customStyle="1" w:styleId="EndNoteBibliography">
    <w:name w:val="EndNote Bibliography"/>
    <w:basedOn w:val="Normal"/>
    <w:rsid w:val="00177E8F"/>
    <w:rPr>
      <w:rFonts w:cs="Times New Roman"/>
      <w:lang w:val="en-GB"/>
    </w:rPr>
  </w:style>
  <w:style w:type="table" w:customStyle="1" w:styleId="PlainTable41">
    <w:name w:val="Plain Table 41"/>
    <w:basedOn w:val="TableNormal"/>
    <w:uiPriority w:val="44"/>
    <w:rsid w:val="00177E8F"/>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77E8F"/>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177E8F"/>
    <w:pPr>
      <w:spacing w:line="240" w:lineRule="auto"/>
      <w:ind w:firstLine="0"/>
      <w:jc w:val="left"/>
    </w:pPr>
    <w:rPr>
      <w:rFonts w:eastAsiaTheme="minorEastAsia"/>
      <w:b/>
      <w:bCs/>
      <w:lang w:eastAsia="zh-CN"/>
    </w:rPr>
  </w:style>
  <w:style w:type="character" w:customStyle="1" w:styleId="CommentSubjectChar">
    <w:name w:val="Comment Subject Char"/>
    <w:basedOn w:val="CommentTextChar"/>
    <w:link w:val="CommentSubject"/>
    <w:uiPriority w:val="99"/>
    <w:semiHidden/>
    <w:rsid w:val="00177E8F"/>
    <w:rPr>
      <w:rFonts w:ascii="Times New Roman" w:eastAsia="PMingLiU" w:hAnsi="Times New Roman" w:cs="Times New Roman"/>
      <w:b/>
      <w:bCs/>
      <w:sz w:val="20"/>
      <w:szCs w:val="20"/>
      <w:lang w:val="en-GB" w:eastAsia="en-US"/>
    </w:rPr>
  </w:style>
  <w:style w:type="character" w:styleId="Strong">
    <w:name w:val="Strong"/>
    <w:basedOn w:val="DefaultParagraphFont"/>
    <w:uiPriority w:val="22"/>
    <w:qFormat/>
    <w:rsid w:val="00177E8F"/>
    <w:rPr>
      <w:b/>
      <w:bCs/>
    </w:rPr>
  </w:style>
  <w:style w:type="table" w:customStyle="1" w:styleId="PlainTable51">
    <w:name w:val="Plain Table 51"/>
    <w:basedOn w:val="TableNormal"/>
    <w:uiPriority w:val="45"/>
    <w:rsid w:val="00177E8F"/>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177E8F"/>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uthors">
    <w:name w:val="Authors"/>
    <w:basedOn w:val="Normal"/>
    <w:next w:val="Normal"/>
    <w:uiPriority w:val="99"/>
    <w:rsid w:val="00177E8F"/>
    <w:pPr>
      <w:framePr w:w="9072" w:hSpace="187" w:vSpace="187" w:wrap="notBeside" w:vAnchor="text" w:hAnchor="page" w:xAlign="center" w:y="1"/>
      <w:spacing w:after="320"/>
      <w:jc w:val="center"/>
    </w:pPr>
    <w:rPr>
      <w:rFonts w:ascii="Times New Roman" w:eastAsia="PMingLiU" w:hAnsi="Times New Roman" w:cs="Times New Roman"/>
      <w:lang w:val="en-GB" w:eastAsia="en-US"/>
    </w:rPr>
  </w:style>
  <w:style w:type="character" w:styleId="LineNumber">
    <w:name w:val="line number"/>
    <w:basedOn w:val="DefaultParagraphFont"/>
    <w:uiPriority w:val="99"/>
    <w:semiHidden/>
    <w:unhideWhenUsed/>
    <w:rsid w:val="00177E8F"/>
  </w:style>
  <w:style w:type="character" w:styleId="FollowedHyperlink">
    <w:name w:val="FollowedHyperlink"/>
    <w:basedOn w:val="DefaultParagraphFont"/>
    <w:uiPriority w:val="99"/>
    <w:semiHidden/>
    <w:unhideWhenUsed/>
    <w:rsid w:val="00177E8F"/>
    <w:rPr>
      <w:color w:val="954F72" w:themeColor="followedHyperlink"/>
      <w:u w:val="single"/>
    </w:rPr>
  </w:style>
  <w:style w:type="table" w:styleId="GridTable3-Accent5">
    <w:name w:val="Grid Table 3 Accent 5"/>
    <w:basedOn w:val="TableNormal"/>
    <w:uiPriority w:val="48"/>
    <w:rsid w:val="00177E8F"/>
    <w:rPr>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2-Accent5">
    <w:name w:val="Grid Table 2 Accent 5"/>
    <w:basedOn w:val="TableNormal"/>
    <w:uiPriority w:val="47"/>
    <w:rsid w:val="00177E8F"/>
    <w:rPr>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177E8F"/>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177E8F"/>
    <w:rPr>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1">
    <w:name w:val="Grid Table 3 Accent 1"/>
    <w:basedOn w:val="TableNormal"/>
    <w:uiPriority w:val="48"/>
    <w:rsid w:val="00177E8F"/>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1">
    <w:name w:val="Grid Table 2 Accent 1"/>
    <w:basedOn w:val="TableNormal"/>
    <w:uiPriority w:val="47"/>
    <w:rsid w:val="00177E8F"/>
    <w:rPr>
      <w:lang w:val="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6">
    <w:name w:val="Grid Table 2 Accent 6"/>
    <w:basedOn w:val="TableNormal"/>
    <w:uiPriority w:val="47"/>
    <w:rsid w:val="00EE08DF"/>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EE08D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6">
    <w:name w:val="Grid Table 4 Accent 6"/>
    <w:basedOn w:val="TableNormal"/>
    <w:uiPriority w:val="49"/>
    <w:rsid w:val="00EE08D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urfulAccent6">
    <w:name w:val="Grid Table 6 Colorful Accent 6"/>
    <w:basedOn w:val="TableNormal"/>
    <w:uiPriority w:val="51"/>
    <w:rsid w:val="00EE08DF"/>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3436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EndnoteText">
    <w:name w:val="endnote text"/>
    <w:basedOn w:val="Normal"/>
    <w:link w:val="EndnoteTextChar"/>
    <w:uiPriority w:val="99"/>
    <w:semiHidden/>
    <w:unhideWhenUsed/>
    <w:rsid w:val="002D304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2D3044"/>
    <w:rPr>
      <w:rFonts w:ascii="Times" w:hAnsi="Times"/>
      <w:sz w:val="20"/>
      <w:szCs w:val="20"/>
    </w:rPr>
  </w:style>
  <w:style w:type="character" w:customStyle="1" w:styleId="UnresolvedMention1">
    <w:name w:val="Unresolved Mention1"/>
    <w:basedOn w:val="DefaultParagraphFont"/>
    <w:uiPriority w:val="99"/>
    <w:semiHidden/>
    <w:unhideWhenUsed/>
    <w:rsid w:val="00160F90"/>
    <w:rPr>
      <w:color w:val="605E5C"/>
      <w:shd w:val="clear" w:color="auto" w:fill="E1DFDD"/>
    </w:rPr>
  </w:style>
  <w:style w:type="character" w:customStyle="1" w:styleId="UnresolvedMention2">
    <w:name w:val="Unresolved Mention2"/>
    <w:basedOn w:val="DefaultParagraphFont"/>
    <w:uiPriority w:val="99"/>
    <w:semiHidden/>
    <w:unhideWhenUsed/>
    <w:rsid w:val="00643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6965">
      <w:bodyDiv w:val="1"/>
      <w:marLeft w:val="0"/>
      <w:marRight w:val="0"/>
      <w:marTop w:val="0"/>
      <w:marBottom w:val="0"/>
      <w:divBdr>
        <w:top w:val="none" w:sz="0" w:space="0" w:color="auto"/>
        <w:left w:val="none" w:sz="0" w:space="0" w:color="auto"/>
        <w:bottom w:val="none" w:sz="0" w:space="0" w:color="auto"/>
        <w:right w:val="none" w:sz="0" w:space="0" w:color="auto"/>
      </w:divBdr>
      <w:divsChild>
        <w:div w:id="514536075">
          <w:marLeft w:val="547"/>
          <w:marRight w:val="0"/>
          <w:marTop w:val="0"/>
          <w:marBottom w:val="0"/>
          <w:divBdr>
            <w:top w:val="none" w:sz="0" w:space="0" w:color="auto"/>
            <w:left w:val="none" w:sz="0" w:space="0" w:color="auto"/>
            <w:bottom w:val="none" w:sz="0" w:space="0" w:color="auto"/>
            <w:right w:val="none" w:sz="0" w:space="0" w:color="auto"/>
          </w:divBdr>
        </w:div>
      </w:divsChild>
    </w:div>
    <w:div w:id="465512570">
      <w:bodyDiv w:val="1"/>
      <w:marLeft w:val="0"/>
      <w:marRight w:val="0"/>
      <w:marTop w:val="0"/>
      <w:marBottom w:val="0"/>
      <w:divBdr>
        <w:top w:val="none" w:sz="0" w:space="0" w:color="auto"/>
        <w:left w:val="none" w:sz="0" w:space="0" w:color="auto"/>
        <w:bottom w:val="none" w:sz="0" w:space="0" w:color="auto"/>
        <w:right w:val="none" w:sz="0" w:space="0" w:color="auto"/>
      </w:divBdr>
    </w:div>
    <w:div w:id="549418235">
      <w:bodyDiv w:val="1"/>
      <w:marLeft w:val="0"/>
      <w:marRight w:val="0"/>
      <w:marTop w:val="0"/>
      <w:marBottom w:val="0"/>
      <w:divBdr>
        <w:top w:val="none" w:sz="0" w:space="0" w:color="auto"/>
        <w:left w:val="none" w:sz="0" w:space="0" w:color="auto"/>
        <w:bottom w:val="none" w:sz="0" w:space="0" w:color="auto"/>
        <w:right w:val="none" w:sz="0" w:space="0" w:color="auto"/>
      </w:divBdr>
    </w:div>
    <w:div w:id="986516021">
      <w:bodyDiv w:val="1"/>
      <w:marLeft w:val="0"/>
      <w:marRight w:val="0"/>
      <w:marTop w:val="0"/>
      <w:marBottom w:val="0"/>
      <w:divBdr>
        <w:top w:val="none" w:sz="0" w:space="0" w:color="auto"/>
        <w:left w:val="none" w:sz="0" w:space="0" w:color="auto"/>
        <w:bottom w:val="none" w:sz="0" w:space="0" w:color="auto"/>
        <w:right w:val="none" w:sz="0" w:space="0" w:color="auto"/>
      </w:divBdr>
    </w:div>
    <w:div w:id="1306546498">
      <w:bodyDiv w:val="1"/>
      <w:marLeft w:val="0"/>
      <w:marRight w:val="0"/>
      <w:marTop w:val="0"/>
      <w:marBottom w:val="0"/>
      <w:divBdr>
        <w:top w:val="none" w:sz="0" w:space="0" w:color="auto"/>
        <w:left w:val="none" w:sz="0" w:space="0" w:color="auto"/>
        <w:bottom w:val="none" w:sz="0" w:space="0" w:color="auto"/>
        <w:right w:val="none" w:sz="0" w:space="0" w:color="auto"/>
      </w:divBdr>
    </w:div>
    <w:div w:id="1391339735">
      <w:bodyDiv w:val="1"/>
      <w:marLeft w:val="0"/>
      <w:marRight w:val="0"/>
      <w:marTop w:val="0"/>
      <w:marBottom w:val="0"/>
      <w:divBdr>
        <w:top w:val="none" w:sz="0" w:space="0" w:color="auto"/>
        <w:left w:val="none" w:sz="0" w:space="0" w:color="auto"/>
        <w:bottom w:val="none" w:sz="0" w:space="0" w:color="auto"/>
        <w:right w:val="none" w:sz="0" w:space="0" w:color="auto"/>
      </w:divBdr>
    </w:div>
    <w:div w:id="1396464697">
      <w:bodyDiv w:val="1"/>
      <w:marLeft w:val="0"/>
      <w:marRight w:val="0"/>
      <w:marTop w:val="0"/>
      <w:marBottom w:val="0"/>
      <w:divBdr>
        <w:top w:val="none" w:sz="0" w:space="0" w:color="auto"/>
        <w:left w:val="none" w:sz="0" w:space="0" w:color="auto"/>
        <w:bottom w:val="none" w:sz="0" w:space="0" w:color="auto"/>
        <w:right w:val="none" w:sz="0" w:space="0" w:color="auto"/>
      </w:divBdr>
    </w:div>
    <w:div w:id="1536581314">
      <w:bodyDiv w:val="1"/>
      <w:marLeft w:val="0"/>
      <w:marRight w:val="0"/>
      <w:marTop w:val="0"/>
      <w:marBottom w:val="0"/>
      <w:divBdr>
        <w:top w:val="none" w:sz="0" w:space="0" w:color="auto"/>
        <w:left w:val="none" w:sz="0" w:space="0" w:color="auto"/>
        <w:bottom w:val="none" w:sz="0" w:space="0" w:color="auto"/>
        <w:right w:val="none" w:sz="0" w:space="0" w:color="auto"/>
      </w:divBdr>
      <w:divsChild>
        <w:div w:id="859052246">
          <w:marLeft w:val="547"/>
          <w:marRight w:val="0"/>
          <w:marTop w:val="0"/>
          <w:marBottom w:val="0"/>
          <w:divBdr>
            <w:top w:val="none" w:sz="0" w:space="0" w:color="auto"/>
            <w:left w:val="none" w:sz="0" w:space="0" w:color="auto"/>
            <w:bottom w:val="none" w:sz="0" w:space="0" w:color="auto"/>
            <w:right w:val="none" w:sz="0" w:space="0" w:color="auto"/>
          </w:divBdr>
        </w:div>
      </w:divsChild>
    </w:div>
    <w:div w:id="1591158801">
      <w:bodyDiv w:val="1"/>
      <w:marLeft w:val="0"/>
      <w:marRight w:val="0"/>
      <w:marTop w:val="0"/>
      <w:marBottom w:val="0"/>
      <w:divBdr>
        <w:top w:val="none" w:sz="0" w:space="0" w:color="auto"/>
        <w:left w:val="none" w:sz="0" w:space="0" w:color="auto"/>
        <w:bottom w:val="none" w:sz="0" w:space="0" w:color="auto"/>
        <w:right w:val="none" w:sz="0" w:space="0" w:color="auto"/>
      </w:divBdr>
    </w:div>
    <w:div w:id="1658848977">
      <w:bodyDiv w:val="1"/>
      <w:marLeft w:val="0"/>
      <w:marRight w:val="0"/>
      <w:marTop w:val="0"/>
      <w:marBottom w:val="0"/>
      <w:divBdr>
        <w:top w:val="none" w:sz="0" w:space="0" w:color="auto"/>
        <w:left w:val="none" w:sz="0" w:space="0" w:color="auto"/>
        <w:bottom w:val="none" w:sz="0" w:space="0" w:color="auto"/>
        <w:right w:val="none" w:sz="0" w:space="0" w:color="auto"/>
      </w:divBdr>
    </w:div>
    <w:div w:id="1829203472">
      <w:bodyDiv w:val="1"/>
      <w:marLeft w:val="0"/>
      <w:marRight w:val="0"/>
      <w:marTop w:val="0"/>
      <w:marBottom w:val="0"/>
      <w:divBdr>
        <w:top w:val="none" w:sz="0" w:space="0" w:color="auto"/>
        <w:left w:val="none" w:sz="0" w:space="0" w:color="auto"/>
        <w:bottom w:val="none" w:sz="0" w:space="0" w:color="auto"/>
        <w:right w:val="none" w:sz="0" w:space="0" w:color="auto"/>
      </w:divBdr>
    </w:div>
    <w:div w:id="1977370763">
      <w:bodyDiv w:val="1"/>
      <w:marLeft w:val="0"/>
      <w:marRight w:val="0"/>
      <w:marTop w:val="0"/>
      <w:marBottom w:val="0"/>
      <w:divBdr>
        <w:top w:val="none" w:sz="0" w:space="0" w:color="auto"/>
        <w:left w:val="none" w:sz="0" w:space="0" w:color="auto"/>
        <w:bottom w:val="none" w:sz="0" w:space="0" w:color="auto"/>
        <w:right w:val="none" w:sz="0" w:space="0" w:color="auto"/>
      </w:divBdr>
      <w:divsChild>
        <w:div w:id="54502930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AE465-B4AF-46B2-9395-935B3B14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6389</Words>
  <Characters>36420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Peiyang</dc:creator>
  <cp:keywords/>
  <dc:description/>
  <cp:lastModifiedBy>Shanshan Wang</cp:lastModifiedBy>
  <cp:revision>6</cp:revision>
  <cp:lastPrinted>2021-12-12T22:46:00Z</cp:lastPrinted>
  <dcterms:created xsi:type="dcterms:W3CDTF">2022-04-01T12:00:00Z</dcterms:created>
  <dcterms:modified xsi:type="dcterms:W3CDTF">2022-04-06T13:36:00Z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id="pTN1Gf7B"/&gt;&lt;style id="http://www.zotero.org/styles/applied-energy" hasBibliography="1" bibliographyStyleHasBeenSet="1"/&gt;&lt;prefs&gt;&lt;pref name="fieldType" value="Field"/&gt;&lt;/prefs&gt;&lt;/data&gt;</vt:lpwstr>
  </property>
  <property fmtid="{D5CDD505-2E9C-101B-9397-08002B2CF9AE}" pid="3" name="MSIP_Label_af12d72c-d307-416b-9a15-62e9d4b66ada_Enabled">
    <vt:lpwstr>true</vt:lpwstr>
  </property>
  <property fmtid="{D5CDD505-2E9C-101B-9397-08002B2CF9AE}" pid="4" name="MSIP_Label_af12d72c-d307-416b-9a15-62e9d4b66ada_SetDate">
    <vt:lpwstr>2022-04-06T13:36:29Z</vt:lpwstr>
  </property>
  <property fmtid="{D5CDD505-2E9C-101B-9397-08002B2CF9AE}" pid="5" name="MSIP_Label_af12d72c-d307-416b-9a15-62e9d4b66ada_Method">
    <vt:lpwstr>Privileged</vt:lpwstr>
  </property>
  <property fmtid="{D5CDD505-2E9C-101B-9397-08002B2CF9AE}" pid="6" name="MSIP_Label_af12d72c-d307-416b-9a15-62e9d4b66ada_Name">
    <vt:lpwstr>af12d72c-d307-416b-9a15-62e9d4b66ada</vt:lpwstr>
  </property>
  <property fmtid="{D5CDD505-2E9C-101B-9397-08002B2CF9AE}" pid="7" name="MSIP_Label_af12d72c-d307-416b-9a15-62e9d4b66ada_SiteId">
    <vt:lpwstr>4ae48b41-0137-4599-8661-fc641fe77bea</vt:lpwstr>
  </property>
  <property fmtid="{D5CDD505-2E9C-101B-9397-08002B2CF9AE}" pid="8" name="MSIP_Label_af12d72c-d307-416b-9a15-62e9d4b66ada_ActionId">
    <vt:lpwstr>03a80889-8e34-4d8c-ba29-0b7de7a817ed</vt:lpwstr>
  </property>
  <property fmtid="{D5CDD505-2E9C-101B-9397-08002B2CF9AE}" pid="9" name="MSIP_Label_af12d72c-d307-416b-9a15-62e9d4b66ada_ContentBits">
    <vt:lpwstr>0</vt:lpwstr>
  </property>
</Properties>
</file>