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CB913" w14:textId="361017B6" w:rsidR="007A077B" w:rsidRPr="007A077B" w:rsidRDefault="007A077B" w:rsidP="007A077B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7A077B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Information</w:t>
      </w:r>
    </w:p>
    <w:p w14:paraId="10341B74" w14:textId="3693E6DF" w:rsidR="007A077B" w:rsidRDefault="007A077B" w:rsidP="007A077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High Density </w:t>
      </w:r>
      <w:r w:rsidRPr="006D0A39">
        <w:rPr>
          <w:rFonts w:ascii="Times New Roman" w:hAnsi="Times New Roman" w:cs="Times New Roman"/>
          <w:b/>
          <w:bCs/>
          <w:sz w:val="24"/>
          <w:szCs w:val="24"/>
          <w:lang w:val="en-US"/>
        </w:rPr>
        <w:t>60-Channel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D0A3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Individually Addressable Platinum Nanoelectrodes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6D0A3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or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Neuronal Excitation and Measurement</w:t>
      </w:r>
    </w:p>
    <w:p w14:paraId="3A0DE764" w14:textId="60698CDB" w:rsidR="007A077B" w:rsidRPr="000B4256" w:rsidRDefault="007A077B" w:rsidP="007A077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Vidur Raj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1,*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D0A39">
        <w:rPr>
          <w:rFonts w:ascii="Times New Roman" w:hAnsi="Times New Roman" w:cs="Times New Roman"/>
          <w:sz w:val="24"/>
          <w:szCs w:val="24"/>
          <w:lang w:val="en-US"/>
        </w:rPr>
        <w:t>Aswani Gopakumar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, Gayatri Vaidya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, John Scott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EF55BD">
        <w:rPr>
          <w:rFonts w:ascii="Times New Roman" w:hAnsi="Times New Roman" w:cs="Times New Roman"/>
          <w:sz w:val="24"/>
          <w:szCs w:val="24"/>
          <w:lang w:val="en-US"/>
        </w:rPr>
        <w:t>Milos Toth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4,5,6</w:t>
      </w:r>
      <w:r>
        <w:rPr>
          <w:rFonts w:ascii="Times New Roman" w:hAnsi="Times New Roman" w:cs="Times New Roman"/>
          <w:sz w:val="24"/>
          <w:szCs w:val="24"/>
          <w:lang w:val="en-US"/>
        </w:rPr>
        <w:t>, Chennupati Jagadish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2,6</w:t>
      </w:r>
      <w:r w:rsidR="0079399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,*</w:t>
      </w:r>
      <w:r>
        <w:rPr>
          <w:rFonts w:ascii="Times New Roman" w:hAnsi="Times New Roman" w:cs="Times New Roman"/>
          <w:sz w:val="24"/>
          <w:szCs w:val="24"/>
          <w:lang w:val="en-US"/>
        </w:rPr>
        <w:t>, and Vini Gautam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="0079399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,*</w:t>
      </w:r>
    </w:p>
    <w:p w14:paraId="4272AE49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  <w:r w:rsidRPr="00B22B0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B22B0B">
        <w:rPr>
          <w:rFonts w:ascii="Times New Roman" w:eastAsia="Calibri" w:hAnsi="Times New Roman" w:cs="Times New Roman"/>
          <w:sz w:val="24"/>
          <w:szCs w:val="24"/>
        </w:rPr>
        <w:t>James Watt School of Engineering, University of Glasgow, University Avenue, Glasgow G12 8QQ, UK</w:t>
      </w:r>
    </w:p>
    <w:p w14:paraId="449500E2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  <w:r w:rsidRPr="00B22B0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B22B0B">
        <w:rPr>
          <w:rFonts w:ascii="Times New Roman" w:eastAsia="Calibri" w:hAnsi="Times New Roman" w:cs="Times New Roman"/>
          <w:sz w:val="24"/>
          <w:szCs w:val="24"/>
        </w:rPr>
        <w:t>Department of Electronic Materials Engineering, Research School of Physics, The Australian National University, Canberra, ACT 2601, Australia</w:t>
      </w:r>
    </w:p>
    <w:p w14:paraId="234FBA31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  <w:r w:rsidRPr="00B22B0B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B22B0B">
        <w:rPr>
          <w:rFonts w:ascii="Times New Roman" w:eastAsia="Calibri" w:hAnsi="Times New Roman" w:cs="Times New Roman"/>
          <w:sz w:val="24"/>
          <w:szCs w:val="24"/>
        </w:rPr>
        <w:t>Australian National Fabrication Facility, Research School of Physics and Engineering, The Australian National University, Canberra, ACT 2601, Australia</w:t>
      </w:r>
    </w:p>
    <w:p w14:paraId="44A6A658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  <w:r w:rsidRPr="00B22B0B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B22B0B">
        <w:rPr>
          <w:rFonts w:ascii="Times New Roman" w:eastAsia="Calibri" w:hAnsi="Times New Roman" w:cs="Times New Roman"/>
          <w:sz w:val="24"/>
          <w:szCs w:val="24"/>
        </w:rPr>
        <w:t>School of Mathematical and Physical Sciences, University of Technology Sydney, Ultimo, 2007, New South Wales, Australia</w:t>
      </w:r>
    </w:p>
    <w:p w14:paraId="48484ED1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  <w:r w:rsidRPr="00B22B0B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B22B0B">
        <w:rPr>
          <w:rFonts w:ascii="Times New Roman" w:eastAsia="Calibri" w:hAnsi="Times New Roman" w:cs="Times New Roman"/>
          <w:sz w:val="24"/>
          <w:szCs w:val="24"/>
        </w:rPr>
        <w:t>Institute for Biomedical Materials and Devices (IBMD), Faculty of Science, University of Technology Sydney, 2007, New South Wales, Australia</w:t>
      </w:r>
    </w:p>
    <w:p w14:paraId="19048165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  <w:r w:rsidRPr="00B22B0B">
        <w:rPr>
          <w:rFonts w:ascii="Times New Roman" w:eastAsia="Calibri" w:hAnsi="Times New Roman" w:cs="Times New Roman"/>
          <w:sz w:val="24"/>
          <w:szCs w:val="24"/>
          <w:vertAlign w:val="superscript"/>
        </w:rPr>
        <w:t>6</w:t>
      </w:r>
      <w:r w:rsidRPr="00B22B0B">
        <w:rPr>
          <w:rFonts w:ascii="Times New Roman" w:eastAsia="Calibri" w:hAnsi="Times New Roman" w:cs="Times New Roman"/>
          <w:sz w:val="24"/>
          <w:szCs w:val="24"/>
        </w:rPr>
        <w:t>ARC Centre of Excellence for Transformative Meta-Optical Systems, Research School of Physics, The Australian National University, Canberra, ACT 2601, Australia</w:t>
      </w:r>
    </w:p>
    <w:p w14:paraId="5CE4AE85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  <w:r w:rsidRPr="00B22B0B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B22B0B">
        <w:rPr>
          <w:rFonts w:ascii="Times New Roman" w:eastAsia="Calibri" w:hAnsi="Times New Roman" w:cs="Times New Roman"/>
          <w:sz w:val="24"/>
          <w:szCs w:val="24"/>
        </w:rPr>
        <w:t>Department of Biomedical Engineering, The University of Melbourne, VIC 3010, Melbourne, Australia</w:t>
      </w:r>
    </w:p>
    <w:p w14:paraId="4C081250" w14:textId="77777777" w:rsidR="007A077B" w:rsidRPr="00B22B0B" w:rsidRDefault="007A077B" w:rsidP="007A077B">
      <w:pPr>
        <w:rPr>
          <w:rFonts w:ascii="Times New Roman" w:eastAsia="Calibri" w:hAnsi="Times New Roman" w:cs="Times New Roman"/>
          <w:sz w:val="24"/>
          <w:szCs w:val="24"/>
        </w:rPr>
      </w:pPr>
    </w:p>
    <w:p w14:paraId="6CB35369" w14:textId="6A8D10A4" w:rsidR="007A077B" w:rsidRDefault="007A077B" w:rsidP="007A077B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</w:pPr>
      <w:r w:rsidRPr="00B22B0B">
        <w:rPr>
          <w:rFonts w:ascii="Times New Roman" w:hAnsi="Times New Roman" w:cs="Times New Roman"/>
          <w:sz w:val="24"/>
          <w:szCs w:val="24"/>
          <w:lang w:eastAsia="en-AU"/>
        </w:rPr>
        <w:t xml:space="preserve">Corresponding authors: </w:t>
      </w:r>
      <w:hyperlink r:id="rId6" w:history="1">
        <w:r w:rsidRPr="00B22B0B">
          <w:rPr>
            <w:rStyle w:val="Hyperlink"/>
            <w:rFonts w:ascii="Times New Roman" w:hAnsi="Times New Roman" w:cs="Times New Roman"/>
            <w:sz w:val="24"/>
            <w:szCs w:val="24"/>
            <w:lang w:eastAsia="en-AU"/>
          </w:rPr>
          <w:t>vidur.raj@glasgow.ac.uk</w:t>
        </w:r>
      </w:hyperlink>
      <w:r w:rsidRPr="00B22B0B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  <w:t xml:space="preserve">; </w:t>
      </w:r>
      <w:hyperlink r:id="rId7" w:history="1">
        <w:r w:rsidRPr="00B22B0B">
          <w:rPr>
            <w:rStyle w:val="Hyperlink"/>
            <w:rFonts w:ascii="Times New Roman" w:hAnsi="Times New Roman" w:cs="Times New Roman"/>
            <w:sz w:val="24"/>
            <w:szCs w:val="24"/>
            <w:lang w:eastAsia="en-AU"/>
          </w:rPr>
          <w:t>chennupati.jagadish@anu.edu.au</w:t>
        </w:r>
      </w:hyperlink>
      <w:r w:rsidRPr="00B22B0B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  <w:t xml:space="preserve">;  </w:t>
      </w:r>
      <w:hyperlink r:id="rId8" w:history="1">
        <w:r w:rsidRPr="00B22B0B">
          <w:rPr>
            <w:rStyle w:val="Hyperlink"/>
            <w:rFonts w:ascii="Times New Roman" w:hAnsi="Times New Roman" w:cs="Times New Roman"/>
            <w:sz w:val="24"/>
            <w:szCs w:val="24"/>
            <w:lang w:eastAsia="en-AU"/>
          </w:rPr>
          <w:t>vini.gautam@unimelb.edu.au</w:t>
        </w:r>
      </w:hyperlink>
      <w:r w:rsidRPr="00B22B0B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  <w:t xml:space="preserve"> </w:t>
      </w:r>
    </w:p>
    <w:p w14:paraId="40C455C5" w14:textId="471B5084" w:rsidR="00793992" w:rsidRDefault="00793992" w:rsidP="007A077B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</w:pPr>
    </w:p>
    <w:p w14:paraId="7DECABA5" w14:textId="7B81D505" w:rsidR="00793992" w:rsidRDefault="00793992" w:rsidP="007A077B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</w:pPr>
    </w:p>
    <w:p w14:paraId="3ED6193A" w14:textId="36929C04" w:rsidR="00793992" w:rsidRDefault="00793992" w:rsidP="007A077B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</w:pPr>
    </w:p>
    <w:p w14:paraId="3178060B" w14:textId="648C9D80" w:rsidR="00793992" w:rsidRDefault="00793992" w:rsidP="007A077B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</w:pPr>
    </w:p>
    <w:p w14:paraId="0183189C" w14:textId="1D53DBBC" w:rsidR="00793992" w:rsidRDefault="00793992" w:rsidP="007A077B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</w:pPr>
    </w:p>
    <w:p w14:paraId="35218494" w14:textId="61E7F978" w:rsidR="00793992" w:rsidRDefault="00793992" w:rsidP="007A077B">
      <w:pPr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lang w:eastAsia="en-AU"/>
        </w:rPr>
      </w:pPr>
    </w:p>
    <w:p w14:paraId="1B5A4EAB" w14:textId="77777777" w:rsidR="00793992" w:rsidRPr="00B22B0B" w:rsidRDefault="00793992" w:rsidP="007A077B">
      <w:pPr>
        <w:rPr>
          <w:rFonts w:ascii="Times New Roman" w:hAnsi="Times New Roman" w:cs="Times New Roman"/>
          <w:sz w:val="24"/>
          <w:szCs w:val="24"/>
          <w:lang w:eastAsia="en-AU"/>
        </w:rPr>
      </w:pPr>
    </w:p>
    <w:p w14:paraId="1A7FABD4" w14:textId="4662DBE1" w:rsidR="00B56A71" w:rsidRDefault="00B56A71"/>
    <w:p w14:paraId="599A2393" w14:textId="09539A45" w:rsidR="00B56A71" w:rsidRDefault="00B56A71"/>
    <w:p w14:paraId="6751F0B4" w14:textId="2F48B541" w:rsidR="00B56A71" w:rsidRDefault="009C64E1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09AA360" wp14:editId="42F912D3">
            <wp:simplePos x="0" y="0"/>
            <wp:positionH relativeFrom="column">
              <wp:posOffset>1776951</wp:posOffset>
            </wp:positionH>
            <wp:positionV relativeFrom="paragraph">
              <wp:posOffset>369</wp:posOffset>
            </wp:positionV>
            <wp:extent cx="1842407" cy="3782521"/>
            <wp:effectExtent l="0" t="0" r="5715" b="8890"/>
            <wp:wrapTopAndBottom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2407" cy="37825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0DF615" w14:textId="77777777" w:rsidR="00616461" w:rsidRPr="00C61591" w:rsidRDefault="00616461" w:rsidP="00616461">
      <w:pPr>
        <w:pStyle w:val="Caption1"/>
        <w:pBdr>
          <w:bottom w:val="single" w:sz="18" w:space="1" w:color="auto"/>
        </w:pBdr>
        <w:spacing w:line="480" w:lineRule="auto"/>
        <w:ind w:left="0" w:firstLine="0"/>
        <w:rPr>
          <w:i w:val="0"/>
          <w:noProof/>
          <w:color w:val="auto"/>
          <w:sz w:val="24"/>
          <w:szCs w:val="24"/>
        </w:rPr>
      </w:pPr>
      <w:r w:rsidRPr="00C61591">
        <w:rPr>
          <w:b/>
          <w:i w:val="0"/>
          <w:color w:val="auto"/>
          <w:sz w:val="24"/>
          <w:szCs w:val="24"/>
        </w:rPr>
        <w:t>Figure S</w:t>
      </w:r>
      <w:r>
        <w:rPr>
          <w:b/>
          <w:i w:val="0"/>
          <w:color w:val="auto"/>
          <w:sz w:val="24"/>
          <w:szCs w:val="24"/>
        </w:rPr>
        <w:t>1</w:t>
      </w:r>
      <w:r w:rsidRPr="00C61591">
        <w:rPr>
          <w:b/>
          <w:i w:val="0"/>
          <w:color w:val="auto"/>
          <w:sz w:val="24"/>
          <w:szCs w:val="24"/>
        </w:rPr>
        <w:t xml:space="preserve">. </w:t>
      </w:r>
      <w:r w:rsidRPr="00C61591">
        <w:rPr>
          <w:i w:val="0"/>
          <w:color w:val="auto"/>
          <w:sz w:val="24"/>
          <w:szCs w:val="24"/>
        </w:rPr>
        <w:t xml:space="preserve">Geometric filling ratio </w:t>
      </w:r>
      <w:r>
        <w:rPr>
          <w:i w:val="0"/>
          <w:color w:val="auto"/>
          <w:sz w:val="24"/>
          <w:szCs w:val="24"/>
        </w:rPr>
        <w:t xml:space="preserve">of nanoelectrode array </w:t>
      </w:r>
      <w:r w:rsidRPr="00C61591">
        <w:rPr>
          <w:i w:val="0"/>
          <w:color w:val="auto"/>
          <w:sz w:val="24"/>
          <w:szCs w:val="24"/>
        </w:rPr>
        <w:t>is</w:t>
      </w:r>
      <w:r>
        <w:rPr>
          <w:i w:val="0"/>
          <w:color w:val="auto"/>
          <w:sz w:val="24"/>
          <w:szCs w:val="24"/>
        </w:rPr>
        <w:t xml:space="preserve"> defined as</w:t>
      </w:r>
      <w:r w:rsidRPr="00C61591">
        <w:rPr>
          <w:i w:val="0"/>
          <w:color w:val="auto"/>
          <w:sz w:val="24"/>
          <w:szCs w:val="24"/>
        </w:rPr>
        <w:t xml:space="preserve"> volume of cone</w:t>
      </w:r>
      <w:r>
        <w:rPr>
          <w:i w:val="0"/>
          <w:color w:val="auto"/>
          <w:sz w:val="24"/>
          <w:szCs w:val="24"/>
        </w:rPr>
        <w:t xml:space="preserve"> (or cylinder) to </w:t>
      </w:r>
      <w:r w:rsidRPr="00C61591">
        <w:rPr>
          <w:i w:val="0"/>
          <w:color w:val="auto"/>
          <w:sz w:val="24"/>
          <w:szCs w:val="24"/>
        </w:rPr>
        <w:t>the volume of cuboid (shown in light blue)</w:t>
      </w:r>
      <w:r w:rsidRPr="00C61591">
        <w:rPr>
          <w:rFonts w:eastAsia="Calibri"/>
          <w:i w:val="0"/>
          <w:iCs w:val="0"/>
          <w:color w:val="auto"/>
          <w:sz w:val="22"/>
          <w:szCs w:val="24"/>
        </w:rPr>
        <w:t xml:space="preserve"> </w:t>
      </w:r>
      <w:r w:rsidRPr="00C61591">
        <w:rPr>
          <w:i w:val="0"/>
          <w:color w:val="auto"/>
          <w:sz w:val="24"/>
          <w:szCs w:val="24"/>
        </w:rPr>
        <w:t xml:space="preserve">base of which is equal to pitch of nanocone array and height of which is equal to the height of nanocones. </w:t>
      </w:r>
    </w:p>
    <w:p w14:paraId="7FBA7FE1" w14:textId="1AA7DD35" w:rsidR="00616461" w:rsidRPr="00616461" w:rsidRDefault="00616461" w:rsidP="00EE0F77">
      <w:pPr>
        <w:spacing w:line="480" w:lineRule="auto"/>
        <w:jc w:val="both"/>
        <w:rPr>
          <w:rFonts w:ascii="Times New Roman" w:hAnsi="Times New Roman" w:cs="Times New Roman"/>
        </w:rPr>
      </w:pPr>
      <w:r w:rsidRPr="00616461">
        <w:rPr>
          <w:rFonts w:ascii="Times New Roman" w:hAnsi="Times New Roman" w:cs="Times New Roman"/>
        </w:rPr>
        <w:t>Geometric filling ratio is the ratio of the volume covered by the nano</w:t>
      </w:r>
      <w:r w:rsidR="00AE3A8A" w:rsidRPr="00EE0F77">
        <w:rPr>
          <w:rFonts w:ascii="Times New Roman" w:hAnsi="Times New Roman" w:cs="Times New Roman"/>
        </w:rPr>
        <w:t>electrode</w:t>
      </w:r>
      <w:r w:rsidRPr="00616461">
        <w:rPr>
          <w:rFonts w:ascii="Times New Roman" w:hAnsi="Times New Roman" w:cs="Times New Roman"/>
        </w:rPr>
        <w:t xml:space="preserve"> to the volume of a cuboid, base of which is equal to pitch of nanocone array and height of which is equal to the height of </w:t>
      </w:r>
      <w:r w:rsidR="00EE0F77" w:rsidRPr="00EE0F77">
        <w:rPr>
          <w:rFonts w:ascii="Times New Roman" w:hAnsi="Times New Roman" w:cs="Times New Roman"/>
        </w:rPr>
        <w:t>nanoelectrode</w:t>
      </w:r>
      <w:r w:rsidRPr="00616461">
        <w:rPr>
          <w:rFonts w:ascii="Times New Roman" w:hAnsi="Times New Roman" w:cs="Times New Roman"/>
        </w:rPr>
        <w:t xml:space="preserve"> (see Figure S</w:t>
      </w:r>
      <w:r w:rsidR="00EE0F77" w:rsidRPr="00EE0F77">
        <w:rPr>
          <w:rFonts w:ascii="Times New Roman" w:hAnsi="Times New Roman" w:cs="Times New Roman"/>
        </w:rPr>
        <w:t>1</w:t>
      </w:r>
      <w:r w:rsidRPr="00616461">
        <w:rPr>
          <w:rFonts w:ascii="Times New Roman" w:hAnsi="Times New Roman" w:cs="Times New Roman"/>
        </w:rPr>
        <w:t>). Therefore, the geometric filling ratio for a tapered nanowire (or nanocone) can be mathematically written as:</w:t>
      </w:r>
    </w:p>
    <w:p w14:paraId="616E096A" w14:textId="63E53013" w:rsidR="00B56A71" w:rsidRPr="00EE0F77" w:rsidRDefault="00616461" w:rsidP="00EE0F77">
      <w:pPr>
        <w:spacing w:line="480" w:lineRule="auto"/>
        <w:jc w:val="both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Filling Ratio 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FR</m:t>
              </m:r>
            </m:e>
          </m:d>
          <m:r>
            <w:rPr>
              <w:rFonts w:ascii="Cambria Math" w:hAnsi="Cambria Math" w:cs="Times New Roman"/>
            </w:rPr>
            <m:t xml:space="preserve">for conical nanoelectrode=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Volume of nanoelectrode</m:t>
              </m:r>
            </m:num>
            <m:den>
              <m:r>
                <w:rPr>
                  <w:rFonts w:ascii="Cambria Math" w:hAnsi="Cambria Math" w:cs="Times New Roman"/>
                </w:rPr>
                <m:t>Volume of cuboid</m:t>
              </m:r>
            </m:den>
          </m:f>
          <m:r>
            <w:rPr>
              <w:rFonts w:ascii="Cambria Math" w:hAnsi="Cambria Math" w:cs="Times New Roman"/>
            </w:rPr>
            <m:t xml:space="preserve">= = 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3</m:t>
              </m:r>
            </m:den>
          </m:f>
          <m:r>
            <w:rPr>
              <w:rFonts w:ascii="Cambria Math" w:hAnsi="Cambria Math" w:cs="Times New Roman"/>
            </w:rPr>
            <m:t xml:space="preserve"> π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top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</w:rPr>
                <m:t xml:space="preserve">+ 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top</m:t>
                  </m:r>
                </m:sub>
              </m:sSub>
              <m:r>
                <w:rPr>
                  <w:rFonts w:ascii="Cambria Math" w:hAnsi="Cambria Math" w:cs="Times New Roman"/>
                </w:rPr>
                <m:t xml:space="preserve"> .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base</m:t>
                  </m:r>
                </m:sub>
              </m:sSub>
              <m:r>
                <w:rPr>
                  <w:rFonts w:ascii="Cambria Math" w:hAnsi="Cambria Math" w:cs="Times New Roman"/>
                </w:rPr>
                <m:t>+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base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</w:rPr>
                <m:t xml:space="preserve"> 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Pitch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</m:den>
          </m:f>
        </m:oMath>
      </m:oMathPara>
    </w:p>
    <w:p w14:paraId="5991E1EA" w14:textId="7450BC40" w:rsidR="00616461" w:rsidRPr="00EE0F77" w:rsidRDefault="00616461" w:rsidP="00EE0F77">
      <w:pPr>
        <w:spacing w:line="480" w:lineRule="auto"/>
        <w:jc w:val="both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Filling Ratio 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FR</m:t>
              </m:r>
            </m:e>
          </m:d>
          <m:r>
            <w:rPr>
              <w:rFonts w:ascii="Cambria Math" w:hAnsi="Cambria Math" w:cs="Times New Roman"/>
            </w:rPr>
            <m:t xml:space="preserve">for cylidrical nanoelectrode array=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Volume of nanoelectrode</m:t>
              </m:r>
            </m:num>
            <m:den>
              <m:r>
                <w:rPr>
                  <w:rFonts w:ascii="Cambria Math" w:hAnsi="Cambria Math" w:cs="Times New Roman"/>
                </w:rPr>
                <m:t>Volume of cuboid</m:t>
              </m:r>
            </m:den>
          </m:f>
          <m:r>
            <w:rPr>
              <w:rFonts w:ascii="Cambria Math" w:eastAsiaTheme="minorEastAsia" w:hAnsi="Cambria Math" w:cs="Times New Roman"/>
            </w:rPr>
            <m:t xml:space="preserve">= 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</w:rPr>
                <m:t>π.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</w:rPr>
                    <m:t>Pitch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</w:rPr>
            <m:t xml:space="preserve"> </m:t>
          </m:r>
        </m:oMath>
      </m:oMathPara>
    </w:p>
    <w:p w14:paraId="2DAFEBA8" w14:textId="135E57DB" w:rsidR="00B56A71" w:rsidRDefault="009C64E1"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255D2CD9" wp14:editId="028E54D5">
            <wp:simplePos x="0" y="0"/>
            <wp:positionH relativeFrom="column">
              <wp:posOffset>0</wp:posOffset>
            </wp:positionH>
            <wp:positionV relativeFrom="paragraph">
              <wp:posOffset>287020</wp:posOffset>
            </wp:positionV>
            <wp:extent cx="3895090" cy="3943985"/>
            <wp:effectExtent l="0" t="0" r="0" b="0"/>
            <wp:wrapTopAndBottom/>
            <wp:docPr id="1" name="Picture 1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090" cy="394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F89F37" w14:textId="2A65E2D3" w:rsidR="009C64E1" w:rsidRDefault="009C64E1" w:rsidP="009C64E1">
      <w:pPr>
        <w:pBdr>
          <w:bottom w:val="single" w:sz="18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 symbolic representation of the general layout of 60-Channel individually addressable MEA chip compatible with MEA-2100 setup. The data from each electrode is read through an overhead stage which sits on 2.2 mm square gold contacts separated by 150 microns. </w:t>
      </w:r>
    </w:p>
    <w:p w14:paraId="311F3215" w14:textId="14D11BAF" w:rsidR="00B56A71" w:rsidRDefault="00B56A71"/>
    <w:p w14:paraId="15B725A3" w14:textId="12C426DA" w:rsidR="00B56A71" w:rsidRDefault="005E1BA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3531A">
        <w:rPr>
          <w:rFonts w:ascii="Times New Roman" w:hAnsi="Times New Roman" w:cs="Times New Roman"/>
          <w:b/>
          <w:bCs/>
          <w:sz w:val="24"/>
          <w:szCs w:val="24"/>
        </w:rPr>
        <w:lastRenderedPageBreak/>
        <w:br w:type="textWrapping" w:clear="all"/>
      </w:r>
      <w:r w:rsidR="00753A2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2831A7B" wp14:editId="79283123">
            <wp:extent cx="5982420" cy="6422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484" cy="6430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A829C2" w14:textId="526FFEE7" w:rsidR="00287BED" w:rsidRDefault="00753A21" w:rsidP="00CF3EF7">
      <w:pPr>
        <w:pBdr>
          <w:bottom w:val="single" w:sz="18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70F93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Example of platinum nanowires deposited by electron beam assisted metal deposition technique, before and after planarization. </w:t>
      </w:r>
      <w:r w:rsidR="00C13196">
        <w:rPr>
          <w:rFonts w:ascii="Times New Roman" w:hAnsi="Times New Roman" w:cs="Times New Roman"/>
          <w:sz w:val="24"/>
          <w:szCs w:val="24"/>
        </w:rPr>
        <w:t>(a) 2d Ti/Au metal pads, (b) top view of nanoelectrode array after platinum dep</w:t>
      </w:r>
      <w:r w:rsidR="003F29C4">
        <w:rPr>
          <w:rFonts w:ascii="Times New Roman" w:hAnsi="Times New Roman" w:cs="Times New Roman"/>
          <w:sz w:val="24"/>
          <w:szCs w:val="24"/>
        </w:rPr>
        <w:t>os</w:t>
      </w:r>
      <w:r w:rsidR="00C13196">
        <w:rPr>
          <w:rFonts w:ascii="Times New Roman" w:hAnsi="Times New Roman" w:cs="Times New Roman"/>
          <w:sz w:val="24"/>
          <w:szCs w:val="24"/>
        </w:rPr>
        <w:t xml:space="preserve">ition, </w:t>
      </w:r>
      <w:r w:rsidR="003F29C4">
        <w:rPr>
          <w:rFonts w:ascii="Times New Roman" w:hAnsi="Times New Roman" w:cs="Times New Roman"/>
          <w:sz w:val="24"/>
          <w:szCs w:val="24"/>
        </w:rPr>
        <w:t xml:space="preserve">and </w:t>
      </w:r>
      <w:r w:rsidR="00C13196">
        <w:rPr>
          <w:rFonts w:ascii="Times New Roman" w:hAnsi="Times New Roman" w:cs="Times New Roman"/>
          <w:sz w:val="24"/>
          <w:szCs w:val="24"/>
        </w:rPr>
        <w:t>(c and d) 52</w:t>
      </w:r>
      <w:r w:rsidR="00C13196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C13196">
        <w:rPr>
          <w:rFonts w:ascii="Times New Roman" w:hAnsi="Times New Roman" w:cs="Times New Roman"/>
          <w:sz w:val="24"/>
          <w:szCs w:val="24"/>
        </w:rPr>
        <w:t xml:space="preserve"> titled view of nanoelectrodes at different magnifications. </w:t>
      </w:r>
      <w:r w:rsidR="0064288C">
        <w:rPr>
          <w:rFonts w:ascii="Times New Roman" w:hAnsi="Times New Roman" w:cs="Times New Roman"/>
          <w:sz w:val="24"/>
          <w:szCs w:val="24"/>
        </w:rPr>
        <w:t xml:space="preserve">(e) and (f) shows platinum nanowire array after planarization and </w:t>
      </w:r>
      <w:r w:rsidR="00B71BC8">
        <w:rPr>
          <w:rFonts w:ascii="Times New Roman" w:hAnsi="Times New Roman" w:cs="Times New Roman"/>
          <w:sz w:val="24"/>
          <w:szCs w:val="24"/>
        </w:rPr>
        <w:t xml:space="preserve">the </w:t>
      </w:r>
      <w:r w:rsidR="0064288C">
        <w:rPr>
          <w:rFonts w:ascii="Times New Roman" w:hAnsi="Times New Roman" w:cs="Times New Roman"/>
          <w:sz w:val="24"/>
          <w:szCs w:val="24"/>
        </w:rPr>
        <w:t xml:space="preserve">only </w:t>
      </w:r>
      <w:r w:rsidR="00B71BC8">
        <w:rPr>
          <w:rFonts w:ascii="Times New Roman" w:hAnsi="Times New Roman" w:cs="Times New Roman"/>
          <w:sz w:val="24"/>
          <w:szCs w:val="24"/>
        </w:rPr>
        <w:t>nanowire tip</w:t>
      </w:r>
      <w:r w:rsidR="0064288C">
        <w:rPr>
          <w:rFonts w:ascii="Times New Roman" w:hAnsi="Times New Roman" w:cs="Times New Roman"/>
          <w:sz w:val="24"/>
          <w:szCs w:val="24"/>
        </w:rPr>
        <w:t xml:space="preserve"> exposed for EIS measurements. </w:t>
      </w:r>
    </w:p>
    <w:p w14:paraId="342715FF" w14:textId="16E684C5" w:rsidR="00287BED" w:rsidRDefault="00287B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D43FD2" wp14:editId="719FB4C3">
            <wp:extent cx="5691319" cy="385638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840" cy="38587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802AA5" w14:textId="72894182" w:rsidR="00287BED" w:rsidRPr="00287BED" w:rsidRDefault="00287BED" w:rsidP="00003206">
      <w:pPr>
        <w:pBdr>
          <w:bottom w:val="single" w:sz="18" w:space="1" w:color="auto"/>
        </w:pBd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BED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70F9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87B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An example of fitted EIS (a) Nyquist and (b) Bode’s plot for </w:t>
      </w:r>
      <w:r w:rsidR="00FC1714">
        <w:rPr>
          <w:rFonts w:ascii="Times New Roman" w:hAnsi="Times New Roman" w:cs="Times New Roman"/>
          <w:sz w:val="24"/>
          <w:szCs w:val="24"/>
        </w:rPr>
        <w:t xml:space="preserve">shorted </w:t>
      </w:r>
      <w:r>
        <w:rPr>
          <w:rFonts w:ascii="Times New Roman" w:hAnsi="Times New Roman" w:cs="Times New Roman"/>
          <w:sz w:val="24"/>
          <w:szCs w:val="24"/>
        </w:rPr>
        <w:t>nanoelectrodes.</w:t>
      </w:r>
      <w:r w:rsidR="00FC1714">
        <w:rPr>
          <w:rFonts w:ascii="Times New Roman" w:hAnsi="Times New Roman" w:cs="Times New Roman"/>
          <w:sz w:val="24"/>
          <w:szCs w:val="24"/>
        </w:rPr>
        <w:t xml:space="preserve"> </w:t>
      </w:r>
      <w:r w:rsidR="000679B1">
        <w:rPr>
          <w:rFonts w:ascii="Times New Roman" w:hAnsi="Times New Roman" w:cs="Times New Roman"/>
          <w:sz w:val="24"/>
          <w:szCs w:val="24"/>
        </w:rPr>
        <w:t>Most of the nanowires were shorted for platinum nanoelectrodes deposited by electron beam</w:t>
      </w:r>
      <w:r w:rsidR="000D067B">
        <w:rPr>
          <w:rFonts w:ascii="Times New Roman" w:hAnsi="Times New Roman" w:cs="Times New Roman"/>
          <w:sz w:val="24"/>
          <w:szCs w:val="24"/>
        </w:rPr>
        <w:t xml:space="preserve"> as </w:t>
      </w:r>
      <w:r w:rsidR="00653788">
        <w:rPr>
          <w:rFonts w:ascii="Times New Roman" w:hAnsi="Times New Roman" w:cs="Times New Roman"/>
          <w:sz w:val="24"/>
          <w:szCs w:val="24"/>
        </w:rPr>
        <w:t>evident</w:t>
      </w:r>
      <w:r w:rsidR="000D067B">
        <w:rPr>
          <w:rFonts w:ascii="Times New Roman" w:hAnsi="Times New Roman" w:cs="Times New Roman"/>
          <w:sz w:val="24"/>
          <w:szCs w:val="24"/>
        </w:rPr>
        <w:t xml:space="preserve"> by (c) Impedance </w:t>
      </w:r>
      <w:r w:rsidR="000D067B" w:rsidRPr="000D067B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="000D067B">
        <w:rPr>
          <w:rFonts w:ascii="Times New Roman" w:hAnsi="Times New Roman" w:cs="Times New Roman"/>
          <w:sz w:val="24"/>
          <w:szCs w:val="24"/>
        </w:rPr>
        <w:t xml:space="preserve">. Frequency plot and (d) Phase </w:t>
      </w:r>
      <w:r w:rsidR="000D067B" w:rsidRPr="000D067B">
        <w:rPr>
          <w:rFonts w:ascii="Times New Roman" w:hAnsi="Times New Roman" w:cs="Times New Roman"/>
          <w:i/>
          <w:iCs/>
          <w:sz w:val="24"/>
          <w:szCs w:val="24"/>
        </w:rPr>
        <w:t>vs.</w:t>
      </w:r>
      <w:r w:rsidR="000D067B">
        <w:rPr>
          <w:rFonts w:ascii="Times New Roman" w:hAnsi="Times New Roman" w:cs="Times New Roman"/>
          <w:sz w:val="24"/>
          <w:szCs w:val="24"/>
        </w:rPr>
        <w:t xml:space="preserve">Frequency plot.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87BED" w:rsidRPr="00287BE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28B5B" w14:textId="77777777" w:rsidR="00B63CAE" w:rsidRDefault="00B63CAE" w:rsidP="00287BED">
      <w:pPr>
        <w:spacing w:after="0" w:line="240" w:lineRule="auto"/>
      </w:pPr>
      <w:r>
        <w:separator/>
      </w:r>
    </w:p>
  </w:endnote>
  <w:endnote w:type="continuationSeparator" w:id="0">
    <w:p w14:paraId="1CD9A6C9" w14:textId="77777777" w:rsidR="00B63CAE" w:rsidRDefault="00B63CAE" w:rsidP="00287B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835B8" w14:textId="77777777" w:rsidR="00287BED" w:rsidRDefault="00287B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EEC94" w14:textId="77777777" w:rsidR="00287BED" w:rsidRDefault="00287B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217E5" w14:textId="77777777" w:rsidR="00287BED" w:rsidRDefault="00287B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A21E8" w14:textId="77777777" w:rsidR="00B63CAE" w:rsidRDefault="00B63CAE" w:rsidP="00287BED">
      <w:pPr>
        <w:spacing w:after="0" w:line="240" w:lineRule="auto"/>
      </w:pPr>
      <w:r>
        <w:separator/>
      </w:r>
    </w:p>
  </w:footnote>
  <w:footnote w:type="continuationSeparator" w:id="0">
    <w:p w14:paraId="4E2C6474" w14:textId="77777777" w:rsidR="00B63CAE" w:rsidRDefault="00B63CAE" w:rsidP="00287B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30E6F" w14:textId="77777777" w:rsidR="00287BED" w:rsidRDefault="00287B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8C344" w14:textId="77777777" w:rsidR="00287BED" w:rsidRDefault="00287B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0AD20" w14:textId="77777777" w:rsidR="00287BED" w:rsidRDefault="00287B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hideSpellingErrors/>
  <w:hideGrammaticalErrors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S1NDU2MDU3sDQyMzNV0lEKTi0uzszPAykwrgUAKRfHxiwAAAA="/>
  </w:docVars>
  <w:rsids>
    <w:rsidRoot w:val="007A077B"/>
    <w:rsid w:val="00003206"/>
    <w:rsid w:val="0003531A"/>
    <w:rsid w:val="000679B1"/>
    <w:rsid w:val="000D067B"/>
    <w:rsid w:val="00287BED"/>
    <w:rsid w:val="003F29C4"/>
    <w:rsid w:val="0047079C"/>
    <w:rsid w:val="005E1BA0"/>
    <w:rsid w:val="005F4764"/>
    <w:rsid w:val="00616461"/>
    <w:rsid w:val="00627CF5"/>
    <w:rsid w:val="0064288C"/>
    <w:rsid w:val="00653788"/>
    <w:rsid w:val="00753A21"/>
    <w:rsid w:val="00793992"/>
    <w:rsid w:val="007A077B"/>
    <w:rsid w:val="009C64E1"/>
    <w:rsid w:val="00AE3A8A"/>
    <w:rsid w:val="00B46BE0"/>
    <w:rsid w:val="00B56A71"/>
    <w:rsid w:val="00B63CAE"/>
    <w:rsid w:val="00B71BC8"/>
    <w:rsid w:val="00BC003D"/>
    <w:rsid w:val="00C13196"/>
    <w:rsid w:val="00CF3EF7"/>
    <w:rsid w:val="00EE0F77"/>
    <w:rsid w:val="00F70F93"/>
    <w:rsid w:val="00FC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74BC1"/>
  <w15:chartTrackingRefBased/>
  <w15:docId w15:val="{E4C13207-C221-415A-B329-38697F57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7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077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7B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BED"/>
  </w:style>
  <w:style w:type="paragraph" w:styleId="Footer">
    <w:name w:val="footer"/>
    <w:basedOn w:val="Normal"/>
    <w:link w:val="FooterChar"/>
    <w:uiPriority w:val="99"/>
    <w:unhideWhenUsed/>
    <w:rsid w:val="00287B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BED"/>
  </w:style>
  <w:style w:type="paragraph" w:customStyle="1" w:styleId="Caption1">
    <w:name w:val="Caption1"/>
    <w:basedOn w:val="Normal"/>
    <w:next w:val="Normal"/>
    <w:uiPriority w:val="35"/>
    <w:unhideWhenUsed/>
    <w:qFormat/>
    <w:rsid w:val="00616461"/>
    <w:pPr>
      <w:spacing w:after="200" w:line="240" w:lineRule="auto"/>
      <w:ind w:left="714" w:hanging="357"/>
      <w:jc w:val="both"/>
    </w:pPr>
    <w:rPr>
      <w:rFonts w:ascii="Times New Roman" w:hAnsi="Times New Roman" w:cs="Times New Roman"/>
      <w:i/>
      <w:iCs/>
      <w:color w:val="44546A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1646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ni.gautam@unimelb.edu.au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chennupati.jagadish@anu.edu.au" TargetMode="Externa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vidur.raj@glasgow.ac.uk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Vidur</dc:creator>
  <cp:keywords/>
  <dc:description/>
  <cp:lastModifiedBy>Vidur</cp:lastModifiedBy>
  <cp:revision>21</cp:revision>
  <dcterms:created xsi:type="dcterms:W3CDTF">2022-02-14T16:07:00Z</dcterms:created>
  <dcterms:modified xsi:type="dcterms:W3CDTF">2022-03-17T17:46:00Z</dcterms:modified>
</cp:coreProperties>
</file>