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844F5" w14:textId="282A183B" w:rsidR="008D053C" w:rsidRPr="00F12C60" w:rsidRDefault="00C93661" w:rsidP="00E621AA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2C60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14:paraId="71F0581C" w14:textId="2C7131B8" w:rsidR="00C93661" w:rsidRPr="00F12C60" w:rsidRDefault="00C93661" w:rsidP="00E621A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C1B2D3D" w14:textId="1DFBEF90" w:rsidR="00C93661" w:rsidRPr="00F12C60" w:rsidRDefault="00C93661" w:rsidP="00E621AA">
      <w:pPr>
        <w:pStyle w:val="NormalWeb"/>
        <w:jc w:val="center"/>
        <w:rPr>
          <w:b/>
          <w:lang w:val="en-US"/>
        </w:rPr>
      </w:pPr>
      <w:r w:rsidRPr="00F12C60">
        <w:rPr>
          <w:b/>
        </w:rPr>
        <w:t>Population-Based Input Function for</w:t>
      </w:r>
      <w:r w:rsidRPr="00F12C60">
        <w:rPr>
          <w:b/>
        </w:rPr>
        <w:t xml:space="preserve"> TSPO quantification and </w:t>
      </w:r>
      <w:r w:rsidRPr="00F12C60">
        <w:rPr>
          <w:b/>
        </w:rPr>
        <w:t xml:space="preserve">Kinetic </w:t>
      </w:r>
      <w:proofErr w:type="spellStart"/>
      <w:r w:rsidRPr="00F12C60">
        <w:rPr>
          <w:b/>
        </w:rPr>
        <w:t>Modeling</w:t>
      </w:r>
      <w:proofErr w:type="spellEnd"/>
      <w:r w:rsidRPr="00F12C60">
        <w:rPr>
          <w:b/>
        </w:rPr>
        <w:t xml:space="preserve"> </w:t>
      </w:r>
      <w:r w:rsidRPr="00F12C60">
        <w:rPr>
          <w:b/>
        </w:rPr>
        <w:t xml:space="preserve">with </w:t>
      </w:r>
      <w:r w:rsidRPr="00F12C60">
        <w:rPr>
          <w:b/>
        </w:rPr>
        <w:t>[</w:t>
      </w:r>
      <w:r w:rsidRPr="00F12C60">
        <w:rPr>
          <w:b/>
          <w:vertAlign w:val="superscript"/>
        </w:rPr>
        <w:t>11</w:t>
      </w:r>
      <w:r w:rsidRPr="00F12C60">
        <w:rPr>
          <w:b/>
        </w:rPr>
        <w:t>C]-DPA-713</w:t>
      </w:r>
    </w:p>
    <w:p w14:paraId="661EE71E" w14:textId="25AF3AB6" w:rsidR="00E621AA" w:rsidRDefault="005F78AB" w:rsidP="00E621A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Demographic and Genotype Information of all Subjects involved in the Study</w:t>
      </w:r>
    </w:p>
    <w:p w14:paraId="4E6C0F57" w14:textId="74E6106A" w:rsidR="00D049E1" w:rsidRPr="00D049E1" w:rsidRDefault="00D049E1" w:rsidP="00D049E1">
      <w:pPr>
        <w:spacing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049E1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Table S1: </w:t>
      </w:r>
      <w:r w:rsidRPr="00D049E1">
        <w:rPr>
          <w:rFonts w:ascii="Times New Roman" w:hAnsi="Times New Roman" w:cs="Times New Roman"/>
          <w:i/>
          <w:iCs/>
          <w:sz w:val="20"/>
          <w:szCs w:val="20"/>
        </w:rPr>
        <w:t>Demographic information of all the PD patients and healthy volunteers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(HV) included in this study</w:t>
      </w:r>
    </w:p>
    <w:tbl>
      <w:tblPr>
        <w:tblW w:w="8942" w:type="dxa"/>
        <w:tblLook w:val="04A0" w:firstRow="1" w:lastRow="0" w:firstColumn="1" w:lastColumn="0" w:noHBand="0" w:noVBand="1"/>
      </w:tblPr>
      <w:tblGrid>
        <w:gridCol w:w="1075"/>
        <w:gridCol w:w="180"/>
        <w:gridCol w:w="861"/>
        <w:gridCol w:w="515"/>
        <w:gridCol w:w="694"/>
        <w:gridCol w:w="656"/>
        <w:gridCol w:w="604"/>
        <w:gridCol w:w="1170"/>
        <w:gridCol w:w="1170"/>
        <w:gridCol w:w="566"/>
        <w:gridCol w:w="244"/>
        <w:gridCol w:w="1196"/>
        <w:gridCol w:w="11"/>
      </w:tblGrid>
      <w:tr w:rsidR="00E0794F" w:rsidRPr="00D049E1" w14:paraId="253A12F3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B7681" w14:textId="3F21942B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Patient ID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E1D7C" w14:textId="16A76ABF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E0A18" w14:textId="17FF06B2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611B6" w14:textId="6B88B2E2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Weight (Kg)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24889" w14:textId="14F6CAEF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58C4F" w14:textId="10D78B63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BMI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472B1" w14:textId="1975328E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A86C" w14:textId="5377DE65" w:rsidR="00E0794F" w:rsidRPr="00E0794F" w:rsidRDefault="00E0794F" w:rsidP="00E07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Genotype</w:t>
            </w:r>
          </w:p>
        </w:tc>
      </w:tr>
      <w:tr w:rsidR="00E0794F" w:rsidRPr="00D049E1" w14:paraId="3645FB70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C234" w14:textId="4937E4BA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1B22" w14:textId="634B678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C3D0" w14:textId="4DDEE61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E1F2" w14:textId="41C6A59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E385" w14:textId="10F82C43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40A7" w14:textId="310FE16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309E" w14:textId="3537D6E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F118" w14:textId="26AFB1D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63C1EB48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C9BC" w14:textId="65EAFBC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072A" w14:textId="17D3D76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B63E" w14:textId="25D89EFD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3626" w14:textId="0891BB9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3089" w14:textId="10ECA27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E4B8" w14:textId="7085BA8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1E83" w14:textId="571D9D0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88639" w14:textId="02E9210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129DE8F2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1A4D" w14:textId="28773C60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BA16" w14:textId="0CB48AA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CE17" w14:textId="2465117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F1A4" w14:textId="1083350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FDA4" w14:textId="5930944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5272" w14:textId="6C9C0F9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BF65" w14:textId="5166CFF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979AE" w14:textId="4EDA3C0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0F2C6110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527F" w14:textId="77906954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B006" w14:textId="15294D63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A083" w14:textId="18D1F9B1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7C42" w14:textId="1455512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D270" w14:textId="34FA6B4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B9BA" w14:textId="3A57ACE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E067" w14:textId="38CBDB8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9301" w14:textId="363D242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61E81A15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522B" w14:textId="6952C46D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0DAB" w14:textId="55A32BD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2EFD" w14:textId="09FF879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7FE5" w14:textId="7489CE4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41D2" w14:textId="01C069C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CFA8" w14:textId="0E67F3F1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4CFA" w14:textId="16E2CA1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F0B4" w14:textId="49DB9EC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7260E764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78AA" w14:textId="6EF3E8B0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CDD9" w14:textId="171BCDD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F198" w14:textId="35E4B6AD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467C" w14:textId="2A7E948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DCF6" w14:textId="43F5796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A203" w14:textId="32000CE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FBFE" w14:textId="489B0CC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343E" w14:textId="1E7B8E0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797AB252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25D" w14:textId="29BFC27E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C727" w14:textId="40A1777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F3F0" w14:textId="2CD0E10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370B" w14:textId="48B3C6D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A0BF" w14:textId="6123A9F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B40D" w14:textId="1BD404F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2972" w14:textId="66C5DB11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C245" w14:textId="67A2692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02E7D021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EB4C" w14:textId="39886DB6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B805" w14:textId="256E1B3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89EE" w14:textId="109D68E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61E0" w14:textId="5F2915E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B64C" w14:textId="2DEE6A4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7F58" w14:textId="18E2A4B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FEA8" w14:textId="1E6F8B5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228A" w14:textId="6886079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2A9BACBA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33EE" w14:textId="2AAA2E28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FA8F" w14:textId="301980E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FE8E" w14:textId="1226AE7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4B11" w14:textId="019681BA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9338" w14:textId="1C003746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AACD" w14:textId="13B3FDA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640C" w14:textId="45402DF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F793" w14:textId="3DD43E3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64EC279D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2BBF" w14:textId="7E463DD0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FF80" w14:textId="0C28708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A56B" w14:textId="7B131436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E47F" w14:textId="343E18C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A1D2" w14:textId="2E6C28C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CC49" w14:textId="1C9DD51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BB92" w14:textId="340D85C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D2F0" w14:textId="6946D53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2B3EDEF7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977D" w14:textId="648D7E2F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6E01" w14:textId="54B532C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DCCE" w14:textId="4B8C507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8667" w14:textId="7450E98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06C4" w14:textId="402524F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75E1" w14:textId="32A1725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090F" w14:textId="40A718E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79DC" w14:textId="68953171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57BD2772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6EBE" w14:textId="342344EE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2DA9" w14:textId="61C7CF9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A6E7" w14:textId="65B5D14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C516" w14:textId="202E2C8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964F" w14:textId="6392A75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532D" w14:textId="4BFA0396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38.71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D691" w14:textId="2C3B40F3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3DC3" w14:textId="0569BDD9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0E628A52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36CE" w14:textId="06BA4A7A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3004" w14:textId="1389845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BF40" w14:textId="053EEBA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E421" w14:textId="283A89E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6C59" w14:textId="7BA2632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9289" w14:textId="70E762D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6383" w14:textId="3B905FF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9F4F" w14:textId="3916E0F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67ABF30C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1F7D" w14:textId="5661CDCA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E4FD" w14:textId="5E146AF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8B03" w14:textId="151C0911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C869" w14:textId="2FF9A91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2135" w14:textId="07D1FFC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EFE2" w14:textId="61104079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7941" w14:textId="057CBE1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AFBF" w14:textId="0359E70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7FE45D41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0A32" w14:textId="591CF1E5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FD26" w14:textId="20331CD7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849B" w14:textId="0E4E735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F411" w14:textId="4EE7AE99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0E23" w14:textId="1882643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2604" w14:textId="32F557A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1E00" w14:textId="04EA61E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C8D5" w14:textId="1FA003E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452C34D6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8A8F" w14:textId="1C9A5755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8B35" w14:textId="0A89B1EC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4274" w14:textId="1DA2EF3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1995" w14:textId="759FF4F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40DF" w14:textId="3D86A5DF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7963" w14:textId="279780A8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A4A7" w14:textId="0BAF3230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84C4" w14:textId="38FBEA3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6B72EC90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C338" w14:textId="45CE6CE1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0E23" w14:textId="2F67E129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49E7" w14:textId="097043F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000E" w14:textId="4DC9022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EA76" w14:textId="56A64CB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6E61" w14:textId="67615B83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844F" w14:textId="3E1272DA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BB52" w14:textId="221B1F0D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MAB</w:t>
            </w:r>
          </w:p>
        </w:tc>
      </w:tr>
      <w:tr w:rsidR="00E0794F" w:rsidRPr="00D049E1" w14:paraId="05045D5F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3DDC" w14:textId="0D07BADF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E9FA" w14:textId="097AF44B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F97B" w14:textId="425C6392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BF79" w14:textId="4C0B8AC5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78.93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4BFD" w14:textId="7563AF3E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0A3D" w14:textId="121D23B4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C47D" w14:textId="37F9093D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HV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D2D7" w14:textId="3B051E83" w:rsidR="00E0794F" w:rsidRPr="00E0794F" w:rsidRDefault="00E0794F" w:rsidP="00D0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HAB</w:t>
            </w:r>
          </w:p>
        </w:tc>
      </w:tr>
      <w:tr w:rsidR="00E0794F" w:rsidRPr="00D049E1" w14:paraId="1A89007B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4EE5" w14:textId="0DC63023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93FE" w14:textId="0B7CCFE4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20DC" w14:textId="0C9F5B18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56.50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6A7F" w14:textId="5224C159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74.95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440E" w14:textId="79E981CE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B695" w14:textId="56F6B109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68BE" w14:textId="050682DF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092E" w14:textId="0F177FDB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0794F" w:rsidRPr="00D049E1" w14:paraId="74BC0907" w14:textId="77777777" w:rsidTr="00E0794F">
        <w:trPr>
          <w:trHeight w:val="300"/>
        </w:trPr>
        <w:tc>
          <w:tcPr>
            <w:tcW w:w="12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42F33" w14:textId="30D5C412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37A11" w14:textId="21FA9319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E9D0A" w14:textId="3ABC2F94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11.41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B71AF" w14:textId="46336B4D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12.59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51361" w14:textId="7B6593BD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52AAF" w14:textId="29257F24" w:rsidR="00E0794F" w:rsidRPr="00E0794F" w:rsidRDefault="00E0794F" w:rsidP="00E07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34921" w14:textId="5F5BB50B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2A64" w14:textId="367411D4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49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0794F" w:rsidRPr="00D049E1" w14:paraId="2DBCAF8B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0675EB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E6A444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38B41E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62E700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44A777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9707A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0794F" w:rsidRPr="00D049E1" w14:paraId="648BFC5F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01129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  <w:p w14:paraId="09F726B1" w14:textId="77777777" w:rsidR="00E0794F" w:rsidRPr="00D049E1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11B8274C" w14:textId="579F0106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84EE5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(male, female)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7A18C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 Age (years)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D6974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Average weight (Kg) 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348B3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 height (m)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F8C3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Average BMI</w:t>
            </w:r>
          </w:p>
        </w:tc>
      </w:tr>
      <w:tr w:rsidR="00E0794F" w:rsidRPr="00D049E1" w14:paraId="20E1F55A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B6CE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PD-MAB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F086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(4, 1)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2FE7" w14:textId="02FAFBAC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62.40 ± 5.32</w:t>
            </w:r>
          </w:p>
        </w:tc>
        <w:tc>
          <w:tcPr>
            <w:tcW w:w="1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87FD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79.52 ± 14.60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AAEF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 ± 0.09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6B3F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27.60 ± 6.46</w:t>
            </w:r>
          </w:p>
        </w:tc>
      </w:tr>
      <w:tr w:rsidR="00E0794F" w:rsidRPr="00D049E1" w14:paraId="0A90D66B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50A5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PD-HAB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8057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(5, 2)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5E80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63.3 ± 4.55</w:t>
            </w:r>
          </w:p>
        </w:tc>
        <w:tc>
          <w:tcPr>
            <w:tcW w:w="1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269F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68.8 ± 15.43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7E99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 ± 0.07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8F71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22.70 ± 4.33</w:t>
            </w:r>
          </w:p>
        </w:tc>
      </w:tr>
      <w:tr w:rsidR="00E0794F" w:rsidRPr="00D049E1" w14:paraId="1E8FB1EA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7DCA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HV-MAB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B40F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58BA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 ± 12.02</w:t>
            </w:r>
          </w:p>
        </w:tc>
        <w:tc>
          <w:tcPr>
            <w:tcW w:w="1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90AA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82.1 ± 3.85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B355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 ± 0.04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9B2C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26.10 ± 2.26</w:t>
            </w:r>
          </w:p>
        </w:tc>
      </w:tr>
      <w:tr w:rsidR="00E0794F" w:rsidRPr="00D049E1" w14:paraId="138CB005" w14:textId="77777777" w:rsidTr="00E0794F">
        <w:trPr>
          <w:gridAfter w:val="1"/>
          <w:wAfter w:w="11" w:type="dxa"/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92A10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HV-HAB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F694D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(4)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77F5E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± 10.13</w:t>
            </w:r>
          </w:p>
        </w:tc>
        <w:tc>
          <w:tcPr>
            <w:tcW w:w="17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E3588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75.3 ± 8.08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869F7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 ± 0.10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EE1E" w14:textId="77777777" w:rsidR="00E0794F" w:rsidRPr="00E0794F" w:rsidRDefault="00E0794F" w:rsidP="00E07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079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25.92 ± 3.94</w:t>
            </w:r>
          </w:p>
        </w:tc>
      </w:tr>
    </w:tbl>
    <w:p w14:paraId="24A39295" w14:textId="699400CE" w:rsidR="00E621AA" w:rsidRDefault="00E621AA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DEFDAFD" w14:textId="25B11B4A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70B7A2" w14:textId="7D417BD8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38FDEF" w14:textId="2972AC64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4450D6" w14:textId="77777777" w:rsidR="00E0794F" w:rsidRPr="00E621AA" w:rsidRDefault="00E0794F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87038DB" w14:textId="3AA73C51" w:rsidR="00E621AA" w:rsidRDefault="00E621AA" w:rsidP="00E621A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Test-retest repeatability and Importance of Gray</w:t>
      </w:r>
      <w:r w:rsidR="00E0794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Matter (GM) Normalization</w:t>
      </w:r>
    </w:p>
    <w:p w14:paraId="5F42EDA5" w14:textId="129BA10D" w:rsidR="00E621AA" w:rsidRPr="00E621AA" w:rsidRDefault="00E621AA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21AA">
        <w:rPr>
          <w:rFonts w:ascii="Times New Roman" w:hAnsi="Times New Roman" w:cs="Times New Roman"/>
          <w:sz w:val="20"/>
          <w:szCs w:val="20"/>
        </w:rPr>
        <w:t>The V</w:t>
      </w:r>
      <w:r w:rsidRPr="00E621AA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Pr="00E621AA">
        <w:rPr>
          <w:rFonts w:ascii="Times New Roman" w:hAnsi="Times New Roman" w:cs="Times New Roman"/>
          <w:sz w:val="20"/>
          <w:szCs w:val="20"/>
        </w:rPr>
        <w:t xml:space="preserve"> estimates in the retest studies exhibited positive bias (ranging from 20 to 30%) compared to those deduced from the test studies (Figure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621AA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E621AA">
        <w:rPr>
          <w:rFonts w:ascii="Times New Roman" w:hAnsi="Times New Roman" w:cs="Times New Roman"/>
          <w:sz w:val="20"/>
          <w:szCs w:val="20"/>
        </w:rPr>
        <w:t>), where all the differences lie above the zero line (systematic bias). This systematic bias between test and retest V</w:t>
      </w:r>
      <w:r w:rsidRPr="00E621AA">
        <w:rPr>
          <w:rFonts w:ascii="Times New Roman" w:hAnsi="Times New Roman" w:cs="Times New Roman"/>
          <w:sz w:val="20"/>
          <w:szCs w:val="20"/>
          <w:vertAlign w:val="subscript"/>
        </w:rPr>
        <w:t>T</w:t>
      </w:r>
      <w:r w:rsidRPr="00E621AA">
        <w:rPr>
          <w:rFonts w:ascii="Times New Roman" w:hAnsi="Times New Roman" w:cs="Times New Roman"/>
          <w:sz w:val="20"/>
          <w:szCs w:val="20"/>
        </w:rPr>
        <w:t xml:space="preserve"> estimates could potentially be compensated for by normalization with the corresponding values of the GM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621AA">
        <w:rPr>
          <w:rFonts w:ascii="Times New Roman" w:hAnsi="Times New Roman" w:cs="Times New Roman"/>
          <w:sz w:val="20"/>
          <w:szCs w:val="20"/>
        </w:rPr>
        <w:t xml:space="preserve"> resulting in a bias within ±5% for all brain regions (Figure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621AA">
        <w:rPr>
          <w:rFonts w:ascii="Times New Roman" w:hAnsi="Times New Roman" w:cs="Times New Roman"/>
          <w:sz w:val="20"/>
          <w:szCs w:val="20"/>
        </w:rPr>
        <w:t>1B). The LOA also reduced with GM normalization (from ~70% to ~20%).</w:t>
      </w:r>
    </w:p>
    <w:p w14:paraId="3E193BFD" w14:textId="77777777" w:rsidR="00E621AA" w:rsidRDefault="00E621AA" w:rsidP="00E621A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EE384D" wp14:editId="72F2C7DF">
            <wp:extent cx="5696056" cy="2834640"/>
            <wp:effectExtent l="0" t="0" r="0" b="381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1a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056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13DAE" w14:textId="77777777" w:rsidR="00E621AA" w:rsidRDefault="00E621AA" w:rsidP="00E621A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EAB769" wp14:editId="558B2BA8">
            <wp:extent cx="5687505" cy="2834640"/>
            <wp:effectExtent l="0" t="0" r="8890" b="381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1b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505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D60FA" w14:textId="5877616B" w:rsidR="00E621AA" w:rsidRPr="007678E6" w:rsidRDefault="00E621AA" w:rsidP="00E621AA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45FBC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S</w:t>
      </w:r>
      <w:r w:rsidRPr="00945FBC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 Bland-Altman plot comparing the test-retest repeatability of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Vt estimates for 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all </w:t>
      </w:r>
      <w:r>
        <w:rPr>
          <w:rFonts w:ascii="Times New Roman" w:hAnsi="Times New Roman" w:cs="Times New Roman"/>
          <w:i/>
          <w:iCs/>
          <w:sz w:val="20"/>
          <w:szCs w:val="20"/>
        </w:rPr>
        <w:t>selected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 brain regions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of interest: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(A)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 without</w:t>
      </w:r>
      <w:r w:rsidRPr="000E2FB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 xml:space="preserve">GM normalization and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(B) </w:t>
      </w:r>
      <w:r w:rsidRPr="007678E6">
        <w:rPr>
          <w:rFonts w:ascii="Times New Roman" w:hAnsi="Times New Roman" w:cs="Times New Roman"/>
          <w:i/>
          <w:iCs/>
          <w:sz w:val="20"/>
          <w:szCs w:val="20"/>
        </w:rPr>
        <w:t>with GM normalization respectivel</w:t>
      </w:r>
      <w:r>
        <w:rPr>
          <w:rFonts w:ascii="Times New Roman" w:hAnsi="Times New Roman" w:cs="Times New Roman"/>
          <w:i/>
          <w:iCs/>
          <w:sz w:val="20"/>
          <w:szCs w:val="20"/>
        </w:rPr>
        <w:t>y. The solid line is the mean % bias between test and retest V</w:t>
      </w:r>
      <w:r w:rsidRPr="00EA1D29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T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estimate, while the doted and dashed lines represent the %CI and %LOA respectively</w:t>
      </w:r>
    </w:p>
    <w:p w14:paraId="60F290B3" w14:textId="77777777" w:rsidR="00E621AA" w:rsidRPr="00E621AA" w:rsidRDefault="00E621AA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CDA29F" w14:textId="55DDE241" w:rsidR="005F78AB" w:rsidRDefault="005F78AB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C3DC083" w14:textId="77777777" w:rsidR="00E0794F" w:rsidRPr="005F78AB" w:rsidRDefault="00E0794F" w:rsidP="00E621A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D8D29F4" w14:textId="4D1210B7" w:rsidR="00C93661" w:rsidRPr="005F78AB" w:rsidRDefault="00F12C60" w:rsidP="00E621A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78AB">
        <w:rPr>
          <w:rFonts w:ascii="Times New Roman" w:hAnsi="Times New Roman" w:cs="Times New Roman"/>
          <w:b/>
          <w:bCs/>
          <w:sz w:val="20"/>
          <w:szCs w:val="20"/>
        </w:rPr>
        <w:lastRenderedPageBreak/>
        <w:t>Comparison of input func</w:t>
      </w:r>
      <w:bookmarkStart w:id="0" w:name="_GoBack"/>
      <w:bookmarkEnd w:id="0"/>
      <w:r w:rsidRPr="005F78AB">
        <w:rPr>
          <w:rFonts w:ascii="Times New Roman" w:hAnsi="Times New Roman" w:cs="Times New Roman"/>
          <w:b/>
          <w:bCs/>
          <w:sz w:val="20"/>
          <w:szCs w:val="20"/>
        </w:rPr>
        <w:t>tions between HV and PD subjects based on genotype</w:t>
      </w:r>
    </w:p>
    <w:p w14:paraId="15C48235" w14:textId="449F642D" w:rsidR="00F12C60" w:rsidRPr="005F78AB" w:rsidRDefault="00F12C60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D2E033" w14:textId="67600065" w:rsidR="00F12C60" w:rsidRPr="005F78AB" w:rsidRDefault="00062CFA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8A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FC12EF" wp14:editId="57F8C3EF">
            <wp:extent cx="5943600" cy="4283710"/>
            <wp:effectExtent l="0" t="0" r="0" b="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IF-affinity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E7164" w14:textId="719FC904" w:rsidR="00F12C60" w:rsidRPr="005F78AB" w:rsidRDefault="00F12C60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8AB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E621A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5F78A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F78AB">
        <w:rPr>
          <w:rFonts w:ascii="Times New Roman" w:hAnsi="Times New Roman" w:cs="Times New Roman"/>
          <w:sz w:val="20"/>
          <w:szCs w:val="20"/>
        </w:rPr>
        <w:t xml:space="preserve"> Comparison between the PSAIF of healthy volunteers (HV) and Parkinson’s disease (PD) patients based on genotype. Log transformation was applied on the plot</w:t>
      </w:r>
      <w:r w:rsidR="005F78AB" w:rsidRPr="005F78AB">
        <w:rPr>
          <w:rFonts w:ascii="Times New Roman" w:hAnsi="Times New Roman" w:cs="Times New Roman"/>
          <w:sz w:val="20"/>
          <w:szCs w:val="20"/>
        </w:rPr>
        <w:t xml:space="preserve"> A</w:t>
      </w:r>
      <w:r w:rsidRPr="005F78AB">
        <w:rPr>
          <w:rFonts w:ascii="Times New Roman" w:hAnsi="Times New Roman" w:cs="Times New Roman"/>
          <w:sz w:val="20"/>
          <w:szCs w:val="20"/>
        </w:rPr>
        <w:t>, and</w:t>
      </w:r>
      <w:r w:rsidR="005F78AB" w:rsidRPr="005F78AB">
        <w:rPr>
          <w:rFonts w:ascii="Times New Roman" w:hAnsi="Times New Roman" w:cs="Times New Roman"/>
          <w:sz w:val="20"/>
          <w:szCs w:val="20"/>
        </w:rPr>
        <w:t xml:space="preserve"> it shows the average PSAIF for each group.</w:t>
      </w:r>
      <w:r w:rsidRPr="005F78AB">
        <w:rPr>
          <w:rFonts w:ascii="Times New Roman" w:hAnsi="Times New Roman" w:cs="Times New Roman"/>
          <w:sz w:val="20"/>
          <w:szCs w:val="20"/>
        </w:rPr>
        <w:t xml:space="preserve"> </w:t>
      </w:r>
      <w:r w:rsidR="005F78AB" w:rsidRPr="005F78AB">
        <w:rPr>
          <w:rFonts w:ascii="Times New Roman" w:hAnsi="Times New Roman" w:cs="Times New Roman"/>
          <w:sz w:val="20"/>
          <w:szCs w:val="20"/>
        </w:rPr>
        <w:t>Plots B and C show the box plots for the individual subjects in each group. T</w:t>
      </w:r>
      <w:r w:rsidRPr="005F78AB">
        <w:rPr>
          <w:rFonts w:ascii="Times New Roman" w:hAnsi="Times New Roman" w:cs="Times New Roman"/>
          <w:sz w:val="20"/>
          <w:szCs w:val="20"/>
        </w:rPr>
        <w:t xml:space="preserve">he </w:t>
      </w:r>
      <w:r w:rsidR="005F78AB" w:rsidRPr="005F78AB">
        <w:rPr>
          <w:rFonts w:ascii="Times New Roman" w:hAnsi="Times New Roman" w:cs="Times New Roman"/>
          <w:sz w:val="20"/>
          <w:szCs w:val="20"/>
        </w:rPr>
        <w:t>results</w:t>
      </w:r>
      <w:r w:rsidRPr="005F78AB">
        <w:rPr>
          <w:rFonts w:ascii="Times New Roman" w:hAnsi="Times New Roman" w:cs="Times New Roman"/>
          <w:sz w:val="20"/>
          <w:szCs w:val="20"/>
        </w:rPr>
        <w:t xml:space="preserve"> demonstrate</w:t>
      </w:r>
      <w:r w:rsidR="005F78AB" w:rsidRPr="005F78AB">
        <w:rPr>
          <w:rFonts w:ascii="Times New Roman" w:hAnsi="Times New Roman" w:cs="Times New Roman"/>
          <w:sz w:val="20"/>
          <w:szCs w:val="20"/>
        </w:rPr>
        <w:t xml:space="preserve"> </w:t>
      </w:r>
      <w:r w:rsidRPr="005F78AB">
        <w:rPr>
          <w:rFonts w:ascii="Times New Roman" w:hAnsi="Times New Roman" w:cs="Times New Roman"/>
          <w:sz w:val="20"/>
          <w:szCs w:val="20"/>
        </w:rPr>
        <w:t xml:space="preserve">no substantial differences in the peak and the tail of the IFs across the groups. Therefore, all </w:t>
      </w:r>
      <w:r w:rsidR="005F78AB" w:rsidRPr="005F78AB">
        <w:rPr>
          <w:rFonts w:ascii="Times New Roman" w:hAnsi="Times New Roman" w:cs="Times New Roman"/>
          <w:sz w:val="20"/>
          <w:szCs w:val="20"/>
        </w:rPr>
        <w:t>IFs</w:t>
      </w:r>
      <w:r w:rsidRPr="005F78AB">
        <w:rPr>
          <w:rFonts w:ascii="Times New Roman" w:hAnsi="Times New Roman" w:cs="Times New Roman"/>
          <w:sz w:val="20"/>
          <w:szCs w:val="20"/>
        </w:rPr>
        <w:t xml:space="preserve"> were used to estimate the PBIF (shown in black).</w:t>
      </w:r>
    </w:p>
    <w:p w14:paraId="579BDA1C" w14:textId="280F46D2" w:rsidR="00F12C60" w:rsidRDefault="00F12C60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1CA8F9" w14:textId="7F8B4B9E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DE0F3A5" w14:textId="59EFD589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DFC561" w14:textId="03A40790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6C2D350" w14:textId="3B318026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50E14B5" w14:textId="383D5AF7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4D78F46" w14:textId="7CA0263A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E768F2" w14:textId="16B1D8B8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D3C54A" w14:textId="3A44756F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F59FD16" w14:textId="6A4F260F" w:rsidR="00E0794F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973EB08" w14:textId="77777777" w:rsidR="00E0794F" w:rsidRPr="005F78AB" w:rsidRDefault="00E0794F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A704CF" w14:textId="02E4D47F" w:rsidR="00F12C60" w:rsidRPr="005F78AB" w:rsidRDefault="00F12C60" w:rsidP="00E621A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78AB">
        <w:rPr>
          <w:rFonts w:ascii="Times New Roman" w:hAnsi="Times New Roman" w:cs="Times New Roman"/>
          <w:b/>
          <w:bCs/>
          <w:sz w:val="20"/>
          <w:szCs w:val="20"/>
        </w:rPr>
        <w:lastRenderedPageBreak/>
        <w:t>Generation of PBIF and Evaluation of Normalization Technique</w:t>
      </w:r>
    </w:p>
    <w:p w14:paraId="09C3A3A7" w14:textId="3169E36F" w:rsidR="00F07A60" w:rsidRPr="005F78AB" w:rsidRDefault="00F07A60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5081EF" w14:textId="4696E28E" w:rsidR="00F07A60" w:rsidRPr="005F78AB" w:rsidRDefault="00F12C60" w:rsidP="00E621A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8AB">
        <w:rPr>
          <w:rFonts w:ascii="Times New Roman" w:hAnsi="Times New Roman" w:cs="Times New Roman"/>
          <w:sz w:val="20"/>
          <w:szCs w:val="20"/>
        </w:rPr>
        <w:t xml:space="preserve">In order to reduce the influence of subject-induced variation on the generated PBIF, each of the metabolite-corrected PSAIFs was normalized separately by three methods: (a) </w:t>
      </w:r>
      <w:proofErr w:type="spellStart"/>
      <w:r w:rsidRPr="005F78AB">
        <w:rPr>
          <w:rFonts w:ascii="Times New Roman" w:hAnsi="Times New Roman" w:cs="Times New Roman"/>
          <w:sz w:val="20"/>
          <w:szCs w:val="20"/>
        </w:rPr>
        <w:t>Weight</w:t>
      </w:r>
      <w:r w:rsidRPr="005F78AB">
        <w:rPr>
          <w:rFonts w:ascii="Times New Roman" w:hAnsi="Times New Roman" w:cs="Times New Roman"/>
          <w:sz w:val="20"/>
          <w:szCs w:val="20"/>
          <w:vertAlign w:val="subscript"/>
        </w:rPr>
        <w:t>subject</w:t>
      </w:r>
      <w:proofErr w:type="spellEnd"/>
      <m:oMath>
        <m:r>
          <w:rPr>
            <w:rFonts w:ascii="Cambria Math" w:hAnsi="Cambria Math" w:cs="Times New Roman"/>
            <w:sz w:val="20"/>
            <w:szCs w:val="20"/>
            <w:lang w:val="en-GB"/>
          </w:rPr>
          <m:t>×</m:t>
        </m:r>
      </m:oMath>
      <w:r w:rsidRPr="005F78A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78AB">
        <w:rPr>
          <w:rFonts w:ascii="Times New Roman" w:hAnsi="Times New Roman" w:cs="Times New Roman"/>
          <w:sz w:val="20"/>
          <w:szCs w:val="20"/>
        </w:rPr>
        <w:t>Dose</w:t>
      </w:r>
      <w:r w:rsidRPr="005F78AB">
        <w:rPr>
          <w:rFonts w:ascii="Times New Roman" w:hAnsi="Times New Roman" w:cs="Times New Roman"/>
          <w:sz w:val="20"/>
          <w:szCs w:val="20"/>
          <w:vertAlign w:val="subscript"/>
        </w:rPr>
        <w:t>Injected</w:t>
      </w:r>
      <w:proofErr w:type="spellEnd"/>
      <w:r w:rsidRPr="005F78AB">
        <w:rPr>
          <w:rFonts w:ascii="Times New Roman" w:hAnsi="Times New Roman" w:cs="Times New Roman"/>
          <w:sz w:val="20"/>
          <w:szCs w:val="20"/>
        </w:rPr>
        <w:t xml:space="preserve"> (b) the corresponding AUC, and (c) </w:t>
      </w:r>
      <w:proofErr w:type="spellStart"/>
      <w:r w:rsidRPr="005F78AB">
        <w:rPr>
          <w:rFonts w:ascii="Times New Roman" w:hAnsi="Times New Roman" w:cs="Times New Roman"/>
          <w:sz w:val="20"/>
          <w:szCs w:val="20"/>
        </w:rPr>
        <w:t>Weight</w:t>
      </w:r>
      <w:r w:rsidRPr="005F78AB">
        <w:rPr>
          <w:rFonts w:ascii="Times New Roman" w:hAnsi="Times New Roman" w:cs="Times New Roman"/>
          <w:sz w:val="20"/>
          <w:szCs w:val="20"/>
          <w:vertAlign w:val="subscript"/>
        </w:rPr>
        <w:t>subject</w:t>
      </w:r>
      <w:proofErr w:type="spellEnd"/>
      <m:oMath>
        <m:r>
          <w:rPr>
            <w:rFonts w:ascii="Cambria Math" w:hAnsi="Cambria Math" w:cs="Times New Roman"/>
            <w:sz w:val="20"/>
            <w:szCs w:val="20"/>
            <w:lang w:val="en-GB"/>
          </w:rPr>
          <m:t>×</m:t>
        </m:r>
      </m:oMath>
      <w:r w:rsidRPr="005F78AB">
        <w:rPr>
          <w:rFonts w:ascii="Times New Roman" w:hAnsi="Times New Roman" w:cs="Times New Roman"/>
          <w:sz w:val="20"/>
          <w:szCs w:val="20"/>
        </w:rPr>
        <w:t>AUC, yielding three PBIFs for the study</w:t>
      </w:r>
      <w:r w:rsidR="00F07A60" w:rsidRPr="005F78AB">
        <w:rPr>
          <w:rFonts w:ascii="Times New Roman" w:hAnsi="Times New Roman" w:cs="Times New Roman"/>
          <w:sz w:val="20"/>
          <w:szCs w:val="20"/>
        </w:rPr>
        <w:t xml:space="preserve">. Figure </w:t>
      </w:r>
      <w:r w:rsidRPr="005F78AB">
        <w:rPr>
          <w:rFonts w:ascii="Times New Roman" w:hAnsi="Times New Roman" w:cs="Times New Roman"/>
          <w:sz w:val="20"/>
          <w:szCs w:val="20"/>
        </w:rPr>
        <w:t>S</w:t>
      </w:r>
      <w:r w:rsidR="00F07A60" w:rsidRPr="005F78AB">
        <w:rPr>
          <w:rFonts w:ascii="Times New Roman" w:hAnsi="Times New Roman" w:cs="Times New Roman"/>
          <w:sz w:val="20"/>
          <w:szCs w:val="20"/>
        </w:rPr>
        <w:t xml:space="preserve">3 shows the overlaid normalized PSAIFs (Figure </w:t>
      </w:r>
      <w:r w:rsidRPr="005F78AB">
        <w:rPr>
          <w:rFonts w:ascii="Times New Roman" w:hAnsi="Times New Roman" w:cs="Times New Roman"/>
          <w:sz w:val="20"/>
          <w:szCs w:val="20"/>
        </w:rPr>
        <w:t>S</w:t>
      </w:r>
      <w:r w:rsidR="00F07A60" w:rsidRPr="005F78AB">
        <w:rPr>
          <w:rFonts w:ascii="Times New Roman" w:hAnsi="Times New Roman" w:cs="Times New Roman"/>
          <w:sz w:val="20"/>
          <w:szCs w:val="20"/>
        </w:rPr>
        <w:t>3A) and the</w:t>
      </w:r>
      <w:r w:rsidR="00F07A60" w:rsidRPr="005F78A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07A60" w:rsidRPr="005F78AB">
        <w:rPr>
          <w:rFonts w:ascii="Times New Roman" w:hAnsi="Times New Roman" w:cs="Times New Roman"/>
          <w:sz w:val="20"/>
          <w:szCs w:val="20"/>
        </w:rPr>
        <w:t xml:space="preserve">resulting PBIF generated after normalizing each PSAIF by </w:t>
      </w:r>
      <w:proofErr w:type="spellStart"/>
      <w:r w:rsidR="00F07A60" w:rsidRPr="005F78AB">
        <w:rPr>
          <w:rFonts w:ascii="Times New Roman" w:hAnsi="Times New Roman" w:cs="Times New Roman"/>
          <w:sz w:val="20"/>
          <w:szCs w:val="20"/>
        </w:rPr>
        <w:t>Weight</w:t>
      </w:r>
      <w:r w:rsidR="00F07A60" w:rsidRPr="005F78AB">
        <w:rPr>
          <w:rFonts w:ascii="Times New Roman" w:hAnsi="Times New Roman" w:cs="Times New Roman"/>
          <w:sz w:val="20"/>
          <w:szCs w:val="20"/>
          <w:vertAlign w:val="subscript"/>
        </w:rPr>
        <w:t>subject</w:t>
      </w:r>
      <w:proofErr w:type="spellEnd"/>
      <m:oMath>
        <m:r>
          <w:rPr>
            <w:rFonts w:ascii="Cambria Math" w:hAnsi="Cambria Math" w:cs="Times New Roman"/>
            <w:sz w:val="20"/>
            <w:szCs w:val="20"/>
          </w:rPr>
          <m:t>×</m:t>
        </m:r>
      </m:oMath>
      <w:r w:rsidR="00F07A60" w:rsidRPr="005F78AB">
        <w:rPr>
          <w:rFonts w:ascii="Times New Roman" w:hAnsi="Times New Roman" w:cs="Times New Roman"/>
          <w:sz w:val="20"/>
          <w:szCs w:val="20"/>
        </w:rPr>
        <w:t xml:space="preserve">AUC </w:t>
      </w:r>
      <w:r w:rsidR="00F07A60" w:rsidRPr="005F78AB">
        <w:rPr>
          <w:rFonts w:ascii="Times New Roman" w:eastAsia="Times New Roman" w:hAnsi="Times New Roman" w:cs="Times New Roman"/>
          <w:sz w:val="20"/>
          <w:szCs w:val="20"/>
        </w:rPr>
        <w:t xml:space="preserve">(Figure </w:t>
      </w:r>
      <w:r w:rsidRPr="005F78AB">
        <w:rPr>
          <w:rFonts w:ascii="Times New Roman" w:eastAsia="Times New Roman" w:hAnsi="Times New Roman" w:cs="Times New Roman"/>
          <w:sz w:val="20"/>
          <w:szCs w:val="20"/>
        </w:rPr>
        <w:t>S</w:t>
      </w:r>
      <w:r w:rsidR="00F07A60" w:rsidRPr="005F78AB">
        <w:rPr>
          <w:rFonts w:ascii="Times New Roman" w:eastAsia="Times New Roman" w:hAnsi="Times New Roman" w:cs="Times New Roman"/>
          <w:sz w:val="20"/>
          <w:szCs w:val="20"/>
        </w:rPr>
        <w:t>3B)</w:t>
      </w:r>
      <w:r w:rsidR="00F07A60" w:rsidRPr="005F78AB">
        <w:rPr>
          <w:rFonts w:ascii="Times New Roman" w:hAnsi="Times New Roman" w:cs="Times New Roman"/>
          <w:sz w:val="20"/>
          <w:szCs w:val="20"/>
        </w:rPr>
        <w:t>.</w:t>
      </w:r>
    </w:p>
    <w:p w14:paraId="33958438" w14:textId="77777777" w:rsidR="00F07A60" w:rsidRPr="005F78AB" w:rsidRDefault="00F07A60" w:rsidP="00E621AA">
      <w:pPr>
        <w:spacing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F78AB">
        <w:rPr>
          <w:rFonts w:ascii="Times New Roman" w:hAnsi="Times New Roman" w:cs="Times New Roman"/>
          <w:i/>
          <w:iCs/>
          <w:noProof/>
          <w:sz w:val="20"/>
          <w:szCs w:val="20"/>
        </w:rPr>
        <w:drawing>
          <wp:inline distT="0" distB="0" distL="0" distR="0" wp14:anchorId="74938C61" wp14:editId="5B7D4898">
            <wp:extent cx="5212080" cy="1999076"/>
            <wp:effectExtent l="0" t="0" r="7620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e 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199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E1C62" w14:textId="258C8EA4" w:rsidR="00F07A60" w:rsidRPr="005F78AB" w:rsidRDefault="00F07A60" w:rsidP="00E621A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F78A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Figure </w:t>
      </w:r>
      <w:r w:rsidR="00F12C60" w:rsidRPr="005F78AB">
        <w:rPr>
          <w:rFonts w:ascii="Times New Roman" w:hAnsi="Times New Roman" w:cs="Times New Roman"/>
          <w:b/>
          <w:bCs/>
          <w:i/>
          <w:iCs/>
          <w:sz w:val="20"/>
          <w:szCs w:val="20"/>
        </w:rPr>
        <w:t>S</w:t>
      </w:r>
      <w:r w:rsidRPr="005F78AB">
        <w:rPr>
          <w:rFonts w:ascii="Times New Roman" w:hAnsi="Times New Roman" w:cs="Times New Roman"/>
          <w:b/>
          <w:bCs/>
          <w:i/>
          <w:iCs/>
          <w:sz w:val="20"/>
          <w:szCs w:val="20"/>
        </w:rPr>
        <w:t>3</w:t>
      </w:r>
      <w:r w:rsidRPr="005F78AB">
        <w:rPr>
          <w:rFonts w:ascii="Times New Roman" w:hAnsi="Times New Roman" w:cs="Times New Roman"/>
          <w:i/>
          <w:iCs/>
          <w:sz w:val="20"/>
          <w:szCs w:val="20"/>
        </w:rPr>
        <w:t xml:space="preserve"> Overlaid normalized PSAIFs from all 18 patients (A) and the resulting PBIF generated by normalization with </w:t>
      </w:r>
      <w:proofErr w:type="spellStart"/>
      <w:r w:rsidRPr="005F78AB">
        <w:rPr>
          <w:rFonts w:ascii="Times New Roman" w:hAnsi="Times New Roman" w:cs="Times New Roman"/>
          <w:sz w:val="20"/>
          <w:szCs w:val="20"/>
        </w:rPr>
        <w:t>Weight</w:t>
      </w:r>
      <w:r w:rsidRPr="005F78AB">
        <w:rPr>
          <w:rFonts w:ascii="Times New Roman" w:hAnsi="Times New Roman" w:cs="Times New Roman"/>
          <w:sz w:val="20"/>
          <w:szCs w:val="20"/>
          <w:vertAlign w:val="subscript"/>
        </w:rPr>
        <w:t>subject</w:t>
      </w:r>
      <w:proofErr w:type="spellEnd"/>
      <m:oMath>
        <m:r>
          <w:rPr>
            <w:rFonts w:ascii="Cambria Math" w:hAnsi="Cambria Math" w:cs="Times New Roman"/>
            <w:sz w:val="20"/>
            <w:szCs w:val="20"/>
          </w:rPr>
          <m:t>×</m:t>
        </m:r>
      </m:oMath>
      <w:r w:rsidRPr="005F78AB">
        <w:rPr>
          <w:rFonts w:ascii="Times New Roman" w:hAnsi="Times New Roman" w:cs="Times New Roman"/>
          <w:sz w:val="20"/>
          <w:szCs w:val="20"/>
        </w:rPr>
        <w:t>AUC</w:t>
      </w:r>
      <w:r w:rsidRPr="005F78AB">
        <w:rPr>
          <w:rFonts w:ascii="Times New Roman" w:hAnsi="Times New Roman" w:cs="Times New Roman"/>
          <w:i/>
          <w:iCs/>
          <w:sz w:val="20"/>
          <w:szCs w:val="20"/>
        </w:rPr>
        <w:t xml:space="preserve"> (B). The zoomed PBIF over the first 5 minutes is also shown. In (b), the </w:t>
      </w:r>
      <w:r w:rsidRPr="005F78AB">
        <w:rPr>
          <w:rFonts w:ascii="Times New Roman" w:hAnsi="Times New Roman" w:cs="Times New Roman"/>
          <w:i/>
          <w:iCs/>
          <w:color w:val="4472C4" w:themeColor="accent1"/>
          <w:sz w:val="20"/>
          <w:szCs w:val="20"/>
        </w:rPr>
        <w:t>blue</w:t>
      </w:r>
      <w:r w:rsidRPr="005F78AB">
        <w:rPr>
          <w:rFonts w:ascii="Times New Roman" w:hAnsi="Times New Roman" w:cs="Times New Roman"/>
          <w:i/>
          <w:iCs/>
          <w:sz w:val="20"/>
          <w:szCs w:val="20"/>
        </w:rPr>
        <w:t xml:space="preserve"> points are the mean PBIF while the </w:t>
      </w:r>
      <w:r w:rsidRPr="005F78AB">
        <w:rPr>
          <w:rFonts w:ascii="Times New Roman" w:hAnsi="Times New Roman" w:cs="Times New Roman"/>
          <w:i/>
          <w:iCs/>
          <w:color w:val="FF0000"/>
          <w:sz w:val="20"/>
          <w:szCs w:val="20"/>
        </w:rPr>
        <w:t>red</w:t>
      </w:r>
      <w:r w:rsidRPr="005F78AB">
        <w:rPr>
          <w:rFonts w:ascii="Times New Roman" w:hAnsi="Times New Roman" w:cs="Times New Roman"/>
          <w:i/>
          <w:iCs/>
          <w:sz w:val="20"/>
          <w:szCs w:val="20"/>
        </w:rPr>
        <w:t xml:space="preserve"> points are the standard error of the mean (SEM)</w:t>
      </w:r>
    </w:p>
    <w:p w14:paraId="4646E1C8" w14:textId="77777777" w:rsidR="00F07A60" w:rsidRPr="005F78AB" w:rsidRDefault="00F07A60" w:rsidP="00E621AA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F07A60" w:rsidRPr="005F78A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49158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16B72D" w14:textId="77777777" w:rsidR="00FF6DA0" w:rsidRDefault="008A17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7E2FD0" w14:textId="77777777" w:rsidR="002E39DA" w:rsidRDefault="008A176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E174A"/>
    <w:multiLevelType w:val="hybridMultilevel"/>
    <w:tmpl w:val="6A26C4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661"/>
    <w:rsid w:val="00062CFA"/>
    <w:rsid w:val="00554136"/>
    <w:rsid w:val="005F78AB"/>
    <w:rsid w:val="008A176A"/>
    <w:rsid w:val="00C93661"/>
    <w:rsid w:val="00D049E1"/>
    <w:rsid w:val="00E0794F"/>
    <w:rsid w:val="00E621AA"/>
    <w:rsid w:val="00F07A60"/>
    <w:rsid w:val="00F12C60"/>
    <w:rsid w:val="00F8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67B87"/>
  <w15:chartTrackingRefBased/>
  <w15:docId w15:val="{F811000A-75F4-49F5-95C8-C61411B4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F12C6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621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56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Mercy Akerele</dc:creator>
  <cp:keywords/>
  <dc:description/>
  <cp:lastModifiedBy>Mercy Akerele</cp:lastModifiedBy>
  <cp:revision>3</cp:revision>
  <dcterms:created xsi:type="dcterms:W3CDTF">2021-01-14T15:38:00Z</dcterms:created>
  <dcterms:modified xsi:type="dcterms:W3CDTF">2021-01-15T17:28:00Z</dcterms:modified>
</cp:coreProperties>
</file>