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146A" w14:textId="77777777" w:rsidR="00C01BBF" w:rsidRDefault="00C01BBF" w:rsidP="00C01BBF">
      <w:pPr>
        <w:pStyle w:val="Title"/>
        <w:ind w:firstLine="0"/>
        <w:jc w:val="left"/>
        <w:rPr>
          <w:rFonts w:asciiTheme="majorBidi" w:hAnsiTheme="majorBidi" w:cstheme="majorBidi"/>
          <w:b w:val="0"/>
          <w:bCs w:val="0"/>
          <w:sz w:val="22"/>
          <w:szCs w:val="22"/>
          <w:lang w:bidi="fa-IR"/>
        </w:rPr>
      </w:pPr>
      <w:r>
        <w:rPr>
          <w:rFonts w:asciiTheme="majorBidi" w:hAnsiTheme="majorBidi" w:cstheme="majorBidi"/>
          <w:b w:val="0"/>
          <w:bCs w:val="0"/>
          <w:sz w:val="22"/>
          <w:szCs w:val="22"/>
          <w:lang w:bidi="fa-IR"/>
        </w:rPr>
        <w:t>Article title:</w:t>
      </w:r>
    </w:p>
    <w:p w14:paraId="2E85F881" w14:textId="272E4CF1" w:rsidR="00625578" w:rsidRPr="00625578" w:rsidRDefault="001B30B5" w:rsidP="00625578">
      <w:pPr>
        <w:bidi w:val="0"/>
        <w:spacing w:after="240"/>
        <w:jc w:val="center"/>
        <w:rPr>
          <w:b/>
          <w:bCs/>
          <w:sz w:val="28"/>
          <w:szCs w:val="36"/>
        </w:rPr>
      </w:pPr>
      <w:r w:rsidRPr="001B30B5">
        <w:rPr>
          <w:b/>
          <w:bCs/>
          <w:sz w:val="28"/>
          <w:szCs w:val="36"/>
        </w:rPr>
        <w:t xml:space="preserve">Variation in number and position of rDNA loci is one of the driving forces in the diversification and speciation in </w:t>
      </w:r>
      <w:r w:rsidRPr="001B30B5">
        <w:rPr>
          <w:b/>
          <w:bCs/>
          <w:i/>
          <w:iCs/>
          <w:sz w:val="28"/>
          <w:szCs w:val="36"/>
        </w:rPr>
        <w:t>Nigella</w:t>
      </w:r>
      <w:r w:rsidRPr="001B30B5">
        <w:rPr>
          <w:b/>
          <w:bCs/>
          <w:sz w:val="28"/>
          <w:szCs w:val="36"/>
        </w:rPr>
        <w:t xml:space="preserve"> (Ranunculaceae)</w:t>
      </w:r>
    </w:p>
    <w:p w14:paraId="37510EF8" w14:textId="030E857E" w:rsidR="00625578" w:rsidRPr="00FE363B" w:rsidRDefault="00625578" w:rsidP="00625578">
      <w:pPr>
        <w:bidi w:val="0"/>
        <w:jc w:val="center"/>
      </w:pPr>
      <w:r w:rsidRPr="00FE363B">
        <w:t>Fatemeh Orooji</w:t>
      </w:r>
      <w:r w:rsidRPr="00FE363B">
        <w:rPr>
          <w:vertAlign w:val="superscript"/>
        </w:rPr>
        <w:t>1</w:t>
      </w:r>
      <w:r w:rsidRPr="00FE363B">
        <w:t xml:space="preserve">, </w:t>
      </w:r>
      <w:r w:rsidR="00752115" w:rsidRPr="00FE363B">
        <w:t>Ghader Mirzaghaderi</w:t>
      </w:r>
      <w:r w:rsidR="00752115" w:rsidRPr="00FE363B">
        <w:rPr>
          <w:vertAlign w:val="superscript"/>
        </w:rPr>
        <w:t>1*</w:t>
      </w:r>
      <w:r w:rsidR="00752115">
        <w:rPr>
          <w:bCs/>
        </w:rPr>
        <w:t xml:space="preserve">, </w:t>
      </w:r>
      <w:r w:rsidRPr="00FE363B">
        <w:rPr>
          <w:bCs/>
        </w:rPr>
        <w:t>Yi-Tzu Kuo</w:t>
      </w:r>
      <w:r w:rsidRPr="00FE363B">
        <w:rPr>
          <w:vertAlign w:val="superscript"/>
        </w:rPr>
        <w:t>2</w:t>
      </w:r>
      <w:r>
        <w:t>, J</w:t>
      </w:r>
      <w:r w:rsidRPr="000E0D19">
        <w:t>örg Fuchs</w:t>
      </w:r>
      <w:r w:rsidRPr="00FE363B">
        <w:rPr>
          <w:vertAlign w:val="superscript"/>
        </w:rPr>
        <w:t>2</w:t>
      </w:r>
      <w:r>
        <w:t xml:space="preserve"> </w:t>
      </w:r>
      <w:r w:rsidRPr="00FE363B">
        <w:br/>
      </w:r>
    </w:p>
    <w:p w14:paraId="3BB80BB2" w14:textId="4CE9B762" w:rsidR="00625578" w:rsidRPr="00FE363B" w:rsidRDefault="00625578" w:rsidP="00625578">
      <w:pPr>
        <w:bidi w:val="0"/>
      </w:pPr>
      <w:r w:rsidRPr="00FE363B">
        <w:rPr>
          <w:vertAlign w:val="superscript"/>
        </w:rPr>
        <w:t>1</w:t>
      </w:r>
      <w:r w:rsidRPr="00FE363B">
        <w:t xml:space="preserve"> Department of Agronomy and Plant Breeding, Faculty of Agriculture, University of Kurdistan, P</w:t>
      </w:r>
      <w:r>
        <w:t>ostal code</w:t>
      </w:r>
      <w:r w:rsidRPr="00FE363B">
        <w:t xml:space="preserve"> 66177–15175, Sanandaj, Iran</w:t>
      </w:r>
    </w:p>
    <w:p w14:paraId="1EA59012" w14:textId="77777777" w:rsidR="00625578" w:rsidRPr="00D76123" w:rsidRDefault="00625578" w:rsidP="00625578">
      <w:pPr>
        <w:bidi w:val="0"/>
      </w:pPr>
      <w:r w:rsidRPr="00D76123">
        <w:rPr>
          <w:vertAlign w:val="superscript"/>
        </w:rPr>
        <w:t>2</w:t>
      </w:r>
      <w:r w:rsidRPr="00D76123">
        <w:t xml:space="preserve"> Leibniz Institute of Plant Genetics and Crop</w:t>
      </w:r>
      <w:r>
        <w:t xml:space="preserve"> Plant Research</w:t>
      </w:r>
      <w:r w:rsidRPr="00D76123">
        <w:t xml:space="preserve"> (IPK)</w:t>
      </w:r>
      <w:r>
        <w:t>,</w:t>
      </w:r>
      <w:r w:rsidRPr="00D76123">
        <w:t xml:space="preserve"> </w:t>
      </w:r>
      <w:r w:rsidRPr="00AA066F">
        <w:t>06466</w:t>
      </w:r>
      <w:r>
        <w:t xml:space="preserve"> </w:t>
      </w:r>
      <w:r w:rsidRPr="00D76123">
        <w:t>Gatersleben, Stadt Seeland, Germany</w:t>
      </w:r>
    </w:p>
    <w:p w14:paraId="721760A4" w14:textId="7661EEBD" w:rsidR="00597728" w:rsidRDefault="00625578" w:rsidP="00625578">
      <w:pPr>
        <w:bidi w:val="0"/>
        <w:rPr>
          <w:lang w:bidi="fa-IR"/>
        </w:rPr>
      </w:pPr>
      <w:r w:rsidRPr="00FE363B">
        <w:rPr>
          <w:vertAlign w:val="superscript"/>
        </w:rPr>
        <w:t>*</w:t>
      </w:r>
      <w:r w:rsidRPr="00FE363B">
        <w:t xml:space="preserve"> Corresponding author (Email: gh.mirzaghaderi@uok.ac.ir)</w:t>
      </w:r>
    </w:p>
    <w:p w14:paraId="05E358E3" w14:textId="7704FB83" w:rsidR="00C01BBF" w:rsidRDefault="00C01BBF" w:rsidP="00C01BBF">
      <w:pPr>
        <w:bidi w:val="0"/>
        <w:rPr>
          <w:lang w:bidi="fa-IR"/>
        </w:rPr>
      </w:pPr>
    </w:p>
    <w:p w14:paraId="46D00B05" w14:textId="277B7334" w:rsidR="006E0CD8" w:rsidRDefault="006E0CD8" w:rsidP="006E0CD8">
      <w:pPr>
        <w:bidi w:val="0"/>
        <w:rPr>
          <w:lang w:bidi="fa-IR"/>
        </w:rPr>
      </w:pPr>
    </w:p>
    <w:p w14:paraId="73E06EE0" w14:textId="43D67357" w:rsidR="006E0CD8" w:rsidRPr="0068325C" w:rsidRDefault="0068325C" w:rsidP="006E0CD8">
      <w:pPr>
        <w:bidi w:val="0"/>
        <w:rPr>
          <w:b/>
          <w:bCs/>
          <w:sz w:val="22"/>
          <w:szCs w:val="28"/>
          <w:lang w:bidi="fa-IR"/>
        </w:rPr>
      </w:pPr>
      <w:r w:rsidRPr="0068325C">
        <w:rPr>
          <w:b/>
          <w:bCs/>
          <w:sz w:val="22"/>
          <w:szCs w:val="28"/>
          <w:lang w:bidi="fa-IR"/>
        </w:rPr>
        <w:t>Supplementary figures</w:t>
      </w:r>
    </w:p>
    <w:p w14:paraId="278CE577" w14:textId="029BB1EF" w:rsidR="006E0CD8" w:rsidRDefault="006E0CD8" w:rsidP="006E0CD8">
      <w:pPr>
        <w:bidi w:val="0"/>
        <w:rPr>
          <w:lang w:bidi="fa-IR"/>
        </w:rPr>
      </w:pPr>
      <w:r>
        <w:rPr>
          <w:noProof/>
          <w:lang w:bidi="fa-IR"/>
        </w:rPr>
        <w:drawing>
          <wp:inline distT="0" distB="0" distL="0" distR="0" wp14:anchorId="54F1714E" wp14:editId="2A07A6EE">
            <wp:extent cx="5943600" cy="36525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25557" w14:textId="77777777" w:rsidR="006E0CD8" w:rsidRDefault="006E0CD8" w:rsidP="006E0CD8">
      <w:pPr>
        <w:autoSpaceDE w:val="0"/>
        <w:autoSpaceDN w:val="0"/>
        <w:bidi w:val="0"/>
        <w:adjustRightInd w:val="0"/>
        <w:spacing w:after="0" w:line="240" w:lineRule="auto"/>
        <w:rPr>
          <w:rFonts w:ascii="TimesNewRomanPSMT" w:hAnsi="TimesNewRomanPSMT" w:cs="TimesNewRomanPSMT"/>
          <w:color w:val="373435"/>
          <w:szCs w:val="20"/>
          <w:lang w:bidi="fa-IR"/>
        </w:rPr>
      </w:pPr>
      <w:r>
        <w:rPr>
          <w:rFonts w:ascii="TimesNewRomanPS-BoldMT" w:hAnsi="TimesNewRomanPS-BoldMT" w:cs="TimesNewRomanPS-BoldMT"/>
          <w:b/>
          <w:bCs/>
          <w:color w:val="373435"/>
          <w:szCs w:val="20"/>
          <w:lang w:bidi="fa-IR"/>
        </w:rPr>
        <w:t xml:space="preserve">Figure S1. </w:t>
      </w:r>
      <w:r>
        <w:rPr>
          <w:rFonts w:ascii="TimesNewRomanPSMT" w:hAnsi="TimesNewRomanPSMT" w:cs="TimesNewRomanPSMT"/>
          <w:color w:val="373435"/>
          <w:szCs w:val="20"/>
          <w:lang w:bidi="fa-IR"/>
        </w:rPr>
        <w:t>Worldwide distribution of Nigella species</w:t>
      </w:r>
    </w:p>
    <w:p w14:paraId="48F0A4E6" w14:textId="77777777" w:rsidR="006E0CD8" w:rsidRDefault="006E0CD8" w:rsidP="006E0CD8">
      <w:pPr>
        <w:autoSpaceDE w:val="0"/>
        <w:autoSpaceDN w:val="0"/>
        <w:bidi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373435"/>
          <w:szCs w:val="20"/>
          <w:lang w:bidi="fa-IR"/>
        </w:rPr>
      </w:pPr>
      <w:r>
        <w:rPr>
          <w:rFonts w:ascii="TimesNewRomanPS-BoldMT" w:hAnsi="TimesNewRomanPS-BoldMT" w:cs="TimesNewRomanPS-BoldMT"/>
          <w:b/>
          <w:bCs/>
          <w:color w:val="373435"/>
          <w:szCs w:val="20"/>
          <w:lang w:bidi="fa-IR"/>
        </w:rPr>
        <w:t>References</w:t>
      </w:r>
    </w:p>
    <w:p w14:paraId="52F2F188" w14:textId="77777777" w:rsidR="006E0CD8" w:rsidRDefault="006E0CD8" w:rsidP="006E0CD8">
      <w:pPr>
        <w:autoSpaceDE w:val="0"/>
        <w:autoSpaceDN w:val="0"/>
        <w:bidi w:val="0"/>
        <w:adjustRightInd w:val="0"/>
        <w:spacing w:after="0" w:line="240" w:lineRule="auto"/>
        <w:rPr>
          <w:rFonts w:ascii="TimesNewRomanPSMT" w:hAnsi="TimesNewRomanPSMT" w:cs="TimesNewRomanPSMT"/>
          <w:color w:val="373435"/>
          <w:szCs w:val="20"/>
          <w:lang w:bidi="fa-IR"/>
        </w:rPr>
      </w:pPr>
      <w:r>
        <w:rPr>
          <w:rFonts w:ascii="TimesNewRomanPSMT" w:hAnsi="TimesNewRomanPSMT" w:cs="TimesNewRomanPSMT"/>
          <w:color w:val="373435"/>
          <w:szCs w:val="20"/>
          <w:lang w:bidi="fa-IR"/>
        </w:rPr>
        <w:t>Raab-Straube, E. von, Hand, R., Hörandl, E. and Nardi, E. (2014) Ranunculaceae. – In: Euro+Med Plantbase.</w:t>
      </w:r>
    </w:p>
    <w:p w14:paraId="4D28D069" w14:textId="77777777" w:rsidR="006E0CD8" w:rsidRDefault="006E0CD8" w:rsidP="006E0CD8">
      <w:pPr>
        <w:autoSpaceDE w:val="0"/>
        <w:autoSpaceDN w:val="0"/>
        <w:bidi w:val="0"/>
        <w:adjustRightInd w:val="0"/>
        <w:spacing w:after="0" w:line="240" w:lineRule="auto"/>
        <w:rPr>
          <w:rFonts w:ascii="TimesNewRomanPSMT" w:hAnsi="TimesNewRomanPSMT" w:cs="TimesNewRomanPSMT"/>
          <w:color w:val="373435"/>
          <w:szCs w:val="20"/>
          <w:lang w:bidi="fa-IR"/>
        </w:rPr>
      </w:pPr>
      <w:r>
        <w:rPr>
          <w:rFonts w:ascii="TimesNewRomanPSMT" w:hAnsi="TimesNewRomanPSMT" w:cs="TimesNewRomanPSMT"/>
          <w:color w:val="373435"/>
          <w:szCs w:val="20"/>
          <w:lang w:bidi="fa-IR"/>
        </w:rPr>
        <w:t xml:space="preserve">Zohary, M. (1983) The genus </w:t>
      </w:r>
      <w:r>
        <w:rPr>
          <w:rFonts w:ascii="TimesNewRomanPS-ItalicMT" w:hAnsi="TimesNewRomanPS-ItalicMT" w:cs="TimesNewRomanPS-ItalicMT"/>
          <w:i/>
          <w:iCs/>
          <w:color w:val="373435"/>
          <w:szCs w:val="20"/>
          <w:lang w:bidi="fa-IR"/>
        </w:rPr>
        <w:t xml:space="preserve">Nigella </w:t>
      </w:r>
      <w:r>
        <w:rPr>
          <w:rFonts w:ascii="TimesNewRomanPSMT" w:hAnsi="TimesNewRomanPSMT" w:cs="TimesNewRomanPSMT"/>
          <w:color w:val="373435"/>
          <w:szCs w:val="20"/>
          <w:lang w:bidi="fa-IR"/>
        </w:rPr>
        <w:t>(Ranunculaceae) — a taxonomic revision. Pl Syst Evol 142, 71–105.</w:t>
      </w:r>
    </w:p>
    <w:p w14:paraId="31D03C77" w14:textId="77777777" w:rsidR="006E0CD8" w:rsidRDefault="006E0CD8" w:rsidP="006E0CD8">
      <w:pPr>
        <w:autoSpaceDE w:val="0"/>
        <w:autoSpaceDN w:val="0"/>
        <w:bidi w:val="0"/>
        <w:adjustRightInd w:val="0"/>
        <w:spacing w:after="0" w:line="240" w:lineRule="auto"/>
        <w:rPr>
          <w:rFonts w:ascii="TimesNewRomanPSMT" w:hAnsi="TimesNewRomanPSMT" w:cs="TimesNewRomanPSMT"/>
          <w:color w:val="373435"/>
          <w:szCs w:val="20"/>
          <w:lang w:bidi="fa-IR"/>
        </w:rPr>
      </w:pPr>
      <w:r>
        <w:rPr>
          <w:rFonts w:ascii="TimesNewRomanPSMT" w:hAnsi="TimesNewRomanPSMT" w:cs="TimesNewRomanPSMT"/>
          <w:color w:val="373435"/>
          <w:szCs w:val="20"/>
          <w:lang w:bidi="fa-IR"/>
        </w:rPr>
        <w:t>Zohary, M. (1966) Flora Palaestina1, 190–195. — Jerusalem: Israel Acad. Sciences and Humanities.</w:t>
      </w:r>
    </w:p>
    <w:p w14:paraId="2A05DD84" w14:textId="45FF692F" w:rsidR="006E0CD8" w:rsidRDefault="006E0CD8" w:rsidP="006E0CD8">
      <w:pPr>
        <w:bidi w:val="0"/>
        <w:rPr>
          <w:lang w:bidi="fa-IR"/>
        </w:rPr>
      </w:pPr>
      <w:r>
        <w:rPr>
          <w:rFonts w:ascii="TimesNewRomanPSMT" w:hAnsi="TimesNewRomanPSMT" w:cs="TimesNewRomanPSMT"/>
          <w:color w:val="373435"/>
          <w:szCs w:val="20"/>
          <w:lang w:bidi="fa-IR"/>
        </w:rPr>
        <w:t xml:space="preserve">Tutin, T. G. (1964) </w:t>
      </w:r>
      <w:r>
        <w:rPr>
          <w:rFonts w:ascii="TimesNewRomanPS-ItalicMT" w:hAnsi="TimesNewRomanPS-ItalicMT" w:cs="TimesNewRomanPS-ItalicMT"/>
          <w:i/>
          <w:iCs/>
          <w:color w:val="373435"/>
          <w:szCs w:val="20"/>
          <w:lang w:bidi="fa-IR"/>
        </w:rPr>
        <w:t>Nigella</w:t>
      </w:r>
      <w:r>
        <w:rPr>
          <w:rFonts w:ascii="TimesNewRomanPSMT" w:hAnsi="TimesNewRomanPSMT" w:cs="TimesNewRomanPSMT"/>
          <w:color w:val="373435"/>
          <w:szCs w:val="20"/>
          <w:lang w:bidi="fa-IR"/>
        </w:rPr>
        <w:t>. — In Tutin, T. G., &amp; al. (Eds.): Flora Europaea1, 209–210. — Cambridge: Univ. Press.</w:t>
      </w:r>
    </w:p>
    <w:p w14:paraId="7272FB00" w14:textId="5EDF68D8" w:rsidR="006E0CD8" w:rsidRDefault="006E0CD8" w:rsidP="006E0CD8">
      <w:pPr>
        <w:bidi w:val="0"/>
        <w:rPr>
          <w:lang w:bidi="fa-IR"/>
        </w:rPr>
      </w:pPr>
    </w:p>
    <w:p w14:paraId="38794C2E" w14:textId="77777777" w:rsidR="00C3783F" w:rsidRPr="00FE363B" w:rsidRDefault="00C3783F" w:rsidP="00C3783F">
      <w:r w:rsidRPr="00FE363B">
        <w:rPr>
          <w:noProof/>
        </w:rPr>
        <w:lastRenderedPageBreak/>
        <w:drawing>
          <wp:inline distT="0" distB="0" distL="0" distR="0" wp14:anchorId="75624158" wp14:editId="5571BEA2">
            <wp:extent cx="5943600" cy="16592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C4A11" w14:textId="392AB740" w:rsidR="00C3783F" w:rsidRPr="00FE363B" w:rsidRDefault="00C3783F" w:rsidP="00C3783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</w:rPr>
      </w:pPr>
      <w:bookmarkStart w:id="0" w:name="_Ref44518779"/>
      <w:r w:rsidRPr="0068325C">
        <w:rPr>
          <w:b/>
          <w:bCs/>
        </w:rPr>
        <w:t>Figure S</w:t>
      </w:r>
      <w:r w:rsidR="006F4638">
        <w:rPr>
          <w:b/>
          <w:bCs/>
        </w:rPr>
        <w:t>2</w:t>
      </w:r>
      <w:r w:rsidRPr="0068325C">
        <w:rPr>
          <w:b/>
          <w:bCs/>
        </w:rPr>
        <w:t>.</w:t>
      </w:r>
      <w:r>
        <w:t xml:space="preserve"> </w:t>
      </w:r>
      <w:r w:rsidRPr="00FE363B">
        <w:t>Alignment of the 178 bp</w:t>
      </w:r>
      <w:r w:rsidRPr="00FE363B">
        <w:rPr>
          <w:lang w:eastAsia="zh-TW"/>
        </w:rPr>
        <w:t>,</w:t>
      </w:r>
      <w:r w:rsidRPr="00FE363B">
        <w:rPr>
          <w:rFonts w:hint="eastAsia"/>
          <w:lang w:eastAsia="zh-TW"/>
        </w:rPr>
        <w:t xml:space="preserve"> </w:t>
      </w:r>
      <w:r w:rsidRPr="00FE363B">
        <w:t>AT-rich (68% for Ns-Sat1) centromeric repeat monomers in</w:t>
      </w:r>
      <w:r w:rsidRPr="00FE363B">
        <w:rPr>
          <w:iCs/>
        </w:rPr>
        <w:t xml:space="preserve"> </w:t>
      </w:r>
      <w:r w:rsidRPr="00FE363B">
        <w:rPr>
          <w:i/>
        </w:rPr>
        <w:t>N. sativa</w:t>
      </w:r>
      <w:r w:rsidRPr="00FE363B">
        <w:rPr>
          <w:iCs/>
        </w:rPr>
        <w:t xml:space="preserve"> </w:t>
      </w:r>
      <w:r w:rsidRPr="00FE363B">
        <w:t>(Ns-Sat1 and Ns-Sat2)</w:t>
      </w:r>
      <w:r>
        <w:t xml:space="preserve"> and</w:t>
      </w:r>
      <w:r w:rsidRPr="00FE363B">
        <w:rPr>
          <w:iCs/>
        </w:rPr>
        <w:t xml:space="preserve"> </w:t>
      </w:r>
      <w:r w:rsidRPr="00FE363B">
        <w:rPr>
          <w:i/>
        </w:rPr>
        <w:t>N. damascena</w:t>
      </w:r>
      <w:r w:rsidRPr="00FE363B">
        <w:rPr>
          <w:iCs/>
        </w:rPr>
        <w:t xml:space="preserve"> </w:t>
      </w:r>
      <w:r w:rsidRPr="00FE363B">
        <w:t>(Nd-Sat1).</w:t>
      </w:r>
      <w:bookmarkEnd w:id="0"/>
    </w:p>
    <w:p w14:paraId="3BC610A5" w14:textId="07AB3BD3" w:rsidR="00C3783F" w:rsidRDefault="00C3783F" w:rsidP="00C3783F">
      <w:pPr>
        <w:bidi w:val="0"/>
        <w:rPr>
          <w:lang w:bidi="fa-IR"/>
        </w:rPr>
      </w:pPr>
    </w:p>
    <w:p w14:paraId="2206C462" w14:textId="77777777" w:rsidR="00D47F1C" w:rsidRDefault="00D47F1C" w:rsidP="00D47F1C">
      <w:pPr>
        <w:bidi w:val="0"/>
        <w:rPr>
          <w:lang w:bidi="fa-IR"/>
        </w:rPr>
      </w:pPr>
    </w:p>
    <w:p w14:paraId="4F22C181" w14:textId="77777777" w:rsidR="00C3783F" w:rsidRDefault="00C3783F" w:rsidP="00C3783F">
      <w:pPr>
        <w:bidi w:val="0"/>
        <w:rPr>
          <w:lang w:bidi="fa-IR"/>
        </w:rPr>
      </w:pPr>
    </w:p>
    <w:p w14:paraId="5F52C76F" w14:textId="778CD682" w:rsidR="006E0CD8" w:rsidRDefault="006E0CD8" w:rsidP="006E0CD8">
      <w:pPr>
        <w:bidi w:val="0"/>
        <w:rPr>
          <w:lang w:bidi="fa-IR"/>
        </w:rPr>
      </w:pPr>
      <w:r>
        <w:rPr>
          <w:noProof/>
          <w:lang w:bidi="fa-IR"/>
        </w:rPr>
        <w:drawing>
          <wp:inline distT="0" distB="0" distL="0" distR="0" wp14:anchorId="42BB8C33" wp14:editId="489E2F63">
            <wp:extent cx="5943600" cy="1837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287E" w14:textId="39E753F2" w:rsidR="006E0CD8" w:rsidRPr="0068325C" w:rsidRDefault="0068325C" w:rsidP="0068325C">
      <w:pPr>
        <w:autoSpaceDE w:val="0"/>
        <w:autoSpaceDN w:val="0"/>
        <w:bidi w:val="0"/>
        <w:adjustRightInd w:val="0"/>
        <w:spacing w:after="0" w:line="240" w:lineRule="auto"/>
        <w:rPr>
          <w:lang w:bidi="fa-IR"/>
        </w:rPr>
      </w:pPr>
      <w:r w:rsidRPr="0068325C">
        <w:rPr>
          <w:b/>
          <w:bCs/>
        </w:rPr>
        <w:t>Figure S</w:t>
      </w:r>
      <w:r w:rsidR="006F4638">
        <w:rPr>
          <w:b/>
          <w:bCs/>
        </w:rPr>
        <w:t>3</w:t>
      </w:r>
      <w:r w:rsidRPr="0068325C">
        <w:rPr>
          <w:b/>
          <w:bCs/>
        </w:rPr>
        <w:t>.</w:t>
      </w:r>
      <w:r>
        <w:t xml:space="preserve"> </w:t>
      </w:r>
      <w:r w:rsidRPr="0068325C">
        <w:t>Flower and seed morphology and rDNA loci distribution of the studied species</w:t>
      </w:r>
    </w:p>
    <w:p w14:paraId="6A0D7C75" w14:textId="06AA17AF" w:rsidR="0068325C" w:rsidRDefault="0068325C" w:rsidP="0068325C">
      <w:pPr>
        <w:bidi w:val="0"/>
        <w:rPr>
          <w:lang w:bidi="fa-IR"/>
        </w:rPr>
      </w:pPr>
    </w:p>
    <w:p w14:paraId="465B3D8F" w14:textId="35557E80" w:rsidR="0068325C" w:rsidRDefault="0068325C" w:rsidP="0068325C">
      <w:pPr>
        <w:bidi w:val="0"/>
        <w:rPr>
          <w:lang w:bidi="fa-IR"/>
        </w:rPr>
      </w:pPr>
    </w:p>
    <w:p w14:paraId="2BE2CF64" w14:textId="77777777" w:rsidR="0068325C" w:rsidRDefault="0068325C" w:rsidP="0068325C">
      <w:pPr>
        <w:bidi w:val="0"/>
        <w:rPr>
          <w:lang w:bidi="fa-IR"/>
        </w:rPr>
      </w:pPr>
    </w:p>
    <w:p w14:paraId="359B2E97" w14:textId="77777777" w:rsidR="0068325C" w:rsidRDefault="0068325C" w:rsidP="0068325C">
      <w:pPr>
        <w:bidi w:val="0"/>
        <w:rPr>
          <w:lang w:bidi="fa-IR"/>
        </w:rPr>
      </w:pPr>
    </w:p>
    <w:sectPr w:rsidR="0068325C" w:rsidSect="007252C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93DDA" w14:textId="77777777" w:rsidR="00E724E3" w:rsidRDefault="00E724E3" w:rsidP="00971E4E">
      <w:pPr>
        <w:spacing w:after="0" w:line="240" w:lineRule="auto"/>
      </w:pPr>
      <w:r>
        <w:separator/>
      </w:r>
    </w:p>
  </w:endnote>
  <w:endnote w:type="continuationSeparator" w:id="0">
    <w:p w14:paraId="179FF221" w14:textId="77777777" w:rsidR="00E724E3" w:rsidRDefault="00E724E3" w:rsidP="0097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004345"/>
      <w:docPartObj>
        <w:docPartGallery w:val="Page Numbers (Bottom of Page)"/>
        <w:docPartUnique/>
      </w:docPartObj>
    </w:sdtPr>
    <w:sdtEndPr/>
    <w:sdtContent>
      <w:p w14:paraId="291EA526" w14:textId="77777777" w:rsidR="009B2F23" w:rsidRDefault="009B2F23" w:rsidP="00971E4E">
        <w:pPr>
          <w:pStyle w:val="Footer"/>
          <w:bidi w:val="0"/>
          <w:jc w:val="center"/>
        </w:pPr>
        <w:r>
          <w:fldChar w:fldCharType="begin" w:fldLock="1"/>
        </w:r>
        <w:r>
          <w:instrText xml:space="preserve"> PAGE   \* MERGEFORMAT </w:instrText>
        </w:r>
        <w:r>
          <w:fldChar w:fldCharType="separate"/>
        </w:r>
        <w:r w:rsidR="00C307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B25BFA" w14:textId="77777777" w:rsidR="009B2F23" w:rsidRDefault="009B2F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28B5" w14:textId="77777777" w:rsidR="00E724E3" w:rsidRDefault="00E724E3" w:rsidP="00971E4E">
      <w:pPr>
        <w:spacing w:after="0" w:line="240" w:lineRule="auto"/>
      </w:pPr>
      <w:r>
        <w:separator/>
      </w:r>
    </w:p>
  </w:footnote>
  <w:footnote w:type="continuationSeparator" w:id="0">
    <w:p w14:paraId="0E6ECDF3" w14:textId="77777777" w:rsidR="00E724E3" w:rsidRDefault="00E724E3" w:rsidP="00971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081"/>
    <w:multiLevelType w:val="multilevel"/>
    <w:tmpl w:val="6D0824F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Heading4"/>
      <w:suff w:val="space"/>
      <w:lvlText w:val="Fig. %4"/>
      <w:lvlJc w:val="left"/>
      <w:pPr>
        <w:ind w:left="850" w:firstLine="0"/>
      </w:pPr>
      <w:rPr>
        <w:rFonts w:hint="default"/>
        <w:b/>
        <w:bCs/>
        <w:i w:val="0"/>
        <w:iCs w:val="0"/>
      </w:rPr>
    </w:lvl>
    <w:lvl w:ilvl="4">
      <w:start w:val="1"/>
      <w:numFmt w:val="decimal"/>
      <w:lvlRestart w:val="1"/>
      <w:pStyle w:val="Heading5"/>
      <w:suff w:val="space"/>
      <w:lvlText w:val="Table %5"/>
      <w:lvlJc w:val="left"/>
      <w:pPr>
        <w:ind w:left="0" w:firstLine="0"/>
      </w:pPr>
      <w:rPr>
        <w:rFonts w:hint="default"/>
        <w:b/>
        <w:bCs/>
        <w:i w:val="0"/>
        <w:iCs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1C3412B"/>
    <w:multiLevelType w:val="hybridMultilevel"/>
    <w:tmpl w:val="92D0C2D6"/>
    <w:lvl w:ilvl="0" w:tplc="D0A2547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E3B"/>
    <w:rsid w:val="000C6C01"/>
    <w:rsid w:val="000D7542"/>
    <w:rsid w:val="001674AA"/>
    <w:rsid w:val="00177EB8"/>
    <w:rsid w:val="001B30B5"/>
    <w:rsid w:val="00223E3B"/>
    <w:rsid w:val="0025385A"/>
    <w:rsid w:val="002662B9"/>
    <w:rsid w:val="002840DE"/>
    <w:rsid w:val="00284653"/>
    <w:rsid w:val="00291D58"/>
    <w:rsid w:val="002931A7"/>
    <w:rsid w:val="002A6090"/>
    <w:rsid w:val="002C1D17"/>
    <w:rsid w:val="00305D1B"/>
    <w:rsid w:val="00316433"/>
    <w:rsid w:val="0034474F"/>
    <w:rsid w:val="003C709E"/>
    <w:rsid w:val="00417AE8"/>
    <w:rsid w:val="004B1C1C"/>
    <w:rsid w:val="004C2245"/>
    <w:rsid w:val="004F1AC9"/>
    <w:rsid w:val="00504F10"/>
    <w:rsid w:val="00526E60"/>
    <w:rsid w:val="00531DDD"/>
    <w:rsid w:val="00597728"/>
    <w:rsid w:val="005C434C"/>
    <w:rsid w:val="0061474B"/>
    <w:rsid w:val="00625578"/>
    <w:rsid w:val="0068325C"/>
    <w:rsid w:val="006E0CD8"/>
    <w:rsid w:val="006F4638"/>
    <w:rsid w:val="006F52FD"/>
    <w:rsid w:val="007115AD"/>
    <w:rsid w:val="007252C3"/>
    <w:rsid w:val="00752115"/>
    <w:rsid w:val="0077681A"/>
    <w:rsid w:val="007A6A57"/>
    <w:rsid w:val="00822CDE"/>
    <w:rsid w:val="00864185"/>
    <w:rsid w:val="008A751F"/>
    <w:rsid w:val="00906B32"/>
    <w:rsid w:val="00971E4E"/>
    <w:rsid w:val="009730AF"/>
    <w:rsid w:val="009A528D"/>
    <w:rsid w:val="009B2F23"/>
    <w:rsid w:val="009C2B65"/>
    <w:rsid w:val="00A2721E"/>
    <w:rsid w:val="00AD4B57"/>
    <w:rsid w:val="00AE5D51"/>
    <w:rsid w:val="00B42FF8"/>
    <w:rsid w:val="00B519EF"/>
    <w:rsid w:val="00B76861"/>
    <w:rsid w:val="00BB35BB"/>
    <w:rsid w:val="00C01BBF"/>
    <w:rsid w:val="00C30772"/>
    <w:rsid w:val="00C3783F"/>
    <w:rsid w:val="00C64694"/>
    <w:rsid w:val="00CC30FA"/>
    <w:rsid w:val="00CC3B1D"/>
    <w:rsid w:val="00CE6B46"/>
    <w:rsid w:val="00D01BCE"/>
    <w:rsid w:val="00D32B45"/>
    <w:rsid w:val="00D43A0B"/>
    <w:rsid w:val="00D47F1C"/>
    <w:rsid w:val="00D6408B"/>
    <w:rsid w:val="00D6593A"/>
    <w:rsid w:val="00D96B81"/>
    <w:rsid w:val="00D96B96"/>
    <w:rsid w:val="00DA007A"/>
    <w:rsid w:val="00DC34AD"/>
    <w:rsid w:val="00E1734F"/>
    <w:rsid w:val="00E179C4"/>
    <w:rsid w:val="00E703C8"/>
    <w:rsid w:val="00E70F61"/>
    <w:rsid w:val="00E724E3"/>
    <w:rsid w:val="00E965EF"/>
    <w:rsid w:val="00EB3EE0"/>
    <w:rsid w:val="00EC5D0C"/>
    <w:rsid w:val="00F528B8"/>
    <w:rsid w:val="00F54BD3"/>
    <w:rsid w:val="00F7348A"/>
    <w:rsid w:val="00F90C29"/>
    <w:rsid w:val="00F975AD"/>
    <w:rsid w:val="00FB1055"/>
    <w:rsid w:val="00FB5137"/>
    <w:rsid w:val="00FD0B34"/>
    <w:rsid w:val="00FD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63A785"/>
  <w15:chartTrackingRefBased/>
  <w15:docId w15:val="{2D240901-62E2-425E-9D4E-00084FC0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B32"/>
    <w:pPr>
      <w:bidi/>
    </w:pPr>
    <w:rPr>
      <w:rFonts w:ascii="Times New Roman" w:hAnsi="Times New Roman" w:cs="B Zar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3C709E"/>
    <w:pPr>
      <w:numPr>
        <w:ilvl w:val="3"/>
        <w:numId w:val="1"/>
      </w:numPr>
      <w:bidi w:val="0"/>
      <w:spacing w:before="40" w:after="0" w:line="480" w:lineRule="auto"/>
      <w:jc w:val="lowKashida"/>
      <w:outlineLvl w:val="3"/>
    </w:pPr>
    <w:rPr>
      <w:rFonts w:eastAsiaTheme="majorEastAsia" w:cs="Times New Roman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709E"/>
    <w:pPr>
      <w:numPr>
        <w:ilvl w:val="4"/>
        <w:numId w:val="1"/>
      </w:numPr>
      <w:bidi w:val="0"/>
      <w:spacing w:before="40" w:after="0" w:line="480" w:lineRule="auto"/>
      <w:jc w:val="lowKashida"/>
      <w:outlineLvl w:val="4"/>
    </w:pPr>
    <w:rPr>
      <w:rFonts w:eastAsiaTheme="majorEastAsia" w:cs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09E"/>
    <w:pPr>
      <w:keepNext/>
      <w:keepLines/>
      <w:numPr>
        <w:ilvl w:val="5"/>
        <w:numId w:val="1"/>
      </w:numPr>
      <w:bidi w:val="0"/>
      <w:spacing w:before="40" w:after="0" w:line="480" w:lineRule="auto"/>
      <w:jc w:val="lowKashida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09E"/>
    <w:pPr>
      <w:keepNext/>
      <w:keepLines/>
      <w:numPr>
        <w:ilvl w:val="6"/>
        <w:numId w:val="1"/>
      </w:numPr>
      <w:bidi w:val="0"/>
      <w:spacing w:before="40" w:after="0" w:line="480" w:lineRule="auto"/>
      <w:jc w:val="lowKashida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09E"/>
    <w:pPr>
      <w:keepNext/>
      <w:keepLines/>
      <w:numPr>
        <w:ilvl w:val="7"/>
        <w:numId w:val="1"/>
      </w:numPr>
      <w:bidi w:val="0"/>
      <w:spacing w:before="40" w:after="0" w:line="480" w:lineRule="auto"/>
      <w:jc w:val="lowKashida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09E"/>
    <w:pPr>
      <w:keepNext/>
      <w:keepLines/>
      <w:numPr>
        <w:ilvl w:val="8"/>
        <w:numId w:val="1"/>
      </w:numPr>
      <w:bidi w:val="0"/>
      <w:spacing w:before="40" w:after="0" w:line="480" w:lineRule="auto"/>
      <w:jc w:val="lowKashida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C709E"/>
    <w:rPr>
      <w:rFonts w:ascii="Times New Roman" w:eastAsiaTheme="majorEastAsia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C709E"/>
    <w:rPr>
      <w:rFonts w:ascii="Times New Roman" w:eastAsiaTheme="majorEastAsia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0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09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0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0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link w:val="TitleChar"/>
    <w:qFormat/>
    <w:rsid w:val="00417AE8"/>
    <w:pPr>
      <w:bidi w:val="0"/>
      <w:spacing w:after="0" w:line="480" w:lineRule="auto"/>
      <w:ind w:firstLine="403"/>
      <w:jc w:val="center"/>
    </w:pPr>
    <w:rPr>
      <w:rFonts w:eastAsia="Times New Roman" w:cs="Times New Roman"/>
      <w:b/>
      <w:bCs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417AE8"/>
    <w:rPr>
      <w:rFonts w:ascii="Times New Roman" w:eastAsia="Times New Roman" w:hAnsi="Times New Roman" w:cs="Times New Roman"/>
      <w:b/>
      <w:bCs/>
      <w:sz w:val="28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417AE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7AE8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1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E4E"/>
    <w:rPr>
      <w:rFonts w:ascii="Times New Roman" w:hAnsi="Times New Roman" w:cs="B Zar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971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E4E"/>
    <w:rPr>
      <w:rFonts w:ascii="Times New Roman" w:hAnsi="Times New Roman" w:cs="B Zar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4B1C1C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</w:rPr>
  </w:style>
  <w:style w:type="table" w:styleId="GridTable1Light">
    <w:name w:val="Grid Table 1 Light"/>
    <w:basedOn w:val="TableNormal"/>
    <w:uiPriority w:val="46"/>
    <w:rsid w:val="001674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25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578"/>
    <w:pPr>
      <w:bidi w:val="0"/>
      <w:spacing w:after="0" w:line="240" w:lineRule="auto"/>
      <w:jc w:val="both"/>
    </w:pPr>
    <w:rPr>
      <w:rFonts w:eastAsiaTheme="minorEastAsia" w:cs="Times New Roman"/>
      <w:spacing w:val="5"/>
      <w:kern w:val="28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578"/>
    <w:rPr>
      <w:rFonts w:ascii="Times New Roman" w:eastAsiaTheme="minorEastAsia" w:hAnsi="Times New Roman" w:cs="Times New Roman"/>
      <w:spacing w:val="5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M</dc:creator>
  <cp:keywords/>
  <dc:description/>
  <cp:lastModifiedBy>G M</cp:lastModifiedBy>
  <cp:revision>68</cp:revision>
  <dcterms:created xsi:type="dcterms:W3CDTF">2019-10-12T16:49:00Z</dcterms:created>
  <dcterms:modified xsi:type="dcterms:W3CDTF">2022-04-05T01:23:00Z</dcterms:modified>
</cp:coreProperties>
</file>